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CA7FB8">
      <w:pPr>
        <w:spacing w:line="600" w:lineRule="exact"/>
        <w:jc w:val="center"/>
        <w:rPr>
          <w:rFonts w:ascii="方正小标宋_GBK" w:eastAsia="方正小标宋_GBK" w:cs="Times New Roman"/>
          <w:sz w:val="44"/>
          <w:szCs w:val="44"/>
        </w:rPr>
      </w:pPr>
      <w:r>
        <w:rPr>
          <w:rFonts w:hint="eastAsia" w:ascii="方正小标宋_GBK" w:eastAsia="方正小标宋_GBK" w:cs="方正小标宋_GBK"/>
          <w:sz w:val="44"/>
          <w:szCs w:val="44"/>
        </w:rPr>
        <w:t>芒市城区养犬管理办法</w:t>
      </w:r>
    </w:p>
    <w:p w14:paraId="6EDCA333">
      <w:pPr>
        <w:spacing w:line="600" w:lineRule="exact"/>
        <w:jc w:val="center"/>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（征求意见稿）</w:t>
      </w:r>
    </w:p>
    <w:p w14:paraId="585A8547">
      <w:pPr>
        <w:spacing w:line="600" w:lineRule="exact"/>
        <w:rPr>
          <w:rFonts w:ascii="方正小标宋_GBK" w:eastAsia="方正小标宋_GBK" w:cs="Times New Roman"/>
          <w:sz w:val="44"/>
          <w:szCs w:val="44"/>
        </w:rPr>
      </w:pPr>
    </w:p>
    <w:p w14:paraId="362A5FA7">
      <w:pPr>
        <w:spacing w:line="600" w:lineRule="exact"/>
        <w:jc w:val="center"/>
        <w:rPr>
          <w:rFonts w:ascii="方正黑体_GBK" w:hAnsi="方正黑体_GBK" w:eastAsia="方正黑体_GBK" w:cs="Times New Roman"/>
          <w:sz w:val="32"/>
          <w:szCs w:val="32"/>
        </w:rPr>
      </w:pPr>
      <w:r>
        <w:rPr>
          <w:rFonts w:hint="eastAsia" w:ascii="方正黑体_GBK" w:hAnsi="方正黑体_GBK" w:eastAsia="方正黑体_GBK" w:cs="方正黑体_GBK"/>
          <w:sz w:val="32"/>
          <w:szCs w:val="32"/>
        </w:rPr>
        <w:t>第一章</w:t>
      </w:r>
      <w:r>
        <w:rPr>
          <w:rFonts w:ascii="方正黑体_GBK" w:hAnsi="方正黑体_GBK" w:eastAsia="方正黑体_GBK" w:cs="Times New Roman"/>
          <w:sz w:val="32"/>
          <w:szCs w:val="32"/>
        </w:rPr>
        <w:t> </w:t>
      </w:r>
      <w:r>
        <w:rPr>
          <w:rFonts w:hint="eastAsia" w:ascii="方正黑体_GBK" w:hAnsi="方正黑体_GBK" w:eastAsia="方正黑体_GBK" w:cs="方正黑体_GBK"/>
          <w:sz w:val="32"/>
          <w:szCs w:val="32"/>
        </w:rPr>
        <w:t>总则</w:t>
      </w:r>
    </w:p>
    <w:p w14:paraId="137F4A00">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第一条</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为规范养犬行为和养犬管理，保障公民身体健康和人身安全，</w:t>
      </w:r>
      <w:r>
        <w:rPr>
          <w:rFonts w:ascii="方正仿宋_GBK" w:hAnsi="方正仿宋_GBK" w:eastAsia="方正仿宋_GBK" w:cs="Times New Roman"/>
          <w:sz w:val="32"/>
          <w:szCs w:val="32"/>
        </w:rPr>
        <w:t> </w:t>
      </w:r>
      <w:r>
        <w:rPr>
          <w:rFonts w:hint="eastAsia" w:ascii="方正仿宋_GBK" w:hAnsi="方正仿宋_GBK" w:eastAsia="方正仿宋_GBK" w:cs="方正仿宋_GBK"/>
          <w:sz w:val="32"/>
          <w:szCs w:val="32"/>
        </w:rPr>
        <w:t>维护环境卫生和社会公共秩序，依据《中华人民共和国治安管理处罚法》《中华人民共和国动物防疫法》《中华人民共和国畜牧法》《中华人民共和国传染病防治法实施办法》《城市市容和环境卫生管理条例》《云南省城市市容和环境卫生管理实施办法》等法律、法规规定，结合芒市实际，制定本办法。</w:t>
      </w:r>
    </w:p>
    <w:p w14:paraId="51681375">
      <w:pPr>
        <w:spacing w:line="600" w:lineRule="exact"/>
        <w:ind w:firstLine="640" w:firstLineChars="200"/>
        <w:rPr>
          <w:rFonts w:ascii="方正仿宋_GBK" w:hAnsi="方正仿宋_GBK" w:eastAsia="方正仿宋_GBK" w:cs="Times New Roman"/>
          <w:spacing w:val="-10"/>
          <w:sz w:val="32"/>
          <w:szCs w:val="32"/>
        </w:rPr>
      </w:pPr>
      <w:r>
        <w:rPr>
          <w:rFonts w:hint="eastAsia" w:ascii="方正仿宋_GBK" w:hAnsi="方正仿宋_GBK" w:eastAsia="方正仿宋_GBK" w:cs="方正仿宋_GBK"/>
          <w:sz w:val="32"/>
          <w:szCs w:val="32"/>
        </w:rPr>
        <w:t>第二条</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芒市城区范围内养犬的单位和个人应当遵守本办</w:t>
      </w:r>
      <w:r>
        <w:rPr>
          <w:rFonts w:hint="eastAsia" w:ascii="方正仿宋_GBK" w:hAnsi="方正仿宋_GBK" w:eastAsia="方正仿宋_GBK" w:cs="方正仿宋_GBK"/>
          <w:spacing w:val="-10"/>
          <w:sz w:val="32"/>
          <w:szCs w:val="32"/>
        </w:rPr>
        <w:t>法。军用、警用、科研等特殊犬只的管理，按照国家有关规定执行。</w:t>
      </w:r>
    </w:p>
    <w:p w14:paraId="5E8D1192">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第三条</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建立由公安部门牵头，农业农村、综合执法、卫生健康、市场监督、乡镇（街道）等部门组成的养犬管理协调工作机制，组织本行政区域内的养犬行政管理工作。</w:t>
      </w:r>
    </w:p>
    <w:p w14:paraId="048A4B78">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各职能部门按照下列规定履行职责：</w:t>
      </w:r>
    </w:p>
    <w:p w14:paraId="05A966C3">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一）市公安部门负责养犬登记管理，发放登记证；查处无证养犬、违规携犬出户、纵犬伤人、养犬扰民等行为；负责犬只留检所的管理；组织、指导和监督养犬管理工作，开展依法养犬、文明养犬的宣传教育，公布养犬管理和服务的有关信息，受理公众咨询、求助，为公众提供养犬信息服务。</w:t>
      </w:r>
    </w:p>
    <w:p w14:paraId="170AA176">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建立养犬管理和服务的电子信息系统，与其他相关职能部门实行养犬登记、免疫和处罚等信息共享。协调解决养犬管理工作中的重大问题。</w:t>
      </w:r>
    </w:p>
    <w:p w14:paraId="577CB4CA">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（二）市农业农村部门负责犬只免疫、检疫、防疫等工作，负责办理《犬只免疫证》。</w:t>
      </w:r>
    </w:p>
    <w:p w14:paraId="5D28DE49">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（三）城市管理综合执法部门负责查处因养犬影响市容环境卫生的户外携犬行为，并协助公安部门查处无证养犬、违法携犬外出等行为。</w:t>
      </w:r>
    </w:p>
    <w:p w14:paraId="322D9923">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（四）市卫生健康部门负责做好人用狂犬疫苗的供应、使用和狂犬病患者诊治以及狂犬病疫情监测等防治工作；开展狂犬病防治知识的宣传教育。</w:t>
      </w:r>
    </w:p>
    <w:p w14:paraId="63757515">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五）市场监督部门负责宠物店、市场等犬只交易场所的监督管理，督促经营户在合法的犬只交易场所内经营，及时查处非法交易行为。交易、治疗的犬只应当具有农业农村部门的《犬只免疫证》和公安部门的《养犬登记证》。</w:t>
      </w:r>
    </w:p>
    <w:p w14:paraId="601B2462">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（六）价格行政管理部门负责养犬管理收费监督工作。</w:t>
      </w:r>
    </w:p>
    <w:p w14:paraId="003D27C2">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辖区各乡镇（街道）应当配合有关行政管理部门做好养犬行政管理工作。发生狂犬疫情的疫区或发现疑似狂犬病的区域，属地人民政府（街道办事处）应当在公安、农业农村、综合执法、卫健等相关部门指导下迅速开展应急工作，各有关部门按照职责做好犬只捕杀及无害化处理等相关工作。</w:t>
      </w:r>
    </w:p>
    <w:p w14:paraId="3EDB8FB6">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第四条</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公安机关可以委托符合法律、法规规定条件的组织实施养犬管理的具体事务。</w:t>
      </w:r>
    </w:p>
    <w:p w14:paraId="56C34376">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第五条</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居民委员会、村民委员会、住宅小区业主委员会和物业管理企业应当开展依法养犬、文明养犬的宣传教育活动，依法制定管理公约，依法调解因养犬引起的邻里纠纷，纠正和制止违规、不文明养犬行为，协助相关行政部门做好养犬的日常管理工作。</w:t>
      </w:r>
    </w:p>
    <w:p w14:paraId="37C35A86">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第六条</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对违反本办法的养犬行为，任何单位和个人有权进行劝阻、投诉和举报。</w:t>
      </w:r>
    </w:p>
    <w:p w14:paraId="046A88A9">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公安机关应当公布受理举报、投诉的电话、信箱、电子邮箱，接到举报、投诉后应当登记，及时处理，并在</w:t>
      </w:r>
      <w:r>
        <w:rPr>
          <w:rFonts w:ascii="方正仿宋_GBK" w:hAnsi="方正仿宋_GBK" w:eastAsia="方正仿宋_GBK" w:cs="方正仿宋_GBK"/>
          <w:sz w:val="32"/>
          <w:szCs w:val="32"/>
        </w:rPr>
        <w:t>10</w:t>
      </w:r>
      <w:r>
        <w:rPr>
          <w:rFonts w:hint="eastAsia" w:ascii="方正仿宋_GBK" w:hAnsi="方正仿宋_GBK" w:eastAsia="方正仿宋_GBK" w:cs="方正仿宋_GBK"/>
          <w:sz w:val="32"/>
          <w:szCs w:val="32"/>
        </w:rPr>
        <w:t>个工作日内将处理情况告知举报人、投诉人。</w:t>
      </w:r>
    </w:p>
    <w:p w14:paraId="5CEFEC3C">
      <w:pPr>
        <w:spacing w:line="600" w:lineRule="exact"/>
        <w:rPr>
          <w:rFonts w:ascii="方正仿宋_GBK" w:hAnsi="方正仿宋_GBK" w:eastAsia="方正仿宋_GBK" w:cs="Times New Roman"/>
          <w:sz w:val="32"/>
          <w:szCs w:val="32"/>
        </w:rPr>
      </w:pPr>
    </w:p>
    <w:p w14:paraId="014E6864">
      <w:pPr>
        <w:spacing w:line="600" w:lineRule="exact"/>
        <w:jc w:val="center"/>
        <w:rPr>
          <w:rFonts w:ascii="方正黑体_GBK" w:hAnsi="方正黑体_GBK" w:eastAsia="方正黑体_GBK" w:cs="Times New Roman"/>
          <w:sz w:val="32"/>
          <w:szCs w:val="32"/>
        </w:rPr>
      </w:pPr>
      <w:r>
        <w:rPr>
          <w:rFonts w:hint="eastAsia" w:ascii="方正黑体_GBK" w:hAnsi="方正黑体_GBK" w:eastAsia="方正黑体_GBK" w:cs="方正黑体_GBK"/>
          <w:sz w:val="32"/>
          <w:szCs w:val="32"/>
        </w:rPr>
        <w:t>第二章</w:t>
      </w:r>
      <w:r>
        <w:rPr>
          <w:rFonts w:ascii="方正黑体_GBK" w:hAnsi="方正黑体_GBK" w:eastAsia="方正黑体_GBK" w:cs="Times New Roman"/>
          <w:sz w:val="32"/>
          <w:szCs w:val="32"/>
        </w:rPr>
        <w:t> </w:t>
      </w:r>
      <w:r>
        <w:rPr>
          <w:rFonts w:hint="eastAsia" w:ascii="方正黑体_GBK" w:hAnsi="方正黑体_GBK" w:eastAsia="方正黑体_GBK" w:cs="方正黑体_GBK"/>
          <w:sz w:val="32"/>
          <w:szCs w:val="32"/>
        </w:rPr>
        <w:t>免疫和登记</w:t>
      </w:r>
    </w:p>
    <w:p w14:paraId="1E6718B5">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第七条</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芒市城区禁止饲养、销售、繁殖危险犬。</w:t>
      </w:r>
    </w:p>
    <w:p w14:paraId="79B03570">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危险犬的具体标准由市公安机关会同市畜牧兽医行政管理部门确定，并向社会公布。</w:t>
      </w:r>
    </w:p>
    <w:p w14:paraId="6DA98DAD">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第八条</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养犬人应当及时将犬只送动物卫生监督机构或者依法设立的动物诊疗机构进行狂犬病等疫病的免疫，取得犬只免疫证明。免疫有效期满前三十日内，养犬人应当送犬只再次进行免疫。</w:t>
      </w:r>
    </w:p>
    <w:p w14:paraId="10CDFB77">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第九条</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犬只狂犬病等疫病免疫的具体办法，由市畜牧兽医行政管理部门制定。</w:t>
      </w:r>
    </w:p>
    <w:p w14:paraId="12CA99DA">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第十条</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公安机关发现犬只未依法进行狂犬病等疫病的免疫的，应当告知动物卫生监督机构。</w:t>
      </w:r>
    </w:p>
    <w:p w14:paraId="6C6694E1">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第十一条</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城区内个人养犬的，每户限养一只。</w:t>
      </w:r>
    </w:p>
    <w:p w14:paraId="7ACF5A70">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母犬繁殖幼犬的，养犬人应当在幼犬出生三个月内及时处理超过前款规定数量的犬只，无法处理的应当将犬只送到犬只留验场所。</w:t>
      </w:r>
    </w:p>
    <w:p w14:paraId="700794BF">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第十二条</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芒市城区内养犬实行强制免疫和登记制度。</w:t>
      </w:r>
    </w:p>
    <w:p w14:paraId="55AEAAC7">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第十三条</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养犬人必须携带犬只到农业农村部门指定的犬类狂犬病免疫接种点定期接受免疫，并到公安部门办理登记手续。未办理《犬只免疫证》和《养犬登记证》的不得饲养犬只。</w:t>
      </w:r>
    </w:p>
    <w:p w14:paraId="16A786B1">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第十四条</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申请养犬登记的个人，应当符合下列条件：</w:t>
      </w:r>
    </w:p>
    <w:p w14:paraId="2F07FCDD">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（一）有合法身份证明；</w:t>
      </w:r>
    </w:p>
    <w:p w14:paraId="51B250CC">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（二）有完全民事行为能力；</w:t>
      </w:r>
    </w:p>
    <w:p w14:paraId="514C15E2">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（三）有独立的居所；</w:t>
      </w:r>
    </w:p>
    <w:p w14:paraId="5C9BE5DB">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（四）具有合法有效的犬只免疫证明。</w:t>
      </w:r>
    </w:p>
    <w:p w14:paraId="667D0B8C">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第十五条</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申请养犬登记的单位，应当符合下列条件：</w:t>
      </w:r>
    </w:p>
    <w:p w14:paraId="6F77EB8B">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（一）能够独立承担法律责任；</w:t>
      </w:r>
    </w:p>
    <w:p w14:paraId="2EA7765D">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（二）有看护财物、展览、表演等合理用途；</w:t>
      </w:r>
    </w:p>
    <w:p w14:paraId="3150D3E7">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（三）有健全的养犬管理制度；</w:t>
      </w:r>
    </w:p>
    <w:p w14:paraId="2439EC90">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（四）有专人管养犬只；</w:t>
      </w:r>
    </w:p>
    <w:p w14:paraId="69CB51B2">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（五）有犬笼、犬舍、围墙等圈养设施。</w:t>
      </w:r>
    </w:p>
    <w:p w14:paraId="4E517555">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（六）取得合法有效的犬只免疫证明。</w:t>
      </w:r>
    </w:p>
    <w:p w14:paraId="276D8A4A">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第十六条</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申请养犬登记的，申请人应当按照下列规定到居所所在地的公安派出所办理：</w:t>
      </w:r>
    </w:p>
    <w:p w14:paraId="1A15C406">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（一）个人申请养犬的，携带犬只并持养犬人身份证明、犬只免疫证明以及符合本条例第十四条规定条件的相关证明。</w:t>
      </w:r>
    </w:p>
    <w:p w14:paraId="40F960C5">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（二）单位申请养犬的，持单位主体资格证明、单位法定代表人身份证明、犬只免疫证明、犬只数量清单以及符合本条例第十五条规定条件的相关证明；</w:t>
      </w:r>
    </w:p>
    <w:p w14:paraId="74E0EE57">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第十七条</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公安机关应当在收到养犬申请之日起十五个工作日内进行审查，作出是否准予登记的决定。符合条件的，应当予以登记，并发放《养犬登记证》和犬牌，为犬只植入电子身份标识；不符合条件的，不予登记，并书面说明理由，告知申请人三日内将犬只自行处置或者送到犬只留验场所。</w:t>
      </w:r>
    </w:p>
    <w:p w14:paraId="3617D0BC">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第十八条</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《养犬登记证》有效期为三年，每年审验一次。养犬人应当在登记有效期届满前</w:t>
      </w:r>
      <w:r>
        <w:rPr>
          <w:rFonts w:ascii="方正仿宋_GBK" w:hAnsi="方正仿宋_GBK" w:eastAsia="方正仿宋_GBK" w:cs="方正仿宋_GBK"/>
          <w:sz w:val="32"/>
          <w:szCs w:val="32"/>
        </w:rPr>
        <w:t>30</w:t>
      </w:r>
      <w:r>
        <w:rPr>
          <w:rFonts w:hint="eastAsia" w:ascii="方正仿宋_GBK" w:hAnsi="方正仿宋_GBK" w:eastAsia="方正仿宋_GBK" w:cs="方正仿宋_GBK"/>
          <w:sz w:val="32"/>
          <w:szCs w:val="32"/>
        </w:rPr>
        <w:t>日内，持有效的《犬只免疫证》和《养犬登记证》到原登记机关办理审验手续。</w:t>
      </w:r>
    </w:p>
    <w:p w14:paraId="3E481DA7">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第十九条</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犬只免疫证明由畜牧兽医行政管理部门统一印制，《养犬登记证》、犬牌、犬只的电子身份标识由公安机关统一印制或者设置。</w:t>
      </w:r>
    </w:p>
    <w:p w14:paraId="5D77BCA3">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禁止伪造、变造或者买卖犬只免疫证明、《养犬登记证》、犬牌和犬只电子身份标识。禁止买卖或者使用伪造、变造的犬只免疫证明、《养犬登记证》、犬牌和犬只电子身份标识。</w:t>
      </w:r>
    </w:p>
    <w:p w14:paraId="6FF2CAE7">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《养犬登记证》、犬牌、犬只的电子身份标识损毁或者遗失的，养犬人应当自损毁或者遗失之日起</w:t>
      </w:r>
      <w:r>
        <w:rPr>
          <w:rFonts w:ascii="方正仿宋_GBK" w:hAnsi="方正仿宋_GBK" w:eastAsia="方正仿宋_GBK" w:cs="方正仿宋_GBK"/>
          <w:sz w:val="32"/>
          <w:szCs w:val="32"/>
        </w:rPr>
        <w:t>15</w:t>
      </w:r>
      <w:r>
        <w:rPr>
          <w:rFonts w:hint="eastAsia" w:ascii="方正仿宋_GBK" w:hAnsi="方正仿宋_GBK" w:eastAsia="方正仿宋_GBK" w:cs="方正仿宋_GBK"/>
          <w:sz w:val="32"/>
          <w:szCs w:val="32"/>
        </w:rPr>
        <w:t>日内申请换发、补发或者补植。</w:t>
      </w:r>
    </w:p>
    <w:p w14:paraId="082A8776">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城区养犬人居住地变更、放弃所饲养犬只、犬只死亡的，应当在</w:t>
      </w:r>
      <w:r>
        <w:rPr>
          <w:rFonts w:ascii="方正仿宋_GBK" w:hAnsi="方正仿宋_GBK" w:eastAsia="方正仿宋_GBK" w:cs="方正仿宋_GBK"/>
          <w:sz w:val="32"/>
          <w:szCs w:val="32"/>
        </w:rPr>
        <w:t>15</w:t>
      </w:r>
      <w:r>
        <w:rPr>
          <w:rFonts w:hint="eastAsia" w:ascii="方正仿宋_GBK" w:hAnsi="方正仿宋_GBK" w:eastAsia="方正仿宋_GBK" w:cs="方正仿宋_GBK"/>
          <w:sz w:val="32"/>
          <w:szCs w:val="32"/>
        </w:rPr>
        <w:t>日内到原登记机关办理变更、注销或者补办等手续。</w:t>
      </w:r>
    </w:p>
    <w:p w14:paraId="182BD3FF">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第二十条</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犬类狂犬病免疫费由养犬人承担。</w:t>
      </w:r>
    </w:p>
    <w:p w14:paraId="2B75CA0D">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第二十一条</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犬类狂犬病免疫接种点，应当建立“一犬一档”，定期向农业农村局报告；公安部门应当建立重点管理区养犬管理电子档案。</w:t>
      </w:r>
    </w:p>
    <w:p w14:paraId="0847DF94">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第二十二条</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各职能部门根据工作职责开展规范养犬管理宣传工作。</w:t>
      </w:r>
    </w:p>
    <w:p w14:paraId="1CB88262">
      <w:pPr>
        <w:spacing w:line="600" w:lineRule="exact"/>
        <w:rPr>
          <w:rFonts w:ascii="方正仿宋_GBK" w:hAnsi="方正仿宋_GBK" w:eastAsia="方正仿宋_GBK" w:cs="Times New Roman"/>
          <w:sz w:val="32"/>
          <w:szCs w:val="32"/>
        </w:rPr>
      </w:pPr>
    </w:p>
    <w:p w14:paraId="311F9FFB">
      <w:pPr>
        <w:spacing w:line="600" w:lineRule="exact"/>
        <w:jc w:val="center"/>
        <w:rPr>
          <w:rFonts w:ascii="方正黑体_GBK" w:hAnsi="方正黑体_GBK" w:eastAsia="方正黑体_GBK" w:cs="Times New Roman"/>
          <w:sz w:val="32"/>
          <w:szCs w:val="32"/>
        </w:rPr>
      </w:pPr>
      <w:r>
        <w:rPr>
          <w:rFonts w:hint="eastAsia" w:ascii="方正黑体_GBK" w:hAnsi="方正黑体_GBK" w:eastAsia="方正黑体_GBK" w:cs="方正黑体_GBK"/>
          <w:sz w:val="32"/>
          <w:szCs w:val="32"/>
        </w:rPr>
        <w:t>第三章</w:t>
      </w:r>
      <w:r>
        <w:rPr>
          <w:rFonts w:ascii="方正黑体_GBK" w:hAnsi="方正黑体_GBK" w:eastAsia="方正黑体_GBK" w:cs="Times New Roman"/>
          <w:sz w:val="32"/>
          <w:szCs w:val="32"/>
        </w:rPr>
        <w:t> </w:t>
      </w:r>
      <w:r>
        <w:rPr>
          <w:rFonts w:hint="eastAsia" w:ascii="方正黑体_GBK" w:hAnsi="方正黑体_GBK" w:eastAsia="方正黑体_GBK" w:cs="方正黑体_GBK"/>
          <w:sz w:val="32"/>
          <w:szCs w:val="32"/>
        </w:rPr>
        <w:t>日常管理</w:t>
      </w:r>
    </w:p>
    <w:p w14:paraId="7BE03230">
      <w:pPr>
        <w:spacing w:line="600" w:lineRule="exact"/>
        <w:ind w:firstLine="640" w:firstLineChars="200"/>
        <w:rPr>
          <w:rFonts w:ascii="方正仿宋_GBK" w:hAnsi="方正仿宋_GBK" w:eastAsia="方正仿宋_GBK" w:cs="Times New Roman"/>
          <w:sz w:val="32"/>
          <w:szCs w:val="32"/>
        </w:rPr>
      </w:pPr>
      <w:r>
        <w:rPr>
          <w:rFonts w:ascii="方正仿宋_GBK" w:hAnsi="方正仿宋_GBK" w:eastAsia="方正仿宋_GBK" w:cs="Times New Roman"/>
          <w:sz w:val="32"/>
          <w:szCs w:val="32"/>
        </w:rPr>
        <w:t> </w:t>
      </w:r>
      <w:r>
        <w:rPr>
          <w:rFonts w:hint="eastAsia" w:ascii="方正仿宋_GBK" w:hAnsi="方正仿宋_GBK" w:eastAsia="方正仿宋_GBK" w:cs="方正仿宋_GBK"/>
          <w:sz w:val="32"/>
          <w:szCs w:val="32"/>
        </w:rPr>
        <w:t>第二十三条</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禁止携犬进入下列场所：</w:t>
      </w:r>
    </w:p>
    <w:p w14:paraId="7D92C2F7">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（一）机关、团体、企业、事业单位的办公区、生产区</w:t>
      </w:r>
      <w:r>
        <w:rPr>
          <w:rFonts w:ascii="方正仿宋_GBK" w:hAnsi="方正仿宋_GBK" w:eastAsia="方正仿宋_GBK" w:cs="方正仿宋_GBK"/>
          <w:sz w:val="32"/>
          <w:szCs w:val="32"/>
        </w:rPr>
        <w:t>;</w:t>
      </w:r>
    </w:p>
    <w:p w14:paraId="141F9B24">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（二）医院诊疗区、学校教学区、学生集体宿舍区、幼儿园及其他少年儿童活动场所；</w:t>
      </w:r>
    </w:p>
    <w:p w14:paraId="0A632110">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（三）商场、宾馆、餐饮场所；</w:t>
      </w:r>
    </w:p>
    <w:p w14:paraId="1CB78B63">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（四）风景名胜区、市区公园、城市公共绿地等公共场所；</w:t>
      </w:r>
    </w:p>
    <w:p w14:paraId="5B94B09F">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（五）影剧院、博物馆、图书馆、展览馆、体育场（馆）、歌舞厅、游乐场等公众文化娱乐场所；</w:t>
      </w:r>
    </w:p>
    <w:p w14:paraId="6F889ACF">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（六）宗教活动场所；</w:t>
      </w:r>
    </w:p>
    <w:p w14:paraId="33BFF079">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（七）乘坐公共交通工具；</w:t>
      </w:r>
    </w:p>
    <w:p w14:paraId="1797680B">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（八）其他设有禁令标识的场所。</w:t>
      </w:r>
    </w:p>
    <w:p w14:paraId="67C95521">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盲人携带导盲犬或者肢体重残人携带扶助犬的，不受前款规定限制。</w:t>
      </w:r>
    </w:p>
    <w:p w14:paraId="6B231680">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第二十四条</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养犬的单位和个人应当遵守下列规定：</w:t>
      </w:r>
    </w:p>
    <w:p w14:paraId="23F6105A">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（一）个人饲养的犬只在养犬人的住所内饲养，单位饲养的犬只应当圈养或拴养，不得放任犬只自行出户；</w:t>
      </w:r>
    </w:p>
    <w:p w14:paraId="76EA267E">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（二）不得影响他人正常工作和休息，犬只吠叫时，应当及时制止；</w:t>
      </w:r>
    </w:p>
    <w:p w14:paraId="1064F12F">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（三）不得遗弃饲养的犬只；</w:t>
      </w:r>
    </w:p>
    <w:p w14:paraId="66C68661">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（四）不得放任、驱使犬只恐吓、伤害他人。</w:t>
      </w:r>
    </w:p>
    <w:p w14:paraId="6475A7B2">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第二十五条</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个人携犬出户应当遵守下列规定：</w:t>
      </w:r>
    </w:p>
    <w:p w14:paraId="1E99ECB5">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（一）养犬人携犬只出户时应当对犬只束犬链；</w:t>
      </w:r>
    </w:p>
    <w:p w14:paraId="06860368">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（二）随身携带《养犬登记证》和《犬只免疫证明》，犬只佩戴犬只标识牌，由具有完全民事行为能力的人牵引，注意避让行人；</w:t>
      </w:r>
    </w:p>
    <w:p w14:paraId="7561EDCE">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（三）禁止携大型犬只外出；</w:t>
      </w:r>
    </w:p>
    <w:p w14:paraId="06827278">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（四）及时清除犬只排泄物；</w:t>
      </w:r>
    </w:p>
    <w:p w14:paraId="3CA63A0C">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（五）放弃饲养的犬只，主动送交犬只收容所。</w:t>
      </w:r>
    </w:p>
    <w:p w14:paraId="41A4FFB5">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第二十六条</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任何单位和个人不得到疫区引进犬只。饲养从境外进口的犬只，应当持有出入境检验检疫机构出具的入境检疫证明。</w:t>
      </w:r>
    </w:p>
    <w:p w14:paraId="5DA69A90">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第二十七条</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城区内的野犬由公安部门协助畜牧兽医部门进行捕杀或收容；对疑似患有狂犬病的犬只，养犬人应当及时报告市卫生健康部门采样送检确诊；确诊后，农业农</w:t>
      </w:r>
      <w:bookmarkStart w:id="0" w:name="_GoBack"/>
      <w:bookmarkEnd w:id="0"/>
      <w:r>
        <w:rPr>
          <w:rFonts w:hint="eastAsia" w:ascii="方正仿宋_GBK" w:hAnsi="方正仿宋_GBK" w:eastAsia="方正仿宋_GBK" w:cs="方正仿宋_GBK"/>
          <w:sz w:val="32"/>
          <w:szCs w:val="32"/>
        </w:rPr>
        <w:t>村部门会同相关部门监督并协助进行无害化处理。</w:t>
      </w:r>
    </w:p>
    <w:p w14:paraId="51CFEFC4">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第二十八条</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发生狂犬病疫情的，畜牧兽医主管部门应当依法根据疫情划定疫点、疫区，公安、农业农村、综合执法、卫生健康局等相关部门依法采取紧急灭犬、犬只免疫等防治措施，养犬人应当予以配合。</w:t>
      </w:r>
    </w:p>
    <w:p w14:paraId="6D5386D6">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第二十九条</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饲养犬只的单位和个人不得随意抛弃犬只尸体。所养犬只非患传染性疾病死亡的，犬主应当无害化处理；患传染性疾病死亡的，应当通知农业农村局按规定处理。</w:t>
      </w:r>
    </w:p>
    <w:p w14:paraId="6B00DD19">
      <w:pPr>
        <w:spacing w:line="600" w:lineRule="exact"/>
        <w:rPr>
          <w:rFonts w:ascii="方正黑体_GBK" w:hAnsi="方正黑体_GBK" w:eastAsia="方正黑体_GBK" w:cs="Times New Roman"/>
          <w:sz w:val="32"/>
          <w:szCs w:val="32"/>
        </w:rPr>
      </w:pPr>
    </w:p>
    <w:p w14:paraId="219D971A">
      <w:pPr>
        <w:spacing w:line="600" w:lineRule="exact"/>
        <w:jc w:val="center"/>
        <w:rPr>
          <w:rFonts w:ascii="方正黑体_GBK" w:hAnsi="方正黑体_GBK" w:eastAsia="方正黑体_GBK" w:cs="Times New Roman"/>
          <w:sz w:val="32"/>
          <w:szCs w:val="32"/>
        </w:rPr>
      </w:pPr>
      <w:r>
        <w:rPr>
          <w:rFonts w:hint="eastAsia" w:ascii="方正黑体_GBK" w:hAnsi="方正黑体_GBK" w:eastAsia="方正黑体_GBK" w:cs="方正黑体_GBK"/>
          <w:sz w:val="32"/>
          <w:szCs w:val="32"/>
        </w:rPr>
        <w:t>第四章</w:t>
      </w:r>
      <w:r>
        <w:rPr>
          <w:rFonts w:ascii="方正黑体_GBK" w:hAnsi="方正黑体_GBK" w:eastAsia="方正黑体_GBK" w:cs="Times New Roman"/>
          <w:sz w:val="32"/>
          <w:szCs w:val="32"/>
        </w:rPr>
        <w:t> </w:t>
      </w:r>
      <w:r>
        <w:rPr>
          <w:rFonts w:hint="eastAsia" w:ascii="方正黑体_GBK" w:hAnsi="方正黑体_GBK" w:eastAsia="方正黑体_GBK" w:cs="方正黑体_GBK"/>
          <w:sz w:val="32"/>
          <w:szCs w:val="32"/>
        </w:rPr>
        <w:t>法律责任</w:t>
      </w:r>
    </w:p>
    <w:p w14:paraId="588843FE">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第三十条</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饲养的犬只造成他人损害的，犬只饲养人或者管理人应当承担侵权责任；但是，能够证明损害是因被侵权人故意或者重大过失造成的，可以不承担或者减轻责任。</w:t>
      </w:r>
      <w:r>
        <w:rPr>
          <w:rFonts w:ascii="方正仿宋_GBK" w:hAnsi="方正仿宋_GBK" w:eastAsia="方正仿宋_GBK" w:cs="方正仿宋_GBK"/>
          <w:sz w:val="32"/>
          <w:szCs w:val="32"/>
        </w:rPr>
        <w:t xml:space="preserve"> </w:t>
      </w:r>
    </w:p>
    <w:p w14:paraId="1B8B2AEA">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第三十一条</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饲养犬只不按照本办法规定登记的，由公安部门责令改正，对个人处</w:t>
      </w:r>
      <w:r>
        <w:rPr>
          <w:rFonts w:ascii="方正仿宋_GBK" w:hAnsi="方正仿宋_GBK" w:eastAsia="方正仿宋_GBK" w:cs="方正仿宋_GBK"/>
          <w:sz w:val="32"/>
          <w:szCs w:val="32"/>
        </w:rPr>
        <w:t>100</w:t>
      </w:r>
      <w:r>
        <w:rPr>
          <w:rFonts w:hint="eastAsia" w:ascii="方正仿宋_GBK" w:hAnsi="方正仿宋_GBK" w:eastAsia="方正仿宋_GBK" w:cs="方正仿宋_GBK"/>
          <w:sz w:val="32"/>
          <w:szCs w:val="32"/>
        </w:rPr>
        <w:t>元以上</w:t>
      </w:r>
      <w:r>
        <w:rPr>
          <w:rFonts w:ascii="方正仿宋_GBK" w:hAnsi="方正仿宋_GBK" w:eastAsia="方正仿宋_GBK" w:cs="方正仿宋_GBK"/>
          <w:sz w:val="32"/>
          <w:szCs w:val="32"/>
        </w:rPr>
        <w:t>300</w:t>
      </w:r>
      <w:r>
        <w:rPr>
          <w:rFonts w:hint="eastAsia" w:ascii="方正仿宋_GBK" w:hAnsi="方正仿宋_GBK" w:eastAsia="方正仿宋_GBK" w:cs="方正仿宋_GBK"/>
          <w:sz w:val="32"/>
          <w:szCs w:val="32"/>
        </w:rPr>
        <w:t>元以下罚款；对单位处</w:t>
      </w:r>
      <w:r>
        <w:rPr>
          <w:rFonts w:ascii="方正仿宋_GBK" w:hAnsi="方正仿宋_GBK" w:eastAsia="方正仿宋_GBK" w:cs="方正仿宋_GBK"/>
          <w:sz w:val="32"/>
          <w:szCs w:val="32"/>
        </w:rPr>
        <w:t>1000</w:t>
      </w:r>
      <w:r>
        <w:rPr>
          <w:rFonts w:hint="eastAsia" w:ascii="方正仿宋_GBK" w:hAnsi="方正仿宋_GBK" w:eastAsia="方正仿宋_GBK" w:cs="方正仿宋_GBK"/>
          <w:sz w:val="32"/>
          <w:szCs w:val="32"/>
        </w:rPr>
        <w:t>元以上</w:t>
      </w:r>
      <w:r>
        <w:rPr>
          <w:rFonts w:ascii="方正仿宋_GBK" w:hAnsi="方正仿宋_GBK" w:eastAsia="方正仿宋_GBK" w:cs="方正仿宋_GBK"/>
          <w:sz w:val="32"/>
          <w:szCs w:val="32"/>
        </w:rPr>
        <w:t>2000</w:t>
      </w:r>
      <w:r>
        <w:rPr>
          <w:rFonts w:hint="eastAsia" w:ascii="方正仿宋_GBK" w:hAnsi="方正仿宋_GBK" w:eastAsia="方正仿宋_GBK" w:cs="方正仿宋_GBK"/>
          <w:sz w:val="32"/>
          <w:szCs w:val="32"/>
        </w:rPr>
        <w:t>元以下罚款；拒不改正的，没收犬只。</w:t>
      </w:r>
    </w:p>
    <w:p w14:paraId="2556E4CF">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第三十二条</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违反本规定，使用伪造、变造的犬只标识的，由畜牧兽医行政主管部门没收伪造、变造的犬只标识和违法所得，并处</w:t>
      </w:r>
      <w:r>
        <w:rPr>
          <w:rFonts w:ascii="方正仿宋_GBK" w:hAnsi="方正仿宋_GBK" w:eastAsia="方正仿宋_GBK" w:cs="方正仿宋_GBK"/>
          <w:sz w:val="32"/>
          <w:szCs w:val="32"/>
        </w:rPr>
        <w:t>1000</w:t>
      </w:r>
      <w:r>
        <w:rPr>
          <w:rFonts w:hint="eastAsia" w:ascii="方正仿宋_GBK" w:hAnsi="方正仿宋_GBK" w:eastAsia="方正仿宋_GBK" w:cs="方正仿宋_GBK"/>
          <w:sz w:val="32"/>
          <w:szCs w:val="32"/>
        </w:rPr>
        <w:t>元以上</w:t>
      </w:r>
      <w:r>
        <w:rPr>
          <w:rFonts w:ascii="方正仿宋_GBK" w:hAnsi="方正仿宋_GBK" w:eastAsia="方正仿宋_GBK" w:cs="方正仿宋_GBK"/>
          <w:sz w:val="32"/>
          <w:szCs w:val="32"/>
        </w:rPr>
        <w:t>3000</w:t>
      </w:r>
      <w:r>
        <w:rPr>
          <w:rFonts w:hint="eastAsia" w:ascii="方正仿宋_GBK" w:hAnsi="方正仿宋_GBK" w:eastAsia="方正仿宋_GBK" w:cs="方正仿宋_GBK"/>
          <w:sz w:val="32"/>
          <w:szCs w:val="32"/>
        </w:rPr>
        <w:t>元以下罚款。</w:t>
      </w:r>
    </w:p>
    <w:p w14:paraId="30DDB7DD">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第三十三条</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饲养犬只干扰他人正常生活的，由公安机关依据《中华人民共和国治安管理处罚法》处警告，警告后不改正的，或者放任动物恐吓他人的，处</w:t>
      </w:r>
      <w:r>
        <w:rPr>
          <w:rFonts w:ascii="方正仿宋_GBK" w:hAnsi="方正仿宋_GBK" w:eastAsia="方正仿宋_GBK" w:cs="方正仿宋_GBK"/>
          <w:sz w:val="32"/>
          <w:szCs w:val="32"/>
        </w:rPr>
        <w:t>200</w:t>
      </w:r>
      <w:r>
        <w:rPr>
          <w:rFonts w:hint="eastAsia" w:ascii="方正仿宋_GBK" w:hAnsi="方正仿宋_GBK" w:eastAsia="方正仿宋_GBK" w:cs="方正仿宋_GBK"/>
          <w:sz w:val="32"/>
          <w:szCs w:val="32"/>
        </w:rPr>
        <w:t>元以上</w:t>
      </w:r>
      <w:r>
        <w:rPr>
          <w:rFonts w:ascii="方正仿宋_GBK" w:hAnsi="方正仿宋_GBK" w:eastAsia="方正仿宋_GBK" w:cs="方正仿宋_GBK"/>
          <w:sz w:val="32"/>
          <w:szCs w:val="32"/>
        </w:rPr>
        <w:t>500</w:t>
      </w:r>
      <w:r>
        <w:rPr>
          <w:rFonts w:hint="eastAsia" w:ascii="方正仿宋_GBK" w:hAnsi="方正仿宋_GBK" w:eastAsia="方正仿宋_GBK" w:cs="方正仿宋_GBK"/>
          <w:sz w:val="32"/>
          <w:szCs w:val="32"/>
        </w:rPr>
        <w:t>元以下罚款。犬只二次以上（含二次）伤害他人或者一次伤害两人以上的，由公安部门吊销《养犬登记证》。</w:t>
      </w:r>
    </w:p>
    <w:p w14:paraId="51FF386F">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第三十四条</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违反本规定，养犬人携犬只进入公共场所的，乘坐公共交通工具的，携犬只出户时不对犬只束犬链的，遗弃所饲养犬只的，由公安部门予以警告，并对个人处</w:t>
      </w:r>
      <w:r>
        <w:rPr>
          <w:rFonts w:ascii="方正仿宋_GBK" w:hAnsi="方正仿宋_GBK" w:eastAsia="方正仿宋_GBK" w:cs="方正仿宋_GBK"/>
          <w:sz w:val="32"/>
          <w:szCs w:val="32"/>
        </w:rPr>
        <w:t>100</w:t>
      </w:r>
      <w:r>
        <w:rPr>
          <w:rFonts w:hint="eastAsia" w:ascii="方正仿宋_GBK" w:hAnsi="方正仿宋_GBK" w:eastAsia="方正仿宋_GBK" w:cs="方正仿宋_GBK"/>
          <w:sz w:val="32"/>
          <w:szCs w:val="32"/>
        </w:rPr>
        <w:t>元以上</w:t>
      </w:r>
      <w:r>
        <w:rPr>
          <w:rFonts w:ascii="方正仿宋_GBK" w:hAnsi="方正仿宋_GBK" w:eastAsia="方正仿宋_GBK" w:cs="方正仿宋_GBK"/>
          <w:sz w:val="32"/>
          <w:szCs w:val="32"/>
        </w:rPr>
        <w:t>1000</w:t>
      </w:r>
      <w:r>
        <w:rPr>
          <w:rFonts w:hint="eastAsia" w:ascii="方正仿宋_GBK" w:hAnsi="方正仿宋_GBK" w:eastAsia="方正仿宋_GBK" w:cs="方正仿宋_GBK"/>
          <w:sz w:val="32"/>
          <w:szCs w:val="32"/>
        </w:rPr>
        <w:t>元以下罚款</w:t>
      </w:r>
      <w:r>
        <w:rPr>
          <w:rFonts w:ascii="方正仿宋_GBK" w:hAnsi="方正仿宋_GBK" w:eastAsia="方正仿宋_GBK" w:cs="方正仿宋_GBK"/>
          <w:sz w:val="32"/>
          <w:szCs w:val="32"/>
        </w:rPr>
        <w:t>, </w:t>
      </w:r>
      <w:r>
        <w:rPr>
          <w:rFonts w:hint="eastAsia" w:ascii="方正仿宋_GBK" w:hAnsi="方正仿宋_GBK" w:eastAsia="方正仿宋_GBK" w:cs="方正仿宋_GBK"/>
          <w:sz w:val="32"/>
          <w:szCs w:val="32"/>
        </w:rPr>
        <w:t>对单位处</w:t>
      </w:r>
      <w:r>
        <w:rPr>
          <w:rFonts w:ascii="方正仿宋_GBK" w:hAnsi="方正仿宋_GBK" w:eastAsia="方正仿宋_GBK" w:cs="方正仿宋_GBK"/>
          <w:sz w:val="32"/>
          <w:szCs w:val="32"/>
        </w:rPr>
        <w:t>1000</w:t>
      </w:r>
      <w:r>
        <w:rPr>
          <w:rFonts w:hint="eastAsia" w:ascii="方正仿宋_GBK" w:hAnsi="方正仿宋_GBK" w:eastAsia="方正仿宋_GBK" w:cs="方正仿宋_GBK"/>
          <w:sz w:val="32"/>
          <w:szCs w:val="32"/>
        </w:rPr>
        <w:t>元以上</w:t>
      </w:r>
      <w:r>
        <w:rPr>
          <w:rFonts w:ascii="方正仿宋_GBK" w:hAnsi="方正仿宋_GBK" w:eastAsia="方正仿宋_GBK" w:cs="方正仿宋_GBK"/>
          <w:sz w:val="32"/>
          <w:szCs w:val="32"/>
        </w:rPr>
        <w:t>3000</w:t>
      </w:r>
      <w:r>
        <w:rPr>
          <w:rFonts w:hint="eastAsia" w:ascii="方正仿宋_GBK" w:hAnsi="方正仿宋_GBK" w:eastAsia="方正仿宋_GBK" w:cs="方正仿宋_GBK"/>
          <w:sz w:val="32"/>
          <w:szCs w:val="32"/>
        </w:rPr>
        <w:t>元以下罚款。情节严重的，没收其犬只，吊销《养犬登记证》。</w:t>
      </w:r>
    </w:p>
    <w:p w14:paraId="03A4AB27">
      <w:pPr>
        <w:spacing w:line="600" w:lineRule="exact"/>
        <w:ind w:firstLine="640" w:firstLineChars="200"/>
        <w:rPr>
          <w:rFonts w:ascii="方正仿宋_GBK" w:hAnsi="方正仿宋_GBK" w:eastAsia="方正仿宋_GBK" w:cs="Times New Roman"/>
          <w:spacing w:val="-10"/>
          <w:sz w:val="32"/>
          <w:szCs w:val="32"/>
        </w:rPr>
      </w:pPr>
      <w:r>
        <w:rPr>
          <w:rFonts w:hint="eastAsia" w:ascii="方正仿宋_GBK" w:hAnsi="方正仿宋_GBK" w:eastAsia="方正仿宋_GBK" w:cs="方正仿宋_GBK"/>
          <w:sz w:val="32"/>
          <w:szCs w:val="32"/>
        </w:rPr>
        <w:t>第三十五条</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养犬人应当防止犬只在户外活动时损坏公共绿地，对犬只排泄物应当及时清除，违反上述规定的，</w:t>
      </w:r>
      <w:r>
        <w:rPr>
          <w:rFonts w:hint="eastAsia" w:ascii="方正仿宋_GBK" w:hAnsi="方正仿宋_GBK" w:eastAsia="方正仿宋_GBK" w:cs="方正仿宋_GBK"/>
          <w:spacing w:val="-10"/>
          <w:sz w:val="32"/>
          <w:szCs w:val="32"/>
        </w:rPr>
        <w:t>由城市管理行政部门责令改正，并处</w:t>
      </w:r>
      <w:r>
        <w:rPr>
          <w:rFonts w:ascii="方正仿宋_GBK" w:hAnsi="方正仿宋_GBK" w:eastAsia="方正仿宋_GBK" w:cs="方正仿宋_GBK"/>
          <w:spacing w:val="-10"/>
          <w:sz w:val="32"/>
          <w:szCs w:val="32"/>
        </w:rPr>
        <w:t>100</w:t>
      </w:r>
      <w:r>
        <w:rPr>
          <w:rFonts w:hint="eastAsia" w:ascii="方正仿宋_GBK" w:hAnsi="方正仿宋_GBK" w:eastAsia="方正仿宋_GBK" w:cs="方正仿宋_GBK"/>
          <w:spacing w:val="-10"/>
          <w:sz w:val="32"/>
          <w:szCs w:val="32"/>
        </w:rPr>
        <w:t>元以上</w:t>
      </w:r>
      <w:r>
        <w:rPr>
          <w:rFonts w:ascii="方正仿宋_GBK" w:hAnsi="方正仿宋_GBK" w:eastAsia="方正仿宋_GBK" w:cs="方正仿宋_GBK"/>
          <w:spacing w:val="-10"/>
          <w:sz w:val="32"/>
          <w:szCs w:val="32"/>
        </w:rPr>
        <w:t>1000</w:t>
      </w:r>
      <w:r>
        <w:rPr>
          <w:rFonts w:hint="eastAsia" w:ascii="方正仿宋_GBK" w:hAnsi="方正仿宋_GBK" w:eastAsia="方正仿宋_GBK" w:cs="方正仿宋_GBK"/>
          <w:spacing w:val="-10"/>
          <w:sz w:val="32"/>
          <w:szCs w:val="32"/>
        </w:rPr>
        <w:t>元以下罚款。</w:t>
      </w:r>
    </w:p>
    <w:p w14:paraId="38D181BA">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第三十六条</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养犬人构成阻碍执行职务的，依据《中华人民共和国治安管理处罚法》的规定，由公安机关处警告或者</w:t>
      </w:r>
      <w:r>
        <w:rPr>
          <w:rFonts w:ascii="方正仿宋_GBK" w:hAnsi="方正仿宋_GBK" w:eastAsia="方正仿宋_GBK" w:cs="方正仿宋_GBK"/>
          <w:sz w:val="32"/>
          <w:szCs w:val="32"/>
        </w:rPr>
        <w:t>200</w:t>
      </w:r>
      <w:r>
        <w:rPr>
          <w:rFonts w:hint="eastAsia" w:ascii="方正仿宋_GBK" w:hAnsi="方正仿宋_GBK" w:eastAsia="方正仿宋_GBK" w:cs="方正仿宋_GBK"/>
          <w:sz w:val="32"/>
          <w:szCs w:val="32"/>
        </w:rPr>
        <w:t>元以下罚款；情节严重的，处五日以上十日以下拘留，可以并处</w:t>
      </w:r>
      <w:r>
        <w:rPr>
          <w:rFonts w:ascii="方正仿宋_GBK" w:hAnsi="方正仿宋_GBK" w:eastAsia="方正仿宋_GBK" w:cs="方正仿宋_GBK"/>
          <w:sz w:val="32"/>
          <w:szCs w:val="32"/>
        </w:rPr>
        <w:t>500 </w:t>
      </w:r>
      <w:r>
        <w:rPr>
          <w:rFonts w:hint="eastAsia" w:ascii="方正仿宋_GBK" w:hAnsi="方正仿宋_GBK" w:eastAsia="方正仿宋_GBK" w:cs="方正仿宋_GBK"/>
          <w:sz w:val="32"/>
          <w:szCs w:val="32"/>
        </w:rPr>
        <w:t>元以下罚款；构成犯罪的，依法追究刑事责任。</w:t>
      </w:r>
    </w:p>
    <w:p w14:paraId="5762BF25">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第三十七条</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行政机关工作人员在养犬管理工作中玩忽职守、滥用职权、徇私舞弊的，依法给予处分；构成犯罪的，依法追究刑事责任。</w:t>
      </w:r>
    </w:p>
    <w:p w14:paraId="0AF7B8B7">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第三十八条</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当事人对有关行政主管部门做出的处罚决定不服，可依法申请行政复议或者提起行政诉讼。</w:t>
      </w:r>
    </w:p>
    <w:p w14:paraId="0590F35B">
      <w:pPr>
        <w:spacing w:line="600" w:lineRule="exact"/>
        <w:rPr>
          <w:rFonts w:ascii="方正黑体_GBK" w:hAnsi="方正黑体_GBK" w:eastAsia="方正黑体_GBK" w:cs="Times New Roman"/>
          <w:sz w:val="32"/>
          <w:szCs w:val="32"/>
        </w:rPr>
      </w:pPr>
    </w:p>
    <w:p w14:paraId="18FCCD77">
      <w:pPr>
        <w:spacing w:line="600" w:lineRule="exact"/>
        <w:jc w:val="center"/>
        <w:rPr>
          <w:rFonts w:ascii="方正黑体_GBK" w:hAnsi="方正黑体_GBK" w:eastAsia="方正黑体_GBK" w:cs="Times New Roman"/>
          <w:sz w:val="32"/>
          <w:szCs w:val="32"/>
        </w:rPr>
      </w:pPr>
      <w:r>
        <w:rPr>
          <w:rFonts w:hint="eastAsia" w:ascii="方正黑体_GBK" w:hAnsi="方正黑体_GBK" w:eastAsia="方正黑体_GBK" w:cs="方正黑体_GBK"/>
          <w:sz w:val="32"/>
          <w:szCs w:val="32"/>
        </w:rPr>
        <w:t>第五章</w:t>
      </w:r>
      <w:r>
        <w:rPr>
          <w:rFonts w:ascii="方正黑体_GBK" w:hAnsi="方正黑体_GBK" w:eastAsia="方正黑体_GBK" w:cs="Times New Roman"/>
          <w:sz w:val="32"/>
          <w:szCs w:val="32"/>
        </w:rPr>
        <w:t> </w:t>
      </w:r>
      <w:r>
        <w:rPr>
          <w:rFonts w:hint="eastAsia" w:ascii="方正黑体_GBK" w:hAnsi="方正黑体_GBK" w:eastAsia="方正黑体_GBK" w:cs="方正黑体_GBK"/>
          <w:sz w:val="32"/>
          <w:szCs w:val="32"/>
        </w:rPr>
        <w:t>附则</w:t>
      </w:r>
    </w:p>
    <w:p w14:paraId="51ED7596">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第三十九条</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芒市城区养犬办证范围以市人民政府确定的建成区内。</w:t>
      </w:r>
    </w:p>
    <w:p w14:paraId="691DBC52">
      <w:pPr>
        <w:spacing w:line="600" w:lineRule="exact"/>
        <w:ind w:firstLine="640" w:firstLineChars="200"/>
        <w:rPr>
          <w:rFonts w:ascii="方正小标宋_GBK" w:eastAsia="方正小标宋_GBK" w:cs="Times New Roman"/>
          <w:sz w:val="44"/>
          <w:szCs w:val="44"/>
        </w:rPr>
      </w:pPr>
      <w:r>
        <w:rPr>
          <w:rFonts w:hint="eastAsia" w:ascii="方正仿宋_GBK" w:hAnsi="方正仿宋_GBK" w:eastAsia="方正仿宋_GBK" w:cs="方正仿宋_GBK"/>
          <w:sz w:val="32"/>
          <w:szCs w:val="32"/>
        </w:rPr>
        <w:t>第四十条</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本办法自发布之日起三十日后施行。</w:t>
      </w:r>
    </w:p>
    <w:sectPr>
      <w:headerReference r:id="rId3" w:type="default"/>
      <w:footerReference r:id="rId4" w:type="default"/>
      <w:pgSz w:w="11906" w:h="16838"/>
      <w:pgMar w:top="2098" w:right="1474" w:bottom="1985" w:left="1588" w:header="851" w:footer="1389"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rif">
    <w:altName w:val="Times New Roman"/>
    <w:panose1 w:val="00000000000000000000"/>
    <w:charset w:val="00"/>
    <w:family w:val="auto"/>
    <w:pitch w:val="default"/>
    <w:sig w:usb0="00000000" w:usb1="00000000" w:usb2="00000000" w:usb3="00000000" w:csb0="00000001" w:csb1="00000000"/>
  </w:font>
  <w:font w:name="方正小标宋_GBK">
    <w:panose1 w:val="02000000000000000000"/>
    <w:charset w:val="86"/>
    <w:family w:val="script"/>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方正黑体_GBK">
    <w:panose1 w:val="02000000000000000000"/>
    <w:charset w:val="86"/>
    <w:family w:val="script"/>
    <w:pitch w:val="default"/>
    <w:sig w:usb0="A00002BF" w:usb1="38CF7CFA" w:usb2="00082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2B3A2">
    <w:pPr>
      <w:pStyle w:val="2"/>
      <w:framePr w:wrap="around" w:vAnchor="text" w:hAnchor="margin" w:xAlign="outside" w:y="1"/>
      <w:rPr>
        <w:rStyle w:val="8"/>
        <w:rFonts w:ascii="宋体" w:cs="宋体"/>
        <w:sz w:val="28"/>
        <w:szCs w:val="28"/>
      </w:rPr>
    </w:pPr>
    <w:r>
      <w:rPr>
        <w:rStyle w:val="8"/>
        <w:rFonts w:ascii="宋体" w:hAnsi="宋体" w:cs="宋体"/>
        <w:sz w:val="28"/>
        <w:szCs w:val="28"/>
      </w:rPr>
      <w:t xml:space="preserve">— </w:t>
    </w:r>
    <w:r>
      <w:rPr>
        <w:rStyle w:val="8"/>
        <w:rFonts w:ascii="宋体" w:hAnsi="宋体" w:cs="宋体"/>
        <w:sz w:val="28"/>
        <w:szCs w:val="28"/>
      </w:rPr>
      <w:fldChar w:fldCharType="begin"/>
    </w:r>
    <w:r>
      <w:rPr>
        <w:rStyle w:val="8"/>
        <w:rFonts w:ascii="宋体" w:hAnsi="宋体" w:cs="宋体"/>
        <w:sz w:val="28"/>
        <w:szCs w:val="28"/>
      </w:rPr>
      <w:instrText xml:space="preserve">PAGE  </w:instrText>
    </w:r>
    <w:r>
      <w:rPr>
        <w:rStyle w:val="8"/>
        <w:rFonts w:ascii="宋体" w:hAnsi="宋体" w:cs="宋体"/>
        <w:sz w:val="28"/>
        <w:szCs w:val="28"/>
      </w:rPr>
      <w:fldChar w:fldCharType="separate"/>
    </w:r>
    <w:r>
      <w:rPr>
        <w:rStyle w:val="8"/>
        <w:rFonts w:ascii="宋体" w:hAnsi="宋体" w:cs="宋体"/>
        <w:sz w:val="28"/>
        <w:szCs w:val="28"/>
      </w:rPr>
      <w:t>8</w:t>
    </w:r>
    <w:r>
      <w:rPr>
        <w:rStyle w:val="8"/>
        <w:rFonts w:ascii="宋体" w:hAnsi="宋体" w:cs="宋体"/>
        <w:sz w:val="28"/>
        <w:szCs w:val="28"/>
      </w:rPr>
      <w:fldChar w:fldCharType="end"/>
    </w:r>
    <w:r>
      <w:rPr>
        <w:rStyle w:val="8"/>
        <w:rFonts w:ascii="宋体" w:hAnsi="宋体" w:cs="宋体"/>
        <w:sz w:val="28"/>
        <w:szCs w:val="28"/>
      </w:rPr>
      <w:t xml:space="preserve"> —</w:t>
    </w:r>
  </w:p>
  <w:p w14:paraId="6FEAD7FE">
    <w:pPr>
      <w:pStyle w:val="2"/>
      <w:ind w:right="360"/>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2AD43">
    <w:pPr>
      <w:pStyle w:val="3"/>
      <w:pBdr>
        <w:top w:val="none" w:color="auto" w:sz="0" w:space="0"/>
        <w:left w:val="none" w:color="auto" w:sz="0" w:space="0"/>
        <w:bottom w:val="none" w:color="auto" w:sz="0" w:space="0"/>
        <w:right w:val="none" w:color="auto" w:sz="0" w:space="0"/>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6C7A55"/>
    <w:rsid w:val="00045DD5"/>
    <w:rsid w:val="000D7FA3"/>
    <w:rsid w:val="001E3CA0"/>
    <w:rsid w:val="003C733C"/>
    <w:rsid w:val="005460C3"/>
    <w:rsid w:val="00854800"/>
    <w:rsid w:val="00D2758E"/>
    <w:rsid w:val="00F62FFC"/>
    <w:rsid w:val="04761119"/>
    <w:rsid w:val="06D84A4B"/>
    <w:rsid w:val="0A560934"/>
    <w:rsid w:val="0CC2596B"/>
    <w:rsid w:val="177860B4"/>
    <w:rsid w:val="197D5D27"/>
    <w:rsid w:val="2A7D7420"/>
    <w:rsid w:val="35C860B4"/>
    <w:rsid w:val="3A110ECF"/>
    <w:rsid w:val="4F3C66D9"/>
    <w:rsid w:val="576C7A55"/>
    <w:rsid w:val="75F03996"/>
    <w:rsid w:val="7C42061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sdException w:qFormat="1" w:unhideWhenUsed="0" w:uiPriority="99" w:semiHidden="0"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8"/>
    <w:qFormat/>
    <w:uiPriority w:val="99"/>
    <w:pPr>
      <w:tabs>
        <w:tab w:val="center" w:pos="4153"/>
        <w:tab w:val="right" w:pos="8306"/>
      </w:tabs>
      <w:snapToGrid w:val="0"/>
      <w:jc w:val="left"/>
    </w:pPr>
    <w:rPr>
      <w:sz w:val="18"/>
      <w:szCs w:val="18"/>
    </w:rPr>
  </w:style>
  <w:style w:type="paragraph" w:styleId="3">
    <w:name w:val="header"/>
    <w:basedOn w:val="1"/>
    <w:link w:val="1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4">
    <w:name w:val="Normal (Web)"/>
    <w:basedOn w:val="1"/>
    <w:qFormat/>
    <w:uiPriority w:val="99"/>
    <w:pPr>
      <w:jc w:val="left"/>
    </w:pPr>
    <w:rPr>
      <w:kern w:val="0"/>
      <w:sz w:val="24"/>
      <w:szCs w:val="24"/>
    </w:rPr>
  </w:style>
  <w:style w:type="character" w:styleId="7">
    <w:name w:val="Strong"/>
    <w:basedOn w:val="6"/>
    <w:qFormat/>
    <w:uiPriority w:val="99"/>
    <w:rPr>
      <w:b/>
      <w:bCs/>
    </w:rPr>
  </w:style>
  <w:style w:type="character" w:styleId="8">
    <w:name w:val="page number"/>
    <w:basedOn w:val="6"/>
    <w:qFormat/>
    <w:uiPriority w:val="99"/>
  </w:style>
  <w:style w:type="character" w:styleId="9">
    <w:name w:val="FollowedHyperlink"/>
    <w:basedOn w:val="6"/>
    <w:qFormat/>
    <w:uiPriority w:val="99"/>
    <w:rPr>
      <w:color w:val="auto"/>
      <w:u w:val="none"/>
    </w:rPr>
  </w:style>
  <w:style w:type="character" w:styleId="10">
    <w:name w:val="Emphasis"/>
    <w:basedOn w:val="6"/>
    <w:qFormat/>
    <w:uiPriority w:val="99"/>
  </w:style>
  <w:style w:type="character" w:styleId="11">
    <w:name w:val="HTML Definition"/>
    <w:basedOn w:val="6"/>
    <w:qFormat/>
    <w:uiPriority w:val="99"/>
  </w:style>
  <w:style w:type="character" w:styleId="12">
    <w:name w:val="HTML Variable"/>
    <w:basedOn w:val="6"/>
    <w:qFormat/>
    <w:uiPriority w:val="99"/>
  </w:style>
  <w:style w:type="character" w:styleId="13">
    <w:name w:val="Hyperlink"/>
    <w:basedOn w:val="6"/>
    <w:qFormat/>
    <w:uiPriority w:val="99"/>
    <w:rPr>
      <w:color w:val="auto"/>
      <w:u w:val="none"/>
    </w:rPr>
  </w:style>
  <w:style w:type="character" w:styleId="14">
    <w:name w:val="HTML Code"/>
    <w:basedOn w:val="6"/>
    <w:qFormat/>
    <w:uiPriority w:val="99"/>
    <w:rPr>
      <w:rFonts w:ascii="serif" w:hAnsi="serif" w:eastAsia="Times New Roman" w:cs="serif"/>
      <w:sz w:val="21"/>
      <w:szCs w:val="21"/>
    </w:rPr>
  </w:style>
  <w:style w:type="character" w:styleId="15">
    <w:name w:val="HTML Cite"/>
    <w:basedOn w:val="6"/>
    <w:qFormat/>
    <w:uiPriority w:val="99"/>
  </w:style>
  <w:style w:type="character" w:styleId="16">
    <w:name w:val="HTML Keyboard"/>
    <w:basedOn w:val="6"/>
    <w:qFormat/>
    <w:uiPriority w:val="99"/>
    <w:rPr>
      <w:rFonts w:ascii="serif" w:hAnsi="serif" w:eastAsia="Times New Roman" w:cs="serif"/>
      <w:sz w:val="21"/>
      <w:szCs w:val="21"/>
    </w:rPr>
  </w:style>
  <w:style w:type="character" w:styleId="17">
    <w:name w:val="HTML Sample"/>
    <w:basedOn w:val="6"/>
    <w:qFormat/>
    <w:uiPriority w:val="99"/>
    <w:rPr>
      <w:rFonts w:ascii="serif" w:hAnsi="serif" w:eastAsia="Times New Roman" w:cs="serif"/>
      <w:sz w:val="21"/>
      <w:szCs w:val="21"/>
    </w:rPr>
  </w:style>
  <w:style w:type="character" w:customStyle="1" w:styleId="18">
    <w:name w:val="Footer Char"/>
    <w:basedOn w:val="6"/>
    <w:link w:val="2"/>
    <w:semiHidden/>
    <w:qFormat/>
    <w:uiPriority w:val="99"/>
    <w:rPr>
      <w:rFonts w:ascii="Calibri" w:hAnsi="Calibri" w:cs="Calibri"/>
      <w:sz w:val="18"/>
      <w:szCs w:val="18"/>
    </w:rPr>
  </w:style>
  <w:style w:type="character" w:customStyle="1" w:styleId="19">
    <w:name w:val="Header Char"/>
    <w:basedOn w:val="6"/>
    <w:link w:val="3"/>
    <w:semiHidden/>
    <w:qFormat/>
    <w:uiPriority w:val="99"/>
    <w:rPr>
      <w:rFonts w:ascii="Calibri" w:hAnsi="Calibri" w:cs="Calibri"/>
      <w:sz w:val="18"/>
      <w:szCs w:val="18"/>
    </w:rPr>
  </w:style>
  <w:style w:type="character" w:customStyle="1" w:styleId="20">
    <w:name w:val="fontstrikethrough"/>
    <w:basedOn w:val="6"/>
    <w:qFormat/>
    <w:uiPriority w:val="99"/>
    <w:rPr>
      <w:strike/>
    </w:rPr>
  </w:style>
  <w:style w:type="character" w:customStyle="1" w:styleId="21">
    <w:name w:val="fontborder"/>
    <w:basedOn w:val="6"/>
    <w:qFormat/>
    <w:uiPriority w:val="99"/>
    <w:rPr>
      <w:bdr w:val="single" w:color="000000" w:sz="6" w:space="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德宏州芒市党政机关单位</Company>
  <Pages>10</Pages>
  <Words>4127</Words>
  <Characters>4171</Characters>
  <Lines>0</Lines>
  <Paragraphs>0</Paragraphs>
  <TotalTime>20</TotalTime>
  <ScaleCrop>false</ScaleCrop>
  <LinksUpToDate>false</LinksUpToDate>
  <CharactersWithSpaces>4221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2020-11-11T06:26:00Z</dcterms:created>
  <dc:creator>君临天下1395383696</dc:creator>
  <cp:lastModifiedBy>Lོ-i༣n༵⃐ଓ⁾⁾</cp:lastModifiedBy>
  <cp:lastPrinted>2020-11-17T03:55:00Z</cp:lastPrinted>
  <dcterms:modified xsi:type="dcterms:W3CDTF">2025-07-01T02:43:00Z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eyJoZGlkIjoiOWNkM2IyNmZmZTcwNDY1N2VjYTUzZmUyYWQzMTFlNGIiLCJ1c2VySWQiOiI0NTc5MjAzNDUifQ==</vt:lpwstr>
  </property>
  <property fmtid="{D5CDD505-2E9C-101B-9397-08002B2CF9AE}" pid="4" name="ICV">
    <vt:lpwstr>DB85B1FBB1DC4187859F44046E299791_12</vt:lpwstr>
  </property>
</Properties>
</file>