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00" w:lineRule="exact"/>
        <w:jc w:val="center"/>
        <w:rPr>
          <w:rFonts w:hint="eastAsia" w:ascii="方正小标宋_GBK" w:hAnsi="方正小标宋_GBK" w:eastAsia="方正小标宋_GBK" w:cs="方正小标宋_GBK"/>
          <w:color w:val="auto"/>
          <w:sz w:val="44"/>
          <w:szCs w:val="44"/>
          <w:lang w:eastAsia="zh-CN"/>
        </w:rPr>
      </w:pPr>
    </w:p>
    <w:p>
      <w:pPr>
        <w:autoSpaceDE w:val="0"/>
        <w:adjustRightInd w:val="0"/>
        <w:snapToGrid w:val="0"/>
        <w:spacing w:line="500" w:lineRule="exact"/>
        <w:jc w:val="center"/>
        <w:rPr>
          <w:rFonts w:ascii="方正小标宋简体" w:hAnsi="Calibri" w:eastAsia="方正小标宋简体"/>
          <w:color w:val="auto"/>
          <w:sz w:val="44"/>
          <w:szCs w:val="44"/>
        </w:rPr>
      </w:pPr>
      <w:r>
        <w:rPr>
          <w:rFonts w:hint="eastAsia" w:ascii="方正小标宋_GBK" w:hAnsi="方正小标宋_GBK" w:eastAsia="方正小标宋_GBK" w:cs="方正小标宋_GBK"/>
          <w:color w:val="auto"/>
          <w:sz w:val="44"/>
          <w:szCs w:val="44"/>
          <w:lang w:val="en-US" w:eastAsia="zh-CN"/>
        </w:rPr>
        <w:t>芒市综合执法局</w:t>
      </w:r>
      <w:r>
        <w:rPr>
          <w:rFonts w:hint="eastAsia" w:ascii="方正小标宋_GBK" w:hAnsi="方正小标宋_GBK" w:eastAsia="方正小标宋_GBK" w:cs="方正小标宋_GBK"/>
          <w:color w:val="auto"/>
          <w:sz w:val="44"/>
          <w:szCs w:val="44"/>
        </w:rPr>
        <w:t>服务群众服务基层服务企业</w:t>
      </w:r>
      <w:r>
        <w:rPr>
          <w:rFonts w:hint="eastAsia" w:ascii="宋体" w:hAnsi="宋体" w:eastAsia="宋体" w:cs="宋体"/>
          <w:color w:val="auto"/>
          <w:sz w:val="44"/>
          <w:szCs w:val="44"/>
          <w:lang w:eastAsia="zh-CN"/>
        </w:rPr>
        <w:t>“</w:t>
      </w:r>
      <w:r>
        <w:rPr>
          <w:rFonts w:hint="eastAsia" w:ascii="方正小标宋_GBK" w:hAnsi="方正小标宋_GBK" w:eastAsia="方正小标宋_GBK" w:cs="方正小标宋_GBK"/>
          <w:color w:val="auto"/>
          <w:sz w:val="44"/>
          <w:szCs w:val="44"/>
        </w:rPr>
        <w:t>三服务</w:t>
      </w:r>
      <w:r>
        <w:rPr>
          <w:rFonts w:hint="eastAsia" w:ascii="宋体" w:hAnsi="宋体" w:eastAsia="宋体" w:cs="宋体"/>
          <w:color w:val="auto"/>
          <w:sz w:val="44"/>
          <w:szCs w:val="44"/>
          <w:lang w:eastAsia="zh-CN"/>
        </w:rPr>
        <w:t>”</w:t>
      </w:r>
      <w:r>
        <w:rPr>
          <w:rFonts w:hint="eastAsia" w:ascii="方正小标宋_GBK" w:hAnsi="方正小标宋_GBK" w:eastAsia="方正小标宋_GBK" w:cs="方正小标宋_GBK"/>
          <w:color w:val="auto"/>
          <w:sz w:val="44"/>
          <w:szCs w:val="44"/>
        </w:rPr>
        <w:t>清单</w:t>
      </w:r>
    </w:p>
    <w:p>
      <w:pPr>
        <w:autoSpaceDE w:val="0"/>
        <w:adjustRightInd w:val="0"/>
        <w:snapToGrid w:val="0"/>
        <w:spacing w:line="500" w:lineRule="exact"/>
        <w:rPr>
          <w:rFonts w:hint="eastAsia" w:ascii="Times New Roman" w:hAnsi="Times New Roman"/>
          <w:color w:val="auto"/>
          <w:sz w:val="28"/>
          <w:szCs w:val="28"/>
        </w:rPr>
      </w:pPr>
    </w:p>
    <w:p>
      <w:pPr>
        <w:autoSpaceDE w:val="0"/>
        <w:adjustRightInd w:val="0"/>
        <w:snapToGrid w:val="0"/>
        <w:spacing w:line="500" w:lineRule="exact"/>
        <w:rPr>
          <w:rFonts w:hint="default" w:ascii="Times New Roman" w:hAnsi="Times New Roman" w:eastAsia="宋体"/>
          <w:color w:val="auto"/>
          <w:sz w:val="28"/>
          <w:szCs w:val="28"/>
          <w:lang w:val="en-US" w:eastAsia="zh-CN"/>
        </w:rPr>
      </w:pPr>
      <w:r>
        <w:rPr>
          <w:rFonts w:ascii="方正仿宋_GBK" w:hAnsi="Times New Roman"/>
          <w:color w:val="auto"/>
          <w:sz w:val="28"/>
          <w:szCs w:val="28"/>
        </w:rPr>
        <w:t>填报单位</w:t>
      </w:r>
      <w:r>
        <w:rPr>
          <w:rFonts w:hint="eastAsia" w:ascii="Times New Roman" w:hAnsi="Times New Roman" w:eastAsia="方正仿宋_GBK"/>
          <w:color w:val="auto"/>
          <w:kern w:val="2"/>
          <w:sz w:val="28"/>
          <w:szCs w:val="28"/>
          <w:lang w:val="en-US" w:eastAsia="zh-CN"/>
        </w:rPr>
        <w:t xml:space="preserve">：芒市城市管理综合行政执法局 </w:t>
      </w:r>
      <w:r>
        <w:rPr>
          <w:rFonts w:hint="eastAsia" w:ascii="Times New Roman" w:hAnsi="Times New Roman"/>
          <w:color w:val="auto"/>
          <w:sz w:val="28"/>
          <w:szCs w:val="28"/>
        </w:rPr>
        <w:t xml:space="preserve">                  </w:t>
      </w:r>
      <w:r>
        <w:rPr>
          <w:rFonts w:ascii="方正仿宋_GBK" w:hAnsi="Times New Roman"/>
          <w:color w:val="auto"/>
          <w:sz w:val="28"/>
          <w:szCs w:val="28"/>
        </w:rPr>
        <w:t>联系人及电话</w:t>
      </w:r>
      <w:r>
        <w:rPr>
          <w:rFonts w:hint="eastAsia" w:ascii="方正仿宋_GBK" w:hAnsi="Times New Roman"/>
          <w:color w:val="auto"/>
          <w:sz w:val="28"/>
          <w:szCs w:val="28"/>
        </w:rPr>
        <w:t>：</w:t>
      </w:r>
      <w:r>
        <w:rPr>
          <w:rFonts w:hint="eastAsia" w:ascii="方正仿宋_GBK" w:hAnsi="Times New Roman"/>
          <w:color w:val="auto"/>
          <w:sz w:val="28"/>
          <w:szCs w:val="28"/>
          <w:lang w:val="en-US" w:eastAsia="zh-CN"/>
        </w:rPr>
        <w:t xml:space="preserve">冉清雯  </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065"/>
        <w:gridCol w:w="711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7" w:type="dxa"/>
            <w:tcBorders>
              <w:top w:val="single" w:color="auto" w:sz="4" w:space="0"/>
              <w:left w:val="single" w:color="auto" w:sz="4" w:space="0"/>
              <w:bottom w:val="single" w:color="auto" w:sz="4" w:space="0"/>
              <w:right w:val="single" w:color="auto" w:sz="4" w:space="0"/>
            </w:tcBorders>
            <w:noWrap w:val="0"/>
            <w:vAlign w:val="top"/>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序号</w:t>
            </w:r>
          </w:p>
        </w:tc>
        <w:tc>
          <w:tcPr>
            <w:tcW w:w="2065"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服务事项</w:t>
            </w:r>
          </w:p>
        </w:tc>
        <w:tc>
          <w:tcPr>
            <w:tcW w:w="7118"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具体内容</w:t>
            </w:r>
          </w:p>
        </w:tc>
        <w:tc>
          <w:tcPr>
            <w:tcW w:w="3544"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center"/>
              <w:rPr>
                <w:rFonts w:hint="eastAsia"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1</w:t>
            </w:r>
          </w:p>
        </w:tc>
        <w:tc>
          <w:tcPr>
            <w:tcW w:w="206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500" w:lineRule="exact"/>
              <w:ind w:left="0" w:leftChars="0" w:firstLine="0" w:firstLineChars="0"/>
              <w:jc w:val="center"/>
              <w:rPr>
                <w:rFonts w:hint="default" w:ascii="Times New Roman" w:hAnsi="Times New Roman" w:eastAsia="方正仿宋_GBK"/>
                <w:color w:val="auto"/>
                <w:kern w:val="2"/>
                <w:sz w:val="28"/>
                <w:szCs w:val="28"/>
                <w:lang w:val="en-US" w:eastAsia="zh-CN"/>
              </w:rPr>
            </w:pPr>
          </w:p>
          <w:p>
            <w:pPr>
              <w:autoSpaceDE w:val="0"/>
              <w:adjustRightInd w:val="0"/>
              <w:snapToGrid w:val="0"/>
              <w:spacing w:line="500" w:lineRule="exact"/>
              <w:ind w:left="0" w:leftChars="0" w:firstLine="0" w:firstLineChars="0"/>
              <w:jc w:val="center"/>
              <w:rPr>
                <w:rFonts w:hint="default"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服务企业</w:t>
            </w:r>
          </w:p>
        </w:tc>
        <w:tc>
          <w:tcPr>
            <w:tcW w:w="7118"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left"/>
              <w:rPr>
                <w:rFonts w:hint="default"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组织服务队伍，到芒市</w:t>
            </w:r>
            <w:r>
              <w:rPr>
                <w:rFonts w:hint="default" w:ascii="Times New Roman" w:hAnsi="Times New Roman" w:eastAsia="方正仿宋_GBK"/>
                <w:color w:val="auto"/>
                <w:kern w:val="2"/>
                <w:sz w:val="28"/>
                <w:szCs w:val="28"/>
                <w:lang w:val="en-US" w:eastAsia="zh-CN"/>
              </w:rPr>
              <w:t>各</w:t>
            </w:r>
            <w:r>
              <w:rPr>
                <w:rFonts w:hint="eastAsia" w:ascii="Times New Roman" w:hAnsi="Times New Roman" w:eastAsia="方正仿宋_GBK"/>
                <w:color w:val="auto"/>
                <w:kern w:val="2"/>
                <w:sz w:val="28"/>
                <w:szCs w:val="28"/>
                <w:lang w:val="en-US" w:eastAsia="zh-CN"/>
              </w:rPr>
              <w:t>建筑施工企业开展</w:t>
            </w:r>
            <w:r>
              <w:rPr>
                <w:rFonts w:hint="default" w:ascii="Times New Roman" w:hAnsi="Times New Roman" w:eastAsia="方正仿宋_GBK"/>
                <w:color w:val="auto"/>
                <w:kern w:val="2"/>
                <w:sz w:val="28"/>
                <w:szCs w:val="28"/>
                <w:lang w:val="en-US" w:eastAsia="zh-CN"/>
              </w:rPr>
              <w:t>建设、施工、监理、工程造价等建筑市场行业资质管理和从业人员执业资格管理</w:t>
            </w:r>
            <w:r>
              <w:rPr>
                <w:rFonts w:hint="eastAsia" w:ascii="Times New Roman" w:hAnsi="Times New Roman" w:eastAsia="方正仿宋_GBK"/>
                <w:color w:val="auto"/>
                <w:kern w:val="2"/>
                <w:sz w:val="28"/>
                <w:szCs w:val="28"/>
                <w:lang w:val="en-US" w:eastAsia="zh-CN"/>
              </w:rPr>
              <w:t>培训</w:t>
            </w:r>
            <w:r>
              <w:rPr>
                <w:rFonts w:hint="default" w:ascii="Times New Roman" w:hAnsi="Times New Roman" w:eastAsia="方正仿宋_GBK"/>
                <w:color w:val="auto"/>
                <w:kern w:val="2"/>
                <w:sz w:val="28"/>
                <w:szCs w:val="28"/>
                <w:lang w:val="en-US" w:eastAsia="zh-CN"/>
              </w:rPr>
              <w:t>，对执业行为进行监督及从业人员</w:t>
            </w:r>
            <w:r>
              <w:rPr>
                <w:rFonts w:hint="eastAsia" w:ascii="Times New Roman" w:hAnsi="Times New Roman" w:eastAsia="方正仿宋_GBK"/>
                <w:color w:val="auto"/>
                <w:kern w:val="2"/>
                <w:sz w:val="28"/>
                <w:szCs w:val="28"/>
                <w:lang w:val="en-US" w:eastAsia="zh-CN"/>
              </w:rPr>
              <w:t>开展再</w:t>
            </w:r>
            <w:r>
              <w:rPr>
                <w:rFonts w:hint="default" w:ascii="Times New Roman" w:hAnsi="Times New Roman" w:eastAsia="方正仿宋_GBK"/>
                <w:color w:val="auto"/>
                <w:kern w:val="2"/>
                <w:sz w:val="28"/>
                <w:szCs w:val="28"/>
                <w:lang w:val="en-US" w:eastAsia="zh-CN"/>
              </w:rPr>
              <w:t>教育培训；</w:t>
            </w:r>
            <w:r>
              <w:rPr>
                <w:rFonts w:hint="eastAsia" w:ascii="Times New Roman" w:hAnsi="Times New Roman" w:eastAsia="方正仿宋_GBK"/>
                <w:color w:val="auto"/>
                <w:kern w:val="2"/>
                <w:sz w:val="28"/>
                <w:szCs w:val="28"/>
                <w:lang w:val="en-US" w:eastAsia="zh-CN"/>
              </w:rPr>
              <w:t>提高行业企业规范化建设。</w:t>
            </w:r>
          </w:p>
        </w:tc>
        <w:tc>
          <w:tcPr>
            <w:tcW w:w="354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500" w:lineRule="exact"/>
              <w:ind w:left="0" w:leftChars="0" w:firstLine="0" w:firstLineChars="0"/>
              <w:jc w:val="center"/>
              <w:rPr>
                <w:rFonts w:hint="default"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芒市各建筑施工企业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center"/>
              <w:rPr>
                <w:rFonts w:hint="eastAsia"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2</w:t>
            </w:r>
          </w:p>
        </w:tc>
        <w:tc>
          <w:tcPr>
            <w:tcW w:w="206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500" w:lineRule="exact"/>
              <w:ind w:left="0" w:leftChars="0" w:firstLine="0" w:firstLineChars="0"/>
              <w:jc w:val="center"/>
              <w:rPr>
                <w:rFonts w:hint="default"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服务</w:t>
            </w:r>
            <w:r>
              <w:rPr>
                <w:rFonts w:hint="eastAsia" w:ascii="Times New Roman" w:hAnsi="Times New Roman"/>
                <w:color w:val="auto"/>
                <w:kern w:val="2"/>
                <w:sz w:val="28"/>
                <w:szCs w:val="28"/>
                <w:lang w:val="en-US" w:eastAsia="zh-CN"/>
              </w:rPr>
              <w:t>个人</w:t>
            </w:r>
          </w:p>
        </w:tc>
        <w:tc>
          <w:tcPr>
            <w:tcW w:w="7118"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left"/>
              <w:rPr>
                <w:rFonts w:hint="default"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针对芒市广场人流量大，群众较为聚集，而周边各类服务设施较为缺乏问题，充分发挥广场管理单位优势，设置服务点，积极为广场游客、市民提供各类应急救助服务。</w:t>
            </w:r>
          </w:p>
        </w:tc>
        <w:tc>
          <w:tcPr>
            <w:tcW w:w="354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500" w:lineRule="exact"/>
              <w:ind w:left="0" w:leftChars="0" w:firstLine="0" w:firstLineChars="0"/>
              <w:jc w:val="center"/>
              <w:rPr>
                <w:rFonts w:hint="default"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广场游客、市民。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500" w:lineRule="exact"/>
              <w:ind w:left="0" w:leftChars="0" w:firstLine="0" w:firstLineChars="0"/>
              <w:jc w:val="center"/>
              <w:rPr>
                <w:rFonts w:hint="default"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3</w:t>
            </w:r>
          </w:p>
        </w:tc>
        <w:tc>
          <w:tcPr>
            <w:tcW w:w="206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500" w:lineRule="exact"/>
              <w:ind w:left="0" w:leftChars="0" w:firstLine="0" w:firstLineChars="0"/>
              <w:jc w:val="center"/>
              <w:rPr>
                <w:rFonts w:hint="default"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服务</w:t>
            </w:r>
            <w:r>
              <w:rPr>
                <w:rFonts w:hint="eastAsia" w:ascii="Times New Roman" w:hAnsi="Times New Roman"/>
                <w:color w:val="auto"/>
                <w:kern w:val="2"/>
                <w:sz w:val="28"/>
                <w:szCs w:val="28"/>
                <w:lang w:val="en-US" w:eastAsia="zh-CN"/>
              </w:rPr>
              <w:t>社会</w:t>
            </w:r>
          </w:p>
          <w:p>
            <w:pPr>
              <w:autoSpaceDE w:val="0"/>
              <w:adjustRightInd w:val="0"/>
              <w:snapToGrid w:val="0"/>
              <w:spacing w:line="500" w:lineRule="exact"/>
              <w:ind w:left="0" w:leftChars="0" w:firstLine="0" w:firstLineChars="0"/>
              <w:jc w:val="center"/>
              <w:rPr>
                <w:rFonts w:hint="default" w:ascii="Times New Roman" w:hAnsi="Times New Roman" w:eastAsia="方正仿宋_GBK"/>
                <w:color w:val="auto"/>
                <w:kern w:val="2"/>
                <w:sz w:val="28"/>
                <w:szCs w:val="28"/>
                <w:lang w:val="en-US" w:eastAsia="zh-CN"/>
              </w:rPr>
            </w:pPr>
          </w:p>
        </w:tc>
        <w:tc>
          <w:tcPr>
            <w:tcW w:w="7118"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left"/>
              <w:rPr>
                <w:rFonts w:hint="default"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充分利用现有环卫职工驿站，配齐配全驿站服务设施，面向环卫工人、城管职工及社会各界一线执法执勤人员提供休息场所、热水、充电、应急医疗包等基础服务。</w:t>
            </w:r>
          </w:p>
        </w:tc>
        <w:tc>
          <w:tcPr>
            <w:tcW w:w="354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500" w:lineRule="exact"/>
              <w:ind w:left="0" w:leftChars="0" w:firstLine="0" w:firstLineChars="0"/>
              <w:jc w:val="center"/>
              <w:rPr>
                <w:rFonts w:hint="default" w:ascii="Times New Roman" w:hAnsi="Times New Roman" w:eastAsia="方正仿宋_GBK"/>
                <w:color w:val="auto"/>
                <w:kern w:val="2"/>
                <w:sz w:val="28"/>
                <w:szCs w:val="28"/>
                <w:lang w:val="en-US" w:eastAsia="zh-CN"/>
              </w:rPr>
            </w:pPr>
            <w:r>
              <w:rPr>
                <w:rFonts w:hint="eastAsia" w:ascii="Times New Roman" w:hAnsi="Times New Roman" w:eastAsia="方正仿宋_GBK"/>
                <w:color w:val="auto"/>
                <w:kern w:val="2"/>
                <w:sz w:val="28"/>
                <w:szCs w:val="28"/>
                <w:lang w:val="en-US" w:eastAsia="zh-CN"/>
              </w:rPr>
              <w:t>市民及一线执法执勤人员</w:t>
            </w:r>
          </w:p>
        </w:tc>
      </w:tr>
    </w:tbl>
    <w:p>
      <w:pPr>
        <w:autoSpaceDE w:val="0"/>
        <w:adjustRightInd w:val="0"/>
        <w:snapToGrid w:val="0"/>
        <w:spacing w:line="500" w:lineRule="exact"/>
        <w:ind w:left="0" w:leftChars="0" w:firstLine="0" w:firstLineChars="0"/>
        <w:rPr>
          <w:rFonts w:hint="default" w:ascii="Times New Roman" w:hAnsi="Times New Roman" w:eastAsia="方正仿宋_GBK"/>
          <w:color w:val="auto"/>
          <w:kern w:val="2"/>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63FC6"/>
    <w:rsid w:val="16710822"/>
    <w:rsid w:val="7CB63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exact"/>
      <w:ind w:firstLine="680" w:firstLineChars="200"/>
      <w:jc w:val="both"/>
    </w:pPr>
    <w:rPr>
      <w:rFonts w:ascii="宋体" w:hAnsi="宋体" w:eastAsia="方正仿宋_GBK" w:cs="宋体"/>
      <w:snapToGrid/>
      <w:kern w:val="21"/>
      <w:sz w:val="32"/>
      <w:szCs w:val="3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line="240" w:lineRule="auto"/>
      <w:ind w:left="200" w:leftChars="200" w:hanging="200" w:hangingChars="200"/>
    </w:pPr>
    <w:rPr>
      <w:rFonts w:ascii="Times New Roman" w:hAnsi="Times New Roman" w:eastAsia="宋体" w:cs="黑体"/>
      <w:snapToGrid/>
      <w:kern w:val="2"/>
      <w:sz w:val="21"/>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2022-12-27T01:01:00Z</dcterms:created>
  <dc:creator>国</dc:creator>
  <cp:lastModifiedBy>Administrator</cp:lastModifiedBy>
  <dcterms:modified xsi:type="dcterms:W3CDTF">2022-12-27T01:08:52Z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