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9"/>
        <w:numPr>
          <w:ilvl w:val="0"/>
          <w:numId w:val="0"/>
        </w:numPr>
        <w:jc w:val="center"/>
        <w:spacing w:lineRule="atLeast" w:line="768" w:before="0" w:after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</w:pBdr>
        <w:ind w:right="0" w:firstLine="0"/>
        <w:rPr>
          <w:spacing w:val="0"/>
          <w:i w:val="0"/>
          <w:b w:val="0"/>
          <w:color w:val="1A1A1A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spacing w:val="0"/>
          <w:i w:val="0"/>
          <w:b w:val="0"/>
          <w:color w:val="1A1A1A"/>
          <w:position w:val="0"/>
          <w:sz w:val="44"/>
          <w:szCs w:val="44"/>
          <w:rFonts w:ascii="方正小标宋简体" w:eastAsia="方正小标宋简体" w:hAnsi="方正小标宋简体" w:hint="default"/>
        </w:rPr>
        <w:t>芒市医疗保障局服务群众服务基层服务</w:t>
      </w:r>
    </w:p>
    <w:p>
      <w:pPr>
        <w:pStyle w:val="PO9"/>
        <w:numPr>
          <w:ilvl w:val="0"/>
          <w:numId w:val="0"/>
        </w:numPr>
        <w:jc w:val="center"/>
        <w:spacing w:lineRule="atLeast" w:line="768" w:before="0" w:after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</w:pBdr>
        <w:ind w:right="0" w:firstLine="0"/>
        <w:rPr>
          <w:b w:val="0"/>
          <w:color w:val="1A1A1A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spacing w:val="0"/>
          <w:i w:val="0"/>
          <w:b w:val="0"/>
          <w:color w:val="1A1A1A"/>
          <w:position w:val="0"/>
          <w:sz w:val="44"/>
          <w:szCs w:val="44"/>
          <w:rFonts w:ascii="方正小标宋简体" w:eastAsia="方正小标宋简体" w:hAnsi="方正小标宋简体" w:hint="default"/>
        </w:rPr>
        <w:t>企业“三服务”清单</w:t>
      </w:r>
    </w:p>
    <w:tbl>
      <w:tblPr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5" w:type="dxa"/>
          <w:top w:w="15" w:type="dxa"/>
          <w:right w:w="15" w:type="dxa"/>
          <w:bottom w:w="15" w:type="dxa"/>
        </w:tblCellMar>
        <w:tblW w:w="7896" w:type="dxa"/>
        <w:tblLook w:val="000000" w:firstRow="0" w:lastRow="0" w:firstColumn="0" w:lastColumn="0" w:noHBand="0" w:noVBand="0"/>
        <w:tblLayout w:type="fixed"/>
      </w:tblPr>
      <w:tblGrid>
        <w:gridCol w:w="843"/>
        <w:gridCol w:w="1893"/>
        <w:gridCol w:w="5160"/>
      </w:tblGrid>
      <w:tr>
        <w:trPr>
          <w:trHeight w:hRule="atleast" w:val="540"/>
        </w:trPr>
        <w:tc>
          <w:tcPr>
            <w:tcW w:type="dxa" w:w="84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黑体" w:eastAsia="黑体" w:hAnsi="黑体" w:hint="default"/>
              </w:rPr>
              <w:t>序号</w:t>
            </w:r>
          </w:p>
        </w:tc>
        <w:tc>
          <w:tcPr>
            <w:tcW w:type="dxa" w:w="189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黑体" w:eastAsia="黑体" w:hAnsi="黑体" w:hint="default"/>
              </w:rPr>
              <w:t>服务事项</w:t>
            </w:r>
          </w:p>
        </w:tc>
        <w:tc>
          <w:tcPr>
            <w:tcW w:type="dxa" w:w="5160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黑体" w:eastAsia="黑体" w:hAnsi="黑体" w:hint="default"/>
              </w:rPr>
              <w:t>具体内容</w:t>
            </w:r>
          </w:p>
        </w:tc>
      </w:tr>
      <w:tr>
        <w:trPr>
          <w:trHeight w:hRule="atleast" w:val="1104"/>
        </w:trPr>
        <w:tc>
          <w:tcPr>
            <w:tcW w:type="dxa" w:w="84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Times New Roman" w:eastAsia="Times New Roman" w:hAnsi="Times New Roman" w:hint="default"/>
              </w:rPr>
              <w:t>1</w:t>
            </w:r>
          </w:p>
        </w:tc>
        <w:tc>
          <w:tcPr>
            <w:tcW w:type="dxa" w:w="189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转移接续手续办理</w:t>
            </w:r>
          </w:p>
        </w:tc>
        <w:tc>
          <w:tcPr>
            <w:tcW w:type="dxa" w:w="5160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省内城镇职工医保关系转移接续可实现网办，参保人通过云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南省医疗保障信息平台提交申请后，经医保经办机构在系统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内做线上关系转移，参保人无需到经办机构现场办理，方便群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众办事。</w:t>
            </w:r>
          </w:p>
        </w:tc>
      </w:tr>
      <w:tr>
        <w:trPr>
          <w:trHeight w:hRule="atleast" w:val="852"/>
        </w:trPr>
        <w:tc>
          <w:tcPr>
            <w:tcW w:type="dxa" w:w="84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left="96" w:right="96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type="dxa" w:w="189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576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政策培训</w:t>
            </w:r>
          </w:p>
        </w:tc>
        <w:tc>
          <w:tcPr>
            <w:tcW w:type="dxa" w:w="5160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依托相关部门、机构开展对企业、定点医药机构的答疑解惑医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保相关政策培训，每年至少开展一次。</w:t>
            </w:r>
          </w:p>
        </w:tc>
      </w:tr>
      <w:tr>
        <w:trPr>
          <w:trHeight w:hRule="atleast" w:val="2856"/>
        </w:trPr>
        <w:tc>
          <w:tcPr>
            <w:tcW w:type="dxa" w:w="84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3</w:t>
            </w:r>
          </w:p>
        </w:tc>
        <w:tc>
          <w:tcPr>
            <w:tcW w:type="dxa" w:w="189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畅通举报投诉渠道</w:t>
            </w:r>
          </w:p>
        </w:tc>
        <w:tc>
          <w:tcPr>
            <w:tcW w:type="dxa" w:w="5160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1.芒市医保局在网站专栏公开发布关于征集定点医药机构违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法违规问题线索的公告，并在媒体进行宣传报道，畅通举报投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诉渠道；</w:t>
            </w:r>
          </w:p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2.芒市医保局在接到举报投诉定点医药机构违法违规案件会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按照属地管理原则第一时间进行查处，做到“有件必查、有件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必回”，提高办事效率；</w:t>
            </w:r>
          </w:p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3.芒市医保局对提供定点医药机构违法违规问题真实及有效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线索的，给予500元到10万元不等的奖励。具体申领流程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和奖励标准按照《医疗保障基金使用监督管理举报处理暂行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办法》（国家医疗保障局令第5号）、《云南省欺诈骗取医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疗保障基金行为举报奖励实施细则（试行）》的通知（云医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 xml:space="preserve">保〔2019〕45号）、《芒市医疗保障局 芒市财政局关于贯彻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落实&lt;云南省欺诈骗取医疗保障基金行为举报奖励实施细则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（试行）》的通知规定执行。</w:t>
            </w:r>
          </w:p>
        </w:tc>
      </w:tr>
      <w:tr>
        <w:trPr>
          <w:trHeight w:hRule="atleast" w:val="1020"/>
        </w:trPr>
        <w:tc>
          <w:tcPr>
            <w:tcW w:type="dxa" w:w="84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type="dxa" w:w="189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建立药品“双通道”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管理机制</w:t>
            </w:r>
          </w:p>
        </w:tc>
        <w:tc>
          <w:tcPr>
            <w:tcW w:type="dxa" w:w="5160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建立药品“双通道”管理机制，参保人可凭医疗机构合规处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方在符合条件的定点零售药店购买国家医保谈判药或慢性病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用药，并享受与在医疗机构就医相同医保待遇政策。</w:t>
            </w:r>
          </w:p>
        </w:tc>
      </w:tr>
      <w:tr>
        <w:trPr>
          <w:trHeight w:hRule="atleast" w:val="1692"/>
        </w:trPr>
        <w:tc>
          <w:tcPr>
            <w:tcW w:type="dxa" w:w="84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center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Times New Roman" w:eastAsia="Times New Roman" w:hAnsi="Times New Roman" w:hint="default"/>
              </w:rPr>
              <w:t>5</w:t>
            </w:r>
          </w:p>
        </w:tc>
        <w:tc>
          <w:tcPr>
            <w:tcW w:type="dxa" w:w="1893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 xml:space="preserve"> 优化服务事项规范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实施清单</w:t>
            </w:r>
          </w:p>
        </w:tc>
        <w:tc>
          <w:tcPr>
            <w:tcW w:type="dxa" w:w="5160"/>
            <w:tcMar>
              <w:left w:w="84" w:type="dxa"/>
              <w:right w:w="84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/>
          </w:tcPr>
          <w:p>
            <w:pPr>
              <w:pStyle w:val="PO151"/>
              <w:numPr>
                <w:ilvl w:val="0"/>
                <w:numId w:val="0"/>
              </w:numPr>
              <w:jc w:val="left"/>
              <w:spacing w:lineRule="atLeast" w:line="288" w:before="0" w:after="120"/>
              <w:pBdr>
                <w:top w:val="nil" w:sz="0" w:space="0" w:color="000000"/>
                <w:bottom w:val="nil" w:sz="0" w:space="0" w:color="000000"/>
                <w:left w:val="nil" w:sz="0" w:space="0" w:color="000000"/>
                <w:right w:val="nil" w:sz="0" w:space="0" w:color="000000"/>
              </w:pBdr>
              <w:ind w:right="0" w:firstLine="0"/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落实首问责任制、一次性告知制、限时办结制、责任追究制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“四项制度”，大力推行热情服务“零距离”、业务受理“零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推诿”、业务经办“零差错”、服务对象“零投诉”和政策宣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传“零死角”的“五零”工作法，严格落实“好差评”制度，</w:t>
            </w:r>
            <w:r>
              <w:rPr>
                <w:color w:val="auto"/>
                <w:position w:val="0"/>
                <w:sz w:val="19"/>
                <w:szCs w:val="19"/>
                <w:rFonts w:ascii="仿宋_GB2312" w:eastAsia="仿宋_GB2312" w:hAnsi="仿宋_GB2312" w:hint="default"/>
              </w:rPr>
              <w:t>把“马上办”“最多跑一次”要求落实到医保各项工作。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16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 w:val="0">
    <w:balanceSingleByteDoubleByteWidth/>
    <w:adjustLineHeightInTable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basedOn w:val="PO1"/>
    <w:next w:val="PO1"/>
    <w:qFormat/>
    <w:uiPriority w:val="9"/>
    <w:semiHidden/>
    <w:unhideWhenUsed/>
    <w:pPr>
      <w:autoSpaceDE w:val="1"/>
      <w:autoSpaceDN w:val="1"/>
      <w:widowControl/>
      <w:wordWrap/>
    </w:pPr>
    <w:rPr>
      <w:rFonts w:ascii="宋体" w:eastAsia="宋体" w:hAnsi="宋体"/>
      <w:b/>
      <w:shd w:val="clear"/>
      <w:sz w:val="27"/>
      <w:szCs w:val="27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styleId="PO151" w:type="paragraph">
    <w:name w:val="Normal (Web)"/>
    <w:basedOn w:val="PO1"/>
    <w:uiPriority w:val="151"/>
    <w:pPr>
      <w:autoSpaceDE w:val="1"/>
      <w:autoSpaceDN w:val="1"/>
      <w:ind w:firstLine="0"/>
      <w:widowControl/>
      <w:wordWrap/>
    </w:pPr>
    <w:rPr>
      <w:shd w:val="clear"/>
      <w:sz w:val="24"/>
      <w:szCs w:val="24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德宏州芒市党政机关单位</Company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HP</dc:creator>
  <cp:lastModifiedBy/>
  <dcterms:modified xsi:type="dcterms:W3CDTF">2022-12-26T10:28:53Z</dcterms:modified>
</cp:coreProperties>
</file>