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近日</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西山乡人民政府印发了</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西山乡</w:t>
      </w:r>
      <w:r>
        <w:rPr>
          <w:rFonts w:hint="eastAsia" w:ascii="宋体" w:hAnsi="宋体" w:eastAsia="宋体" w:cs="宋体"/>
          <w:i w:val="0"/>
          <w:iCs w:val="0"/>
          <w:caps w:val="0"/>
          <w:color w:val="333333"/>
          <w:spacing w:val="0"/>
          <w:kern w:val="0"/>
          <w:sz w:val="32"/>
          <w:szCs w:val="32"/>
          <w:shd w:val="clear" w:fill="FFFFFF"/>
          <w:lang w:val="en-US" w:eastAsia="zh-CN" w:bidi="ar"/>
        </w:rPr>
        <w:t>2023</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年度法治政府建设情况报告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以下简称</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为便于更好地理解</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现将相关内容解读如下</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ascii="黑体" w:hAnsi="宋体" w:eastAsia="黑体" w:cs="黑体"/>
          <w:i w:val="0"/>
          <w:iCs w:val="0"/>
          <w:caps w:val="0"/>
          <w:color w:val="333333"/>
          <w:spacing w:val="0"/>
          <w:kern w:val="0"/>
          <w:sz w:val="32"/>
          <w:szCs w:val="32"/>
          <w:shd w:val="clear" w:fill="FFFFFF"/>
          <w:lang w:val="en-US" w:eastAsia="zh-CN" w:bidi="ar"/>
        </w:rPr>
        <w:t>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黑体" w:hAnsi="宋体" w:eastAsia="黑体" w:cs="黑体"/>
          <w:i w:val="0"/>
          <w:iCs w:val="0"/>
          <w:caps w:val="0"/>
          <w:color w:val="333333"/>
          <w:spacing w:val="0"/>
          <w:kern w:val="0"/>
          <w:sz w:val="32"/>
          <w:szCs w:val="32"/>
          <w:shd w:val="clear" w:fill="FFFFFF"/>
          <w:lang w:val="en-US" w:eastAsia="zh-CN" w:bidi="ar"/>
        </w:rPr>
        <w:t>出台背景及意义</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根据</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法治政府建设责任与督察工作规定</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每年</w:t>
      </w:r>
      <w:r>
        <w:rPr>
          <w:rFonts w:hint="eastAsia" w:ascii="宋体" w:hAnsi="宋体" w:eastAsia="宋体" w:cs="宋体"/>
          <w:i w:val="0"/>
          <w:iCs w:val="0"/>
          <w:caps w:val="0"/>
          <w:color w:val="333333"/>
          <w:spacing w:val="0"/>
          <w:kern w:val="0"/>
          <w:sz w:val="32"/>
          <w:szCs w:val="32"/>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月</w:t>
      </w:r>
      <w:r>
        <w:rPr>
          <w:rFonts w:hint="eastAsia" w:ascii="宋体" w:hAnsi="宋体" w:eastAsia="宋体" w:cs="宋体"/>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日之前</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地方各级政府和县级以上政府部门的法治政府建设年度报告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除涉及党和国家秘密的</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应当通过报刊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网站等新闻媒体向社会公布</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接受人民群众监督的规定</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对照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德宏州党政主要负责人履行推进法治建设第一责任人职责实施办法</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芒市法治政府建设实施纲要</w:t>
      </w:r>
      <w:r>
        <w:rPr>
          <w:rFonts w:hint="eastAsia" w:ascii="宋体" w:hAnsi="宋体" w:eastAsia="宋体" w:cs="宋体"/>
          <w:i w:val="0"/>
          <w:iCs w:val="0"/>
          <w:caps w:val="0"/>
          <w:color w:val="333333"/>
          <w:spacing w:val="0"/>
          <w:kern w:val="0"/>
          <w:sz w:val="32"/>
          <w:szCs w:val="32"/>
          <w:shd w:val="clear" w:fill="FFFFFF"/>
          <w:lang w:val="en-US" w:eastAsia="zh-CN" w:bidi="ar"/>
        </w:rPr>
        <w:t>（2021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eastAsia" w:ascii="宋体" w:hAnsi="宋体" w:eastAsia="宋体" w:cs="宋体"/>
          <w:i w:val="0"/>
          <w:iCs w:val="0"/>
          <w:caps w:val="0"/>
          <w:color w:val="333333"/>
          <w:spacing w:val="0"/>
          <w:kern w:val="0"/>
          <w:sz w:val="32"/>
          <w:szCs w:val="32"/>
          <w:shd w:val="clear" w:fill="FFFFFF"/>
          <w:lang w:val="en-US" w:eastAsia="zh-CN" w:bidi="ar"/>
        </w:rPr>
        <w:t>2025</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年</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为把握重点任务</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助力法治政府建设蹄疾步稳</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有序推进</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研究起草了</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报告</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黑体" w:hAnsi="宋体" w:eastAsia="黑体" w:cs="黑体"/>
          <w:i w:val="0"/>
          <w:iCs w:val="0"/>
          <w:caps w:val="0"/>
          <w:color w:val="333333"/>
          <w:spacing w:val="0"/>
          <w:kern w:val="0"/>
          <w:sz w:val="32"/>
          <w:szCs w:val="32"/>
          <w:shd w:val="clear" w:fill="FFFFFF"/>
          <w:lang w:val="en-US" w:eastAsia="zh-CN" w:bidi="ar"/>
        </w:rPr>
        <w:t>二</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黑体" w:hAnsi="宋体" w:eastAsia="黑体" w:cs="黑体"/>
          <w:i w:val="0"/>
          <w:iCs w:val="0"/>
          <w:caps w:val="0"/>
          <w:color w:val="333333"/>
          <w:spacing w:val="0"/>
          <w:kern w:val="0"/>
          <w:sz w:val="32"/>
          <w:szCs w:val="32"/>
          <w:shd w:val="clear" w:fill="FFFFFF"/>
          <w:lang w:val="en-US" w:eastAsia="zh-CN" w:bidi="ar"/>
        </w:rPr>
        <w:t>主要内容</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共分四部分</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主要内容为</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宋体" w:hAnsi="宋体" w:eastAsia="宋体" w:cs="宋体"/>
          <w:i w:val="0"/>
          <w:iCs w:val="0"/>
          <w:caps w:val="0"/>
          <w:color w:val="333333"/>
          <w:spacing w:val="0"/>
          <w:kern w:val="0"/>
          <w:sz w:val="32"/>
          <w:szCs w:val="32"/>
          <w:shd w:val="clear" w:fill="FFFFFF"/>
          <w:lang w:val="en-US" w:eastAsia="zh-CN" w:bidi="ar"/>
        </w:rPr>
        <w:t>（</w:t>
      </w:r>
      <w:r>
        <w:rPr>
          <w:rFonts w:ascii="方正楷体_GBK" w:hAnsi="方正楷体_GBK" w:eastAsia="方正楷体_GBK" w:cs="方正楷体_GBK"/>
          <w:i w:val="0"/>
          <w:iCs w:val="0"/>
          <w:caps w:val="0"/>
          <w:color w:val="333333"/>
          <w:spacing w:val="0"/>
          <w:kern w:val="0"/>
          <w:sz w:val="32"/>
          <w:szCs w:val="32"/>
          <w:shd w:val="clear" w:fill="FFFFFF"/>
          <w:lang w:val="en-US" w:eastAsia="zh-CN" w:bidi="ar"/>
        </w:rPr>
        <w:t>一</w:t>
      </w:r>
      <w:r>
        <w:rPr>
          <w:rFonts w:hint="eastAsia" w:ascii="宋体" w:hAnsi="宋体" w:eastAsia="宋体" w:cs="宋体"/>
          <w:i w:val="0"/>
          <w:iCs w:val="0"/>
          <w:caps w:val="0"/>
          <w:color w:val="333333"/>
          <w:spacing w:val="0"/>
          <w:kern w:val="0"/>
          <w:sz w:val="32"/>
          <w:szCs w:val="32"/>
          <w:shd w:val="clear" w:fill="FFFFFF"/>
          <w:lang w:val="en-US" w:eastAsia="zh-CN" w:bidi="ar"/>
        </w:rPr>
        <w:t>）2023</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年推进法治政府建设的主要举措和成效</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一是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加强党对法治政府建设的领导</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充分发挥党的领导核心作用</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二是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健全依法行政制度体系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进一步推进政府治理规范化程序化法治化</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三是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健全行政决策制度体系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进一步提升行政决策公信力和执行力</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四是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不断完善行政执法工作体系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进一步推进严格规范公正文明执法</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五是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不断完善突发事件应对体系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进一步提升依法预防处置重大突发事件能力</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六是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不断完善社会矛盾纠纷行政预防调处化解体系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进一步促进社会公平正义</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七是不断完善全行政权力制约和监督体系</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进一步促进行政权力规范透明运行</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w:t>
      </w:r>
      <w:r>
        <w:rPr>
          <w:rFonts w:hint="eastAsia" w:ascii="宋体" w:hAnsi="宋体" w:eastAsia="宋体" w:cs="宋体"/>
          <w:i w:val="0"/>
          <w:iCs w:val="0"/>
          <w:caps w:val="0"/>
          <w:color w:val="333333"/>
          <w:spacing w:val="0"/>
          <w:kern w:val="0"/>
          <w:sz w:val="32"/>
          <w:szCs w:val="32"/>
          <w:shd w:val="clear" w:fill="FFFFFF"/>
          <w:lang w:val="en-US" w:eastAsia="zh-CN" w:bidi="ar"/>
        </w:rPr>
        <w:t>）2023</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年推进法治政府建设存在的不足和原因</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一是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依法行政意识有待提升</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部分干部没有充分认识依法行政的必要性和重要性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在完成上级工作任务时</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没有真正把依法行政作为政府运作的基本准则</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二是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行政执法基础有待进一步夯实</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当前基层法治干部队伍力量薄弱</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具备法律专业教育背景</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取得法律职业资格的人员不足且大多身兼数职</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难以适应法治政府建设的需要</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三是</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群众对公共法律服务的知晓度不高</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公共法律服务的普惠性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公益性还没有得到普遍显现</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sz w:val="10"/>
          <w:szCs w:val="10"/>
        </w:rPr>
      </w:pP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w:t>
      </w:r>
      <w:r>
        <w:rPr>
          <w:rFonts w:hint="eastAsia" w:ascii="宋体" w:hAnsi="宋体" w:eastAsia="宋体" w:cs="宋体"/>
          <w:i w:val="0"/>
          <w:iCs w:val="0"/>
          <w:caps w:val="0"/>
          <w:color w:val="333333"/>
          <w:spacing w:val="0"/>
          <w:kern w:val="0"/>
          <w:sz w:val="32"/>
          <w:szCs w:val="32"/>
          <w:shd w:val="clear" w:fill="FFFFFF"/>
          <w:lang w:val="en-US" w:eastAsia="zh-CN" w:bidi="ar"/>
        </w:rPr>
        <w:t>）2023</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年党政主要负责人履行推进法治建设第一责任人职责</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加快法治政府建设有关情况</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一是党政主要领导高度重视法治政府建设工作</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把法治政府建设纳入了本单位年度工作计划</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对重大工作亲自部署</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重大问题亲自过问</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重点环节亲自督办</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并定期听取法治政府建设工作情况汇报</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本年度党政领导听取了</w:t>
      </w:r>
      <w:r>
        <w:rPr>
          <w:rFonts w:hint="eastAsia" w:ascii="宋体" w:hAnsi="宋体" w:eastAsia="宋体" w:cs="宋体"/>
          <w:i w:val="0"/>
          <w:iCs w:val="0"/>
          <w:caps w:val="0"/>
          <w:color w:val="333333"/>
          <w:spacing w:val="0"/>
          <w:kern w:val="0"/>
          <w:sz w:val="32"/>
          <w:szCs w:val="32"/>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次法治建设工作报告</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及时研究解决有关重大问题</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二是党政主要领导自觉做尊法学法守法用法的模范</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把依法行政工作摆上重要日程来安排</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作为重要工作来推动</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将履行推进法治建设第一责任人职责情况列入年终述职内容</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三是推动领导干部学法用法</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制定党委理论学习中心组学习计划</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安排学法任务</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坚持把习近平法治思想</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习近平总书记关于全面依法治国新理念新思想新战略内容纳入理论学习中心组学习</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推动习近平法治思想内化于心</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外化于行</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引导干部职工学法懂法用法自觉性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四是落实民主决策制度</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贯彻议事决策制度和民主集中制</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带头维护班子团结</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坚持</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三重一大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集体决策</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对涉及资金</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组织人事</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物资采购等重点环节</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认真落实</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集体领导</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民主集中</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个别酝酿</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会议决定</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原则</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积极推进决策公开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管理公开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服务公开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结果公开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确保了决策的民主性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科学性和公开性</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坚决防止班子成员个人干预人财物统筹安排行为</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做到公道正派</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讲大局</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讲党性</w:t>
      </w:r>
      <w:r>
        <w:rPr>
          <w:rFonts w:hint="eastAsia" w:ascii="宋体" w:hAnsi="宋体" w:eastAsia="宋体" w:cs="宋体"/>
          <w:i w:val="0"/>
          <w:iCs w:val="0"/>
          <w:caps w:val="0"/>
          <w:color w:val="333333"/>
          <w:spacing w:val="0"/>
          <w:kern w:val="0"/>
          <w:sz w:val="32"/>
          <w:szCs w:val="32"/>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iCs w:val="0"/>
          <w:caps w:val="0"/>
          <w:color w:val="333333"/>
          <w:spacing w:val="0"/>
          <w:sz w:val="10"/>
          <w:szCs w:val="10"/>
        </w:rPr>
      </w:pP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w:t>
      </w:r>
      <w:r>
        <w:rPr>
          <w:rFonts w:hint="eastAsia" w:ascii="宋体" w:hAnsi="宋体" w:eastAsia="宋体" w:cs="宋体"/>
          <w:i w:val="0"/>
          <w:iCs w:val="0"/>
          <w:caps w:val="0"/>
          <w:color w:val="333333"/>
          <w:spacing w:val="0"/>
          <w:kern w:val="0"/>
          <w:sz w:val="32"/>
          <w:szCs w:val="32"/>
          <w:shd w:val="clear" w:fill="FFFFFF"/>
          <w:lang w:val="en-US" w:eastAsia="zh-CN" w:bidi="ar"/>
        </w:rPr>
        <w:t>）2024</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年推进法治政府建设的主要安排</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一是坚持党对法治建设工作的领导</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不断深入学习贯彻习近平法治思想</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建立健全学习习近平法治思想常态化机制</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结合我乡发展实际</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以法治指导行动</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以理论指导实践</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深入推进法治政府建设</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二是进一步提升行政执法水平</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持续推进行政执法改革</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加强法律人才的培养和培训</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不断提高执法水平和执法队伍整体素质</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三是强化基层社会依法治理水平</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提升乡</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村二级综治中心实体化运行</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深化网格化治理</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精细化服务</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提升公共法律服务质效</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四是持续加强法治宣传教育</w:t>
      </w:r>
      <w:r>
        <w:rPr>
          <w:rFonts w:hint="eastAsia" w:ascii="宋体" w:hAnsi="宋体" w:eastAsia="宋体" w:cs="宋体"/>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高效实施</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八五</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普法规划</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全面落实普法责任制</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结合民法典宣传月</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国家安全教育日</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禁毒日等重要时间节点</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深入开展相关法律法规宣传教育活动</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营造办事依法</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遇事找法</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解决问题用法</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化解矛盾靠法的良好法治氛围</w:t>
      </w:r>
      <w:r>
        <w:rPr>
          <w:rFonts w:hint="eastAsia" w:ascii="宋体" w:hAnsi="宋体" w:eastAsia="宋体" w:cs="宋体"/>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进一步夯实法治政府建设根基</w:t>
      </w:r>
      <w:r>
        <w:rPr>
          <w:rFonts w:hint="eastAsia" w:ascii="宋体" w:hAnsi="宋体" w:eastAsia="宋体" w:cs="宋体"/>
          <w:i w:val="0"/>
          <w:iCs w:val="0"/>
          <w:caps w:val="0"/>
          <w:color w:val="333333"/>
          <w:spacing w:val="0"/>
          <w:kern w:val="0"/>
          <w:sz w:val="32"/>
          <w:szCs w:val="32"/>
          <w:shd w:val="clear" w:fill="FFFFFF"/>
          <w:lang w:val="en-US" w:eastAsia="zh-CN" w:bidi="ar"/>
        </w:rPr>
        <w:t>。</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ODVjYTdjOTJlNzgyM2M3NDQzN2NhYmUxNDU2OWYifQ=="/>
  </w:docVars>
  <w:rsids>
    <w:rsidRoot w:val="00000000"/>
    <w:rsid w:val="1FC902C3"/>
    <w:rsid w:val="3704484F"/>
    <w:rsid w:val="57B779AB"/>
    <w:rsid w:val="643B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420" w:firstLineChars="200"/>
      <w:jc w:val="both"/>
    </w:pPr>
    <w:rPr>
      <w:rFonts w:ascii="宋体" w:hAnsi="宋体" w:eastAsia="方正仿宋_GBK" w:cstheme="minorBidi"/>
      <w:kern w:val="2"/>
      <w:sz w:val="32"/>
      <w:szCs w:val="32"/>
      <w:lang w:val="en-US" w:eastAsia="zh-CN" w:bidi="ar-SA"/>
    </w:rPr>
  </w:style>
  <w:style w:type="paragraph" w:styleId="2">
    <w:name w:val="heading 1"/>
    <w:basedOn w:val="1"/>
    <w:next w:val="1"/>
    <w:autoRedefine/>
    <w:qFormat/>
    <w:uiPriority w:val="0"/>
    <w:pPr>
      <w:keepNext/>
      <w:keepLines/>
      <w:spacing w:before="20" w:beforeLines="0" w:beforeAutospacing="0" w:after="20" w:afterLines="0" w:afterAutospacing="0" w:line="700" w:lineRule="exact"/>
      <w:ind w:firstLine="0" w:firstLineChars="0"/>
      <w:jc w:val="center"/>
      <w:outlineLvl w:val="0"/>
    </w:pPr>
    <w:rPr>
      <w:rFonts w:ascii="宋体" w:hAnsi="宋体" w:eastAsia="方正小标宋_GBK"/>
      <w:kern w:val="44"/>
      <w:sz w:val="44"/>
      <w:szCs w:val="44"/>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2023-03-28T21:08:00Z</dcterms:created>
  <dc:creator>MYT</dc:creator>
  <cp:lastModifiedBy>许有涛</cp:lastModifiedBy>
  <dcterms:modified xsi:type="dcterms:W3CDTF">2024-04-16T01:38:15Z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8F0944043638494997F1889B01FF1876</vt:lpwstr>
  </property>
</Properties>
</file>