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轩岗乡201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（一）部门主要职责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轩岗乡单位基本性质为其他单位，执行行政单位会计制度。其主要职能是落实国家政策，严格依法行政，发挥经济管理职能，加强政策引导，制定发展规划，服务市场主体和营造发展环境，搞好市场监督，大力促进社会事业发展，发展镇村经济、文化和社会事业，提供公共服务，维护社会稳定，构建社会主义和谐社会。</w:t>
      </w:r>
    </w:p>
    <w:p>
      <w:pPr>
        <w:widowControl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（二）机构设置情况</w:t>
      </w:r>
    </w:p>
    <w:p>
      <w:pPr>
        <w:widowControl/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我单位编制数70个，其中行政编制数 31个，事业编制数36个，工勤编制数3个，2017年末实有人数76人，其中行政人员31人，事业人员43人，工勤人员4人，退休人员2人。</w:t>
      </w:r>
    </w:p>
    <w:p>
      <w:pPr>
        <w:widowControl/>
        <w:numPr>
          <w:ilvl w:val="0"/>
          <w:numId w:val="1"/>
        </w:numPr>
        <w:ind w:firstLine="300" w:firstLineChars="1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重点工作概述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在市委、市政府和乡党委的正确领导下，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轩岗乡人民政府</w:t>
      </w:r>
      <w:r>
        <w:rPr>
          <w:rFonts w:hint="eastAsia" w:ascii="仿宋" w:hAnsi="仿宋" w:eastAsia="仿宋" w:cs="仿宋"/>
          <w:kern w:val="0"/>
          <w:sz w:val="30"/>
          <w:szCs w:val="30"/>
        </w:rPr>
        <w:t>积极应对经济增长速度换挡期、结构调整阵痛期、前期刺激政策消化期三期叠加带来的不利影响，正确处理改革、发展、稳定的关系，立足于轩岗乡实际，以经济发展为中心，狠抓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脱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</w:rPr>
        <w:t>贫攻坚和产业结构调整，抓项目、重民生、强基础、促和谐，全乡呈现出经济发展、政治稳定、民族团结、社会进步的良好局面。脱贫攻坚取得实质性进展。抓产业发展和转移就业，争取市级扶贫资金98万元用于2017年重点帮扶户发展产业；发放产业扶持贴息贷款480万元；争取专项扶贫资金231.11万元，帮助贫困户因地制宜发展优势特色产业；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对</w:t>
      </w:r>
      <w:r>
        <w:rPr>
          <w:rFonts w:hint="eastAsia" w:ascii="仿宋" w:hAnsi="仿宋" w:eastAsia="仿宋" w:cs="仿宋"/>
          <w:kern w:val="0"/>
          <w:sz w:val="30"/>
          <w:szCs w:val="30"/>
        </w:rPr>
        <w:t>建档立卡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贫困</w:t>
      </w:r>
      <w:r>
        <w:rPr>
          <w:rFonts w:hint="eastAsia" w:ascii="仿宋" w:hAnsi="仿宋" w:eastAsia="仿宋" w:cs="仿宋"/>
          <w:kern w:val="0"/>
          <w:sz w:val="30"/>
          <w:szCs w:val="30"/>
        </w:rPr>
        <w:t>户</w:t>
      </w:r>
      <w:r>
        <w:rPr>
          <w:rFonts w:hint="eastAsia" w:ascii="仿宋" w:hAnsi="仿宋" w:eastAsia="仿宋" w:cs="仿宋"/>
          <w:kern w:val="0"/>
          <w:sz w:val="30"/>
          <w:szCs w:val="30"/>
          <w:lang w:val="zh-CN"/>
        </w:rPr>
        <w:t>家庭</w:t>
      </w:r>
      <w:r>
        <w:rPr>
          <w:rFonts w:hint="eastAsia" w:ascii="仿宋" w:hAnsi="仿宋" w:eastAsia="仿宋" w:cs="仿宋"/>
          <w:kern w:val="0"/>
          <w:sz w:val="30"/>
          <w:szCs w:val="30"/>
        </w:rPr>
        <w:t>开展就业培训966人次，转移劳动力232人次。基础设施建设更加完善。投入1530.29万元完善搬迁安置点基础设施建设；投资1000万元实施南朗河地质灾害防治工程；投资165万元完成芹菜塘村平安寨、户弄、上帮瓦3个村民小组新农村基础设施建设；投资200万实施拉门村省级示范村项目建设；投资84.6万元推进轩岗乡陶艺体验馆建设；投资80万元实施屯勐、芒端村内道路硬化；投资550万元实施棒丙至芒滚的通村道路10.5公里；投资140万对黄竹场村民小组的村内道路进行水泥硬化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  <w:r>
        <w:rPr>
          <w:rFonts w:eastAsia="仿宋_GB2312"/>
          <w:kern w:val="0"/>
          <w:sz w:val="30"/>
          <w:szCs w:val="30"/>
        </w:rPr>
        <w:t>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70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74</w:t>
      </w:r>
      <w:r>
        <w:rPr>
          <w:rFonts w:eastAsia="仿宋_GB2312"/>
          <w:kern w:val="0"/>
          <w:sz w:val="30"/>
          <w:szCs w:val="30"/>
        </w:rPr>
        <w:t>人，</w:t>
      </w:r>
      <w:r>
        <w:rPr>
          <w:rFonts w:eastAsia="仿宋_GB2312"/>
          <w:color w:val="auto"/>
          <w:kern w:val="0"/>
          <w:sz w:val="30"/>
          <w:szCs w:val="30"/>
        </w:rPr>
        <w:t xml:space="preserve">其中： 财政全供养 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74</w:t>
      </w:r>
      <w:r>
        <w:rPr>
          <w:rFonts w:eastAsia="仿宋_GB2312"/>
          <w:color w:val="auto"/>
          <w:kern w:val="0"/>
          <w:sz w:val="30"/>
          <w:szCs w:val="30"/>
        </w:rPr>
        <w:t>人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。</w:t>
      </w:r>
      <w:r>
        <w:rPr>
          <w:rFonts w:eastAsia="仿宋_GB2312"/>
          <w:kern w:val="0"/>
          <w:sz w:val="30"/>
          <w:szCs w:val="30"/>
        </w:rPr>
        <w:t xml:space="preserve">退休 </w:t>
      </w:r>
      <w:r>
        <w:rPr>
          <w:rFonts w:hint="eastAsia" w:eastAsia="仿宋_GB2312"/>
          <w:kern w:val="0"/>
          <w:sz w:val="30"/>
          <w:szCs w:val="30"/>
          <w:lang w:eastAsia="zh-CN"/>
        </w:rPr>
        <w:t>人员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财政拨款1331.97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年部门财政拨款收入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万元），</w:t>
      </w: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  <w:r>
        <w:rPr>
          <w:rFonts w:eastAsia="仿宋_GB2312"/>
          <w:kern w:val="0"/>
          <w:sz w:val="30"/>
          <w:szCs w:val="30"/>
        </w:rPr>
        <w:t>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eastAsia="zh-CN"/>
        </w:rPr>
        <w:t>及</w:t>
      </w:r>
      <w:r>
        <w:rPr>
          <w:rFonts w:eastAsia="仿宋_GB2312"/>
          <w:kern w:val="0"/>
          <w:sz w:val="30"/>
          <w:szCs w:val="30"/>
        </w:rPr>
        <w:t>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eastAsia="zh-CN"/>
        </w:rPr>
        <w:t>收入。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 xml:space="preserve">年部门预算总支出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一般公共服务支出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752.42万元，公共安全支出28.36万元，文化体育与传媒支出48.41万元，社会保障和就业支出132.33万元，农林水支出309.58万元，住房保障支出60.87万元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万元）</w:t>
      </w:r>
      <w:r>
        <w:rPr>
          <w:rFonts w:hint="eastAsia" w:eastAsia="仿宋_GB2312"/>
          <w:kern w:val="0"/>
          <w:sz w:val="30"/>
          <w:szCs w:val="30"/>
          <w:lang w:eastAsia="zh-CN"/>
        </w:rPr>
        <w:t>：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工资福利支出853.81万元，其中：基本工资219.77万元，津贴补贴356.16万元，奖金8.41万元，绩效工资78.34万元，机关事业单位基本养老保险缴费109.3万元，其他社会保障缴费19.55万元，住房公积金60.87万元。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商品和服务支出210.07万元，其中：办公费19.27万元，</w:t>
      </w:r>
    </w:p>
    <w:p>
      <w:pPr>
        <w:widowControl/>
        <w:numPr>
          <w:ilvl w:val="0"/>
          <w:numId w:val="3"/>
        </w:numPr>
        <w:ind w:firstLine="450" w:firstLineChars="150"/>
        <w:jc w:val="left"/>
        <w:rPr>
          <w:rFonts w:hint="eastAsia"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预算收支增减变化情况说明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2017年部门预算总收入为1036.09万元，2018</w:t>
      </w:r>
      <w:r>
        <w:rPr>
          <w:rFonts w:eastAsia="仿宋_GB2312"/>
          <w:kern w:val="0"/>
          <w:sz w:val="30"/>
          <w:szCs w:val="30"/>
        </w:rPr>
        <w:t>年部门预算总</w:t>
      </w:r>
      <w:r>
        <w:rPr>
          <w:rFonts w:hint="eastAsia" w:eastAsia="仿宋_GB2312"/>
          <w:kern w:val="0"/>
          <w:sz w:val="30"/>
          <w:szCs w:val="30"/>
          <w:lang w:eastAsia="zh-CN"/>
        </w:rPr>
        <w:t>收入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2017年增加295.88万元，主要原因是工资福利支出增加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（二）</w:t>
      </w:r>
      <w:r>
        <w:rPr>
          <w:rFonts w:hint="eastAsia" w:ascii="仿宋_GB2312" w:eastAsia="仿宋_GB2312" w:cs="宋体"/>
          <w:kern w:val="0"/>
          <w:sz w:val="32"/>
          <w:szCs w:val="32"/>
        </w:rPr>
        <w:t>2017年部门预算总支出1036.09万元，其中：基本支出1036.09万元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2018年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</w:rPr>
        <w:t>1331.97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2017年增加295.88万元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主要原因是工资福利支出增加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六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国有资产占用情况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。</w:t>
      </w: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2017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C0030"/>
    <w:multiLevelType w:val="singleLevel"/>
    <w:tmpl w:val="5A7C0030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7CF508"/>
    <w:multiLevelType w:val="singleLevel"/>
    <w:tmpl w:val="5A7CF508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5A7CFE6E"/>
    <w:multiLevelType w:val="singleLevel"/>
    <w:tmpl w:val="5A7CFE6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C10E93"/>
    <w:rsid w:val="09577D20"/>
    <w:rsid w:val="1461770E"/>
    <w:rsid w:val="2DE143F3"/>
    <w:rsid w:val="30520459"/>
    <w:rsid w:val="39885FBF"/>
    <w:rsid w:val="39FD7B9C"/>
    <w:rsid w:val="48685ED9"/>
    <w:rsid w:val="4B8C53A4"/>
    <w:rsid w:val="5DD21AEB"/>
    <w:rsid w:val="648553C3"/>
    <w:rsid w:val="65D94354"/>
    <w:rsid w:val="6A2C1F2F"/>
    <w:rsid w:val="6A9929A4"/>
    <w:rsid w:val="720356A9"/>
    <w:rsid w:val="76E06355"/>
    <w:rsid w:val="7D4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2</TotalTime>
  <ScaleCrop>false</ScaleCrop>
  <LinksUpToDate>false</LinksUpToDate>
  <CharactersWithSpaces>1196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浅笑</cp:lastModifiedBy>
  <cp:lastPrinted>2018-01-31T03:32:00Z</cp:lastPrinted>
  <dcterms:modified xsi:type="dcterms:W3CDTF">2024-02-02T07:25:59Z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