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44D51">
      <w:pPr>
        <w:adjustRightInd w:val="0"/>
        <w:snapToGrid w:val="0"/>
        <w:spacing w:after="0" w:line="560" w:lineRule="exact"/>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w:t>
      </w:r>
    </w:p>
    <w:p w14:paraId="24BFD4FE">
      <w:pPr>
        <w:adjustRightInd w:val="0"/>
        <w:snapToGrid w:val="0"/>
        <w:spacing w:after="0" w:line="560" w:lineRule="exact"/>
        <w:jc w:val="center"/>
        <w:rPr>
          <w:rFonts w:eastAsia="方正小标宋_GBK" w:cs="方正小标宋简体"/>
          <w:sz w:val="44"/>
          <w:szCs w:val="44"/>
        </w:rPr>
      </w:pPr>
    </w:p>
    <w:p w14:paraId="4F382E85">
      <w:pPr>
        <w:adjustRightInd w:val="0"/>
        <w:snapToGrid w:val="0"/>
        <w:spacing w:after="0" w:line="560" w:lineRule="exact"/>
        <w:jc w:val="center"/>
        <w:rPr>
          <w:rFonts w:eastAsia="方正小标宋_GBK" w:cs="方正小标宋简体"/>
          <w:sz w:val="44"/>
          <w:szCs w:val="44"/>
        </w:rPr>
      </w:pPr>
      <w:r>
        <w:rPr>
          <w:rFonts w:hint="eastAsia" w:eastAsia="方正小标宋_GBK" w:cs="方正小标宋简体"/>
          <w:sz w:val="44"/>
          <w:szCs w:val="44"/>
        </w:rPr>
        <w:t>云南省新时代“银龄科技专家”实施方案</w:t>
      </w:r>
    </w:p>
    <w:p w14:paraId="16440BD9">
      <w:pPr>
        <w:adjustRightInd w:val="0"/>
        <w:snapToGrid w:val="0"/>
        <w:spacing w:after="0" w:line="560" w:lineRule="exact"/>
        <w:jc w:val="center"/>
        <w:rPr>
          <w:rFonts w:eastAsia="方正小标宋_GBK" w:cs="方正小标宋简体"/>
          <w:sz w:val="44"/>
          <w:szCs w:val="44"/>
        </w:rPr>
      </w:pPr>
      <w:r>
        <w:rPr>
          <w:rFonts w:hint="eastAsia" w:eastAsia="方正小标宋_GBK" w:cs="方正小标宋简体"/>
          <w:sz w:val="44"/>
          <w:szCs w:val="44"/>
        </w:rPr>
        <w:t>（试行）</w:t>
      </w:r>
    </w:p>
    <w:p w14:paraId="34C805B7">
      <w:pPr>
        <w:widowControl/>
        <w:adjustRightInd w:val="0"/>
        <w:snapToGrid w:val="0"/>
        <w:spacing w:after="0" w:line="560" w:lineRule="exact"/>
        <w:ind w:firstLine="640" w:firstLineChars="200"/>
        <w:rPr>
          <w:rFonts w:eastAsia="方正黑体_GBK" w:cs="方正黑体_GBK"/>
          <w:sz w:val="32"/>
          <w:szCs w:val="32"/>
        </w:rPr>
      </w:pPr>
    </w:p>
    <w:p w14:paraId="7324158C">
      <w:pPr>
        <w:widowControl/>
        <w:adjustRightInd w:val="0"/>
        <w:snapToGrid w:val="0"/>
        <w:spacing w:after="0" w:line="560" w:lineRule="exact"/>
        <w:ind w:firstLine="640" w:firstLineChars="200"/>
        <w:rPr>
          <w:rFonts w:eastAsia="方正仿宋_GBK" w:cs="方正仿宋_GBK"/>
          <w:sz w:val="32"/>
          <w:szCs w:val="32"/>
          <w:highlight w:val="none"/>
        </w:rPr>
      </w:pPr>
      <w:r>
        <w:rPr>
          <w:rFonts w:hint="eastAsia" w:eastAsia="方正仿宋_GBK" w:cs="方正仿宋_GBK"/>
          <w:sz w:val="32"/>
          <w:szCs w:val="32"/>
        </w:rPr>
        <w:t>为深入贯彻落实习近平总书记关于科技创新、科技人才工作的重要论述和重要指示批示精神，吸引一批</w:t>
      </w:r>
      <w:r>
        <w:rPr>
          <w:rFonts w:hint="eastAsia" w:eastAsia="方正仿宋_GBK" w:cs="方正仿宋_GBK"/>
          <w:sz w:val="32"/>
          <w:szCs w:val="32"/>
          <w:highlight w:val="none"/>
          <w:lang w:eastAsia="zh-CN"/>
        </w:rPr>
        <w:t>省</w:t>
      </w:r>
      <w:r>
        <w:rPr>
          <w:rFonts w:hint="eastAsia" w:eastAsia="方正仿宋_GBK" w:cs="方正仿宋_GBK"/>
          <w:sz w:val="32"/>
          <w:szCs w:val="32"/>
          <w:highlight w:val="none"/>
        </w:rPr>
        <w:t>内外已退休的优秀科技人才，发挥其所学所长，利用其宝贵的经验和智慧更好服务云南科技创新和产业高质量发展，根据《云南省新时代“银龄人才万人计划”实施方案》，制定本实施方案。</w:t>
      </w:r>
    </w:p>
    <w:p w14:paraId="3D6D2C3A">
      <w:pPr>
        <w:adjustRightInd w:val="0"/>
        <w:snapToGrid w:val="0"/>
        <w:spacing w:after="0" w:line="560" w:lineRule="exact"/>
        <w:ind w:firstLine="640" w:firstLineChars="200"/>
        <w:rPr>
          <w:rFonts w:eastAsia="方正黑体_GBK" w:cs="方正黑体_GBK"/>
          <w:sz w:val="32"/>
          <w:szCs w:val="32"/>
          <w:highlight w:val="none"/>
        </w:rPr>
      </w:pPr>
      <w:r>
        <w:rPr>
          <w:rFonts w:hint="eastAsia" w:eastAsia="方正黑体_GBK" w:cs="方正黑体_GBK"/>
          <w:sz w:val="32"/>
          <w:szCs w:val="32"/>
          <w:highlight w:val="none"/>
        </w:rPr>
        <w:t>一、主要目标</w:t>
      </w:r>
    </w:p>
    <w:p w14:paraId="50858FFC">
      <w:pPr>
        <w:adjustRightInd w:val="0"/>
        <w:snapToGrid w:val="0"/>
        <w:spacing w:after="0" w:line="560" w:lineRule="exact"/>
        <w:ind w:firstLine="640" w:firstLineChars="200"/>
        <w:rPr>
          <w:rFonts w:eastAsia="方正仿宋_GBK" w:cs="方正仿宋_GBK"/>
          <w:sz w:val="32"/>
          <w:szCs w:val="32"/>
          <w:highlight w:val="none"/>
        </w:rPr>
      </w:pPr>
      <w:r>
        <w:rPr>
          <w:rFonts w:hint="eastAsia" w:eastAsia="方正仿宋_GBK" w:cs="方正仿宋_GBK"/>
          <w:sz w:val="32"/>
          <w:szCs w:val="32"/>
          <w:highlight w:val="none"/>
        </w:rPr>
        <w:t>锚定“3815”战略发展目标，采取“组团式”帮扶、“专家顾问”、兼职引进、项目合作等方式，引进留用银龄科技专家，参与我省基础研究、技术研发、创新平台建设、科技成果转化，提升全省科技创新能力，促进产业高质量发展。计划用3年时间，引进留用银龄科技专家200人左右</w:t>
      </w:r>
      <w:r>
        <w:rPr>
          <w:rFonts w:hint="eastAsia" w:eastAsia="方正仿宋_GBK" w:cs="方正仿宋_GBK"/>
          <w:sz w:val="32"/>
          <w:szCs w:val="32"/>
          <w:highlight w:val="none"/>
          <w:lang w:bidi="ar"/>
        </w:rPr>
        <w:t>。</w:t>
      </w:r>
    </w:p>
    <w:p w14:paraId="3F7D817F">
      <w:pPr>
        <w:adjustRightInd w:val="0"/>
        <w:snapToGrid w:val="0"/>
        <w:spacing w:after="0" w:line="560" w:lineRule="exact"/>
        <w:ind w:firstLine="640" w:firstLineChars="200"/>
        <w:rPr>
          <w:rFonts w:eastAsia="方正黑体_GBK" w:cs="方正黑体_GBK"/>
          <w:sz w:val="32"/>
          <w:szCs w:val="32"/>
          <w:highlight w:val="none"/>
        </w:rPr>
      </w:pPr>
      <w:r>
        <w:rPr>
          <w:rFonts w:hint="eastAsia" w:eastAsia="方正黑体_GBK" w:cs="方正黑体_GBK"/>
          <w:sz w:val="32"/>
          <w:szCs w:val="32"/>
          <w:highlight w:val="none"/>
        </w:rPr>
        <w:t>二、实施方式</w:t>
      </w:r>
    </w:p>
    <w:p w14:paraId="52C5D1EC">
      <w:pPr>
        <w:adjustRightInd w:val="0"/>
        <w:snapToGrid w:val="0"/>
        <w:spacing w:after="0" w:line="560" w:lineRule="exact"/>
        <w:ind w:firstLine="640" w:firstLineChars="200"/>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（一）资格条件</w:t>
      </w:r>
    </w:p>
    <w:p w14:paraId="427FC53D">
      <w:pPr>
        <w:adjustRightInd w:val="0"/>
        <w:snapToGrid w:val="0"/>
        <w:spacing w:after="0" w:line="560" w:lineRule="exact"/>
        <w:ind w:firstLine="640" w:firstLineChars="200"/>
        <w:rPr>
          <w:rFonts w:eastAsia="方正仿宋_GBK" w:cs="方正仿宋_GBK"/>
          <w:sz w:val="32"/>
          <w:szCs w:val="32"/>
          <w:highlight w:val="none"/>
        </w:rPr>
      </w:pPr>
      <w:r>
        <w:rPr>
          <w:rFonts w:hint="eastAsia" w:eastAsia="方正仿宋_GBK" w:cs="方正仿宋_GBK"/>
          <w:sz w:val="32"/>
          <w:szCs w:val="32"/>
          <w:highlight w:val="none"/>
        </w:rPr>
        <w:t>1.</w:t>
      </w:r>
      <w:r>
        <w:rPr>
          <w:rFonts w:eastAsia="方正仿宋_GBK" w:cs="方正仿宋_GBK"/>
          <w:sz w:val="32"/>
          <w:szCs w:val="32"/>
          <w:highlight w:val="none"/>
        </w:rPr>
        <w:t>银龄科技</w:t>
      </w:r>
      <w:r>
        <w:rPr>
          <w:rFonts w:hint="eastAsia" w:eastAsia="方正仿宋_GBK" w:cs="方正仿宋_GBK"/>
          <w:sz w:val="32"/>
          <w:szCs w:val="32"/>
          <w:highlight w:val="none"/>
        </w:rPr>
        <w:t>专家</w:t>
      </w:r>
      <w:r>
        <w:rPr>
          <w:rFonts w:eastAsia="方正仿宋_GBK" w:cs="方正仿宋_GBK"/>
          <w:sz w:val="32"/>
          <w:szCs w:val="32"/>
          <w:highlight w:val="none"/>
        </w:rPr>
        <w:t>应具备</w:t>
      </w:r>
      <w:r>
        <w:rPr>
          <w:rFonts w:hint="eastAsia" w:eastAsia="方正仿宋_GBK" w:cs="方正仿宋_GBK"/>
          <w:sz w:val="32"/>
          <w:szCs w:val="32"/>
          <w:highlight w:val="none"/>
        </w:rPr>
        <w:t>以下</w:t>
      </w:r>
      <w:r>
        <w:rPr>
          <w:rFonts w:eastAsia="方正仿宋_GBK" w:cs="方正仿宋_GBK"/>
          <w:sz w:val="32"/>
          <w:szCs w:val="32"/>
          <w:highlight w:val="none"/>
        </w:rPr>
        <w:t>条件</w:t>
      </w:r>
      <w:r>
        <w:rPr>
          <w:rFonts w:hint="eastAsia" w:eastAsia="方正仿宋_GBK" w:cs="方正仿宋_GBK"/>
          <w:sz w:val="32"/>
          <w:szCs w:val="32"/>
          <w:highlight w:val="none"/>
        </w:rPr>
        <w:t>：</w:t>
      </w:r>
    </w:p>
    <w:p w14:paraId="578F4FF8">
      <w:pPr>
        <w:adjustRightInd w:val="0"/>
        <w:snapToGrid w:val="0"/>
        <w:spacing w:after="0" w:line="560" w:lineRule="exact"/>
        <w:ind w:firstLine="560"/>
        <w:rPr>
          <w:rFonts w:eastAsia="方正仿宋_GBK" w:cs="方正仿宋_GBK"/>
          <w:sz w:val="32"/>
          <w:szCs w:val="32"/>
          <w:highlight w:val="none"/>
        </w:rPr>
      </w:pPr>
      <w:r>
        <w:rPr>
          <w:rFonts w:hint="eastAsia" w:eastAsia="方正仿宋_GBK" w:cs="方正仿宋_GBK"/>
          <w:sz w:val="32"/>
          <w:szCs w:val="32"/>
          <w:highlight w:val="none"/>
        </w:rPr>
        <w:t>（1）政治立场坚定，坚定拥护“两个确立”、坚决做到“两个维护”，遵纪守法、德才兼备、群众公认</w:t>
      </w:r>
      <w:r>
        <w:rPr>
          <w:rFonts w:hint="eastAsia" w:eastAsia="方正仿宋_GBK" w:cs="方正仿宋_GBK"/>
          <w:sz w:val="32"/>
          <w:szCs w:val="32"/>
          <w:highlight w:val="none"/>
          <w:lang w:eastAsia="zh-CN"/>
        </w:rPr>
        <w:t>。</w:t>
      </w:r>
    </w:p>
    <w:p w14:paraId="70364CA1">
      <w:pPr>
        <w:adjustRightInd w:val="0"/>
        <w:snapToGrid w:val="0"/>
        <w:spacing w:after="0" w:line="560" w:lineRule="exact"/>
        <w:ind w:firstLine="560"/>
        <w:rPr>
          <w:rFonts w:eastAsia="方正仿宋_GBK" w:cs="方正仿宋_GBK"/>
          <w:sz w:val="32"/>
          <w:szCs w:val="32"/>
          <w:highlight w:val="none"/>
        </w:rPr>
      </w:pPr>
      <w:r>
        <w:rPr>
          <w:rFonts w:hint="eastAsia" w:eastAsia="方正仿宋_GBK" w:cs="方正仿宋_GBK"/>
          <w:sz w:val="32"/>
          <w:szCs w:val="32"/>
          <w:highlight w:val="none"/>
        </w:rPr>
        <w:t>（2）省内外已办理退休手续人员（其中，省内银龄科技专家须达到法定退休年龄并已办理退休手续），年龄一般不超过70周岁（含），身心健康，热心事业，具备履行岗位职责所需条件。单位返聘的已退休人员不纳入银龄科技专家。</w:t>
      </w:r>
    </w:p>
    <w:p w14:paraId="39D9354C">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highlight w:val="none"/>
        </w:rPr>
        <w:t>（3）</w:t>
      </w:r>
      <w:r>
        <w:rPr>
          <w:rFonts w:hint="eastAsia" w:eastAsia="方正仿宋_GBK" w:cs="方正仿宋_GBK"/>
          <w:sz w:val="32"/>
          <w:szCs w:val="32"/>
          <w:highlight w:val="none"/>
          <w:lang w:val="en-US" w:eastAsia="zh-CN"/>
        </w:rPr>
        <w:t>在基础研究、技术攻关、成果转化等方面</w:t>
      </w:r>
      <w:r>
        <w:rPr>
          <w:rFonts w:hint="eastAsia" w:eastAsia="方正仿宋_GBK" w:cs="方正仿宋_GBK"/>
          <w:sz w:val="32"/>
          <w:szCs w:val="32"/>
          <w:highlight w:val="none"/>
        </w:rPr>
        <w:t>取得</w:t>
      </w:r>
      <w:r>
        <w:rPr>
          <w:rFonts w:hint="eastAsia" w:eastAsia="方正仿宋_GBK" w:cs="方正仿宋_GBK"/>
          <w:sz w:val="32"/>
          <w:szCs w:val="32"/>
          <w:highlight w:val="none"/>
          <w:lang w:eastAsia="zh-CN"/>
        </w:rPr>
        <w:t>较好成效</w:t>
      </w:r>
      <w:r>
        <w:rPr>
          <w:rFonts w:hint="eastAsia" w:eastAsia="方正仿宋_GBK" w:cs="方正仿宋_GBK"/>
          <w:sz w:val="32"/>
          <w:szCs w:val="32"/>
          <w:highlight w:val="none"/>
        </w:rPr>
        <w:t>，或对</w:t>
      </w:r>
      <w:r>
        <w:rPr>
          <w:rFonts w:hint="eastAsia" w:eastAsia="方正仿宋_GBK" w:cs="方正仿宋_GBK"/>
          <w:sz w:val="32"/>
          <w:szCs w:val="32"/>
          <w:highlight w:val="none"/>
          <w:lang w:val="en-US" w:eastAsia="zh-CN"/>
        </w:rPr>
        <w:t>相关</w:t>
      </w:r>
      <w:r>
        <w:rPr>
          <w:rFonts w:hint="eastAsia" w:eastAsia="方正仿宋_GBK" w:cs="方正仿宋_GBK"/>
          <w:sz w:val="32"/>
          <w:szCs w:val="32"/>
          <w:highlight w:val="none"/>
        </w:rPr>
        <w:t>领域的发展有过重要贡献，得到业内</w:t>
      </w:r>
      <w:r>
        <w:rPr>
          <w:rFonts w:hint="eastAsia" w:eastAsia="方正仿宋_GBK" w:cs="方正仿宋_GBK"/>
          <w:sz w:val="32"/>
          <w:szCs w:val="32"/>
        </w:rPr>
        <w:t>认可</w:t>
      </w:r>
      <w:r>
        <w:rPr>
          <w:rFonts w:hint="eastAsia" w:eastAsia="方正仿宋_GBK" w:cs="方正仿宋_GBK"/>
          <w:sz w:val="32"/>
          <w:szCs w:val="32"/>
          <w:lang w:val="en-US" w:eastAsia="zh-CN"/>
        </w:rPr>
        <w:t>的优秀科技专家</w:t>
      </w:r>
      <w:r>
        <w:rPr>
          <w:rFonts w:hint="eastAsia" w:eastAsia="方正仿宋_GBK" w:cs="方正仿宋_GBK"/>
          <w:sz w:val="32"/>
          <w:szCs w:val="32"/>
        </w:rPr>
        <w:t>。</w:t>
      </w:r>
      <w:r>
        <w:rPr>
          <w:rFonts w:hint="eastAsia" w:ascii="Times New Roman" w:hAnsi="Times New Roman" w:eastAsia="方正仿宋_GBK" w:cs="方正仿宋_GBK"/>
          <w:i w:val="0"/>
          <w:iCs w:val="0"/>
          <w:caps w:val="0"/>
          <w:spacing w:val="0"/>
          <w:sz w:val="32"/>
          <w:szCs w:val="32"/>
        </w:rPr>
        <w:t>应具有副高级及以上职称</w:t>
      </w:r>
      <w:r>
        <w:rPr>
          <w:rFonts w:hint="eastAsia" w:eastAsia="方正仿宋_GBK" w:cs="方正仿宋_GBK"/>
          <w:sz w:val="32"/>
          <w:szCs w:val="32"/>
        </w:rPr>
        <w:t>。</w:t>
      </w:r>
    </w:p>
    <w:p w14:paraId="3FB57767">
      <w:pPr>
        <w:adjustRightInd w:val="0"/>
        <w:snapToGrid w:val="0"/>
        <w:spacing w:after="0" w:line="560" w:lineRule="exact"/>
        <w:ind w:firstLine="560"/>
        <w:rPr>
          <w:rFonts w:eastAsia="方正仿宋_GBK" w:cs="方正仿宋_GBK"/>
          <w:sz w:val="32"/>
          <w:szCs w:val="32"/>
        </w:rPr>
      </w:pPr>
      <w:r>
        <w:rPr>
          <w:rFonts w:hint="eastAsia" w:eastAsia="方正仿宋_GBK" w:cs="方正仿宋_GBK"/>
          <w:sz w:val="32"/>
          <w:szCs w:val="32"/>
        </w:rPr>
        <w:t>2.用人单位聘用急需紧缺的银龄科技专家可采取“一事一议”方式，由省科技厅确定资格条件。</w:t>
      </w:r>
    </w:p>
    <w:p w14:paraId="72677065">
      <w:pPr>
        <w:adjustRightInd w:val="0"/>
        <w:snapToGrid w:val="0"/>
        <w:spacing w:after="0"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（二）遴选程序</w:t>
      </w:r>
    </w:p>
    <w:p w14:paraId="4D732950">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银龄科技专家引进留用工作由省科技厅牵头实施，具体流程为：</w:t>
      </w:r>
    </w:p>
    <w:p w14:paraId="2B043834">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1.</w:t>
      </w:r>
      <w:r>
        <w:rPr>
          <w:rFonts w:hint="eastAsia" w:eastAsia="方正仿宋_GBK" w:cs="方正仿宋_GBK"/>
          <w:sz w:val="32"/>
          <w:szCs w:val="32"/>
          <w:lang w:val="en-US" w:eastAsia="zh-CN"/>
        </w:rPr>
        <w:t>印发通知。</w:t>
      </w:r>
      <w:r>
        <w:rPr>
          <w:rFonts w:hint="eastAsia" w:eastAsia="方正仿宋_GBK" w:cs="方正仿宋_GBK"/>
          <w:sz w:val="32"/>
          <w:szCs w:val="32"/>
          <w:lang w:eastAsia="zh-CN"/>
        </w:rPr>
        <w:t>印发</w:t>
      </w:r>
      <w:r>
        <w:rPr>
          <w:rFonts w:hint="eastAsia" w:eastAsia="方正仿宋_GBK" w:cs="方正仿宋_GBK"/>
          <w:sz w:val="32"/>
          <w:szCs w:val="32"/>
        </w:rPr>
        <w:t>银龄科技专家申报通知</w:t>
      </w:r>
      <w:r>
        <w:rPr>
          <w:rFonts w:hint="eastAsia" w:eastAsia="方正仿宋_GBK" w:cs="方正仿宋_GBK"/>
          <w:sz w:val="32"/>
          <w:szCs w:val="32"/>
          <w:lang w:eastAsia="zh-CN"/>
        </w:rPr>
        <w:t>。</w:t>
      </w:r>
    </w:p>
    <w:p w14:paraId="79923266">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2.</w:t>
      </w:r>
      <w:r>
        <w:rPr>
          <w:rFonts w:hint="eastAsia" w:eastAsia="方正仿宋_GBK" w:cs="方正仿宋_GBK"/>
          <w:sz w:val="32"/>
          <w:szCs w:val="32"/>
          <w:lang w:val="en-US" w:eastAsia="zh-CN"/>
        </w:rPr>
        <w:t>组织申报。有申报意向的银龄科技专家与用人单位对接，由</w:t>
      </w:r>
      <w:r>
        <w:rPr>
          <w:rFonts w:hint="eastAsia" w:eastAsia="方正仿宋_GBK" w:cs="方正仿宋_GBK"/>
          <w:sz w:val="32"/>
          <w:szCs w:val="32"/>
        </w:rPr>
        <w:t>用人单位组织申报</w:t>
      </w:r>
      <w:r>
        <w:rPr>
          <w:rFonts w:hint="eastAsia" w:eastAsia="方正仿宋_GBK" w:cs="方正仿宋_GBK"/>
          <w:sz w:val="32"/>
          <w:szCs w:val="32"/>
          <w:lang w:eastAsia="zh-CN"/>
        </w:rPr>
        <w:t>。</w:t>
      </w:r>
    </w:p>
    <w:p w14:paraId="53E9B839">
      <w:pPr>
        <w:adjustRightInd w:val="0"/>
        <w:snapToGrid w:val="0"/>
        <w:spacing w:after="0" w:line="560" w:lineRule="exact"/>
        <w:ind w:firstLine="640" w:firstLineChars="200"/>
        <w:rPr>
          <w:rFonts w:hint="default" w:eastAsia="方正仿宋_GBK" w:cs="方正仿宋_GBK"/>
          <w:sz w:val="32"/>
          <w:szCs w:val="32"/>
          <w:lang w:val="en-US" w:eastAsia="zh-CN"/>
        </w:rPr>
      </w:pPr>
      <w:r>
        <w:rPr>
          <w:rFonts w:hint="eastAsia" w:eastAsia="方正仿宋_GBK" w:cs="方正仿宋_GBK"/>
          <w:sz w:val="32"/>
          <w:szCs w:val="32"/>
        </w:rPr>
        <w:t>3.审核遴选</w:t>
      </w:r>
      <w:r>
        <w:rPr>
          <w:rFonts w:hint="eastAsia" w:eastAsia="方正仿宋_GBK" w:cs="方正仿宋_GBK"/>
          <w:sz w:val="32"/>
          <w:szCs w:val="32"/>
          <w:lang w:eastAsia="zh-CN"/>
        </w:rPr>
        <w:t>。</w:t>
      </w:r>
      <w:r>
        <w:rPr>
          <w:rFonts w:hint="eastAsia" w:eastAsia="方正仿宋_GBK" w:cs="方正仿宋_GBK"/>
          <w:sz w:val="32"/>
          <w:szCs w:val="32"/>
          <w:lang w:val="en-US" w:eastAsia="zh-CN"/>
        </w:rPr>
        <w:t>州（市）用人单位由所在</w:t>
      </w:r>
      <w:r>
        <w:rPr>
          <w:rFonts w:hint="eastAsia" w:eastAsia="方正仿宋_GBK" w:cs="方正仿宋_GBK"/>
          <w:sz w:val="32"/>
          <w:szCs w:val="32"/>
        </w:rPr>
        <w:t>州</w:t>
      </w:r>
      <w:r>
        <w:rPr>
          <w:rFonts w:hint="eastAsia" w:eastAsia="方正仿宋_GBK" w:cs="方正仿宋_GBK"/>
          <w:sz w:val="32"/>
          <w:szCs w:val="32"/>
          <w:lang w:eastAsia="zh-CN"/>
        </w:rPr>
        <w:t>（</w:t>
      </w:r>
      <w:r>
        <w:rPr>
          <w:rFonts w:hint="eastAsia" w:eastAsia="方正仿宋_GBK" w:cs="方正仿宋_GBK"/>
          <w:sz w:val="32"/>
          <w:szCs w:val="32"/>
        </w:rPr>
        <w:t>市</w:t>
      </w:r>
      <w:r>
        <w:rPr>
          <w:rFonts w:hint="eastAsia" w:eastAsia="方正仿宋_GBK" w:cs="方正仿宋_GBK"/>
          <w:sz w:val="32"/>
          <w:szCs w:val="32"/>
          <w:lang w:eastAsia="zh-CN"/>
        </w:rPr>
        <w:t>）</w:t>
      </w:r>
      <w:r>
        <w:rPr>
          <w:rFonts w:hint="eastAsia" w:eastAsia="方正仿宋_GBK" w:cs="方正仿宋_GBK"/>
          <w:sz w:val="32"/>
          <w:szCs w:val="32"/>
        </w:rPr>
        <w:t>科技局</w:t>
      </w:r>
      <w:r>
        <w:rPr>
          <w:rFonts w:hint="eastAsia" w:eastAsia="方正仿宋_GBK" w:cs="方正仿宋_GBK"/>
          <w:sz w:val="32"/>
          <w:szCs w:val="32"/>
          <w:lang w:val="en-US" w:eastAsia="zh-CN"/>
        </w:rPr>
        <w:t>进行审核遴选；省属及中央驻滇单位自行组织审核遴选。</w:t>
      </w:r>
    </w:p>
    <w:p w14:paraId="208259D7">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4.公示</w:t>
      </w:r>
      <w:r>
        <w:rPr>
          <w:rFonts w:hint="eastAsia" w:eastAsia="方正仿宋_GBK" w:cs="方正仿宋_GBK"/>
          <w:sz w:val="32"/>
          <w:szCs w:val="32"/>
          <w:lang w:val="en-US" w:eastAsia="zh-CN"/>
        </w:rPr>
        <w:t>审定</w:t>
      </w:r>
      <w:r>
        <w:rPr>
          <w:rFonts w:hint="eastAsia"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审核遴选单位对遴选结果进行公示</w:t>
      </w:r>
      <w:r>
        <w:rPr>
          <w:rFonts w:hint="eastAsia" w:eastAsia="方正仿宋_GBK" w:cs="Times New Roman"/>
          <w:sz w:val="32"/>
          <w:szCs w:val="32"/>
          <w:lang w:val="en-US" w:eastAsia="zh-CN"/>
        </w:rPr>
        <w:t>，公示期为5个工作日。经</w:t>
      </w:r>
      <w:r>
        <w:rPr>
          <w:rFonts w:hint="default" w:ascii="Times New Roman" w:hAnsi="Times New Roman" w:eastAsia="方正仿宋_GBK" w:cs="Times New Roman"/>
          <w:sz w:val="32"/>
          <w:szCs w:val="32"/>
          <w:lang w:val="en-US" w:eastAsia="zh-CN"/>
        </w:rPr>
        <w:t>公示</w:t>
      </w:r>
      <w:r>
        <w:rPr>
          <w:rFonts w:hint="eastAsia" w:eastAsia="方正仿宋_GBK" w:cs="Times New Roman"/>
          <w:sz w:val="32"/>
          <w:szCs w:val="32"/>
          <w:lang w:val="en-US" w:eastAsia="zh-CN"/>
        </w:rPr>
        <w:t>无异议，</w:t>
      </w:r>
      <w:r>
        <w:rPr>
          <w:rFonts w:hint="default" w:ascii="Times New Roman" w:hAnsi="Times New Roman" w:eastAsia="方正仿宋_GBK" w:cs="Times New Roman"/>
          <w:sz w:val="32"/>
          <w:szCs w:val="32"/>
          <w:lang w:val="en-US" w:eastAsia="zh-CN"/>
        </w:rPr>
        <w:t>报省科技厅审定，省科技厅确定银龄科技专家</w:t>
      </w:r>
      <w:r>
        <w:rPr>
          <w:rFonts w:hint="eastAsia" w:eastAsia="方正仿宋_GBK" w:cs="Times New Roman"/>
          <w:sz w:val="32"/>
          <w:szCs w:val="32"/>
          <w:lang w:val="en-US" w:eastAsia="zh-CN"/>
        </w:rPr>
        <w:t>入选名单</w:t>
      </w:r>
      <w:r>
        <w:rPr>
          <w:rFonts w:hint="default" w:ascii="Times New Roman" w:hAnsi="Times New Roman" w:eastAsia="方正仿宋_GBK" w:cs="Times New Roman"/>
          <w:sz w:val="32"/>
          <w:szCs w:val="32"/>
          <w:lang w:val="en-US" w:eastAsia="zh-CN"/>
        </w:rPr>
        <w:t>。</w:t>
      </w:r>
    </w:p>
    <w:p w14:paraId="78114876">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5.</w:t>
      </w:r>
      <w:r>
        <w:rPr>
          <w:rFonts w:hint="eastAsia" w:eastAsia="方正仿宋_GBK" w:cs="方正仿宋_GBK"/>
          <w:sz w:val="32"/>
          <w:szCs w:val="32"/>
          <w:lang w:val="en-US" w:eastAsia="zh-CN"/>
        </w:rPr>
        <w:t>签订协议。</w:t>
      </w:r>
      <w:r>
        <w:rPr>
          <w:rFonts w:hint="eastAsia" w:eastAsia="方正仿宋_GBK" w:cs="方正仿宋_GBK"/>
          <w:sz w:val="32"/>
          <w:szCs w:val="32"/>
        </w:rPr>
        <w:t>用人单位与银龄科技专家按照“平等自愿、协商一致”的原则签订聘用</w:t>
      </w:r>
      <w:r>
        <w:rPr>
          <w:rFonts w:hint="eastAsia" w:eastAsia="方正仿宋_GBK" w:cs="方正仿宋_GBK"/>
          <w:sz w:val="32"/>
          <w:szCs w:val="32"/>
          <w:lang w:eastAsia="zh-CN"/>
        </w:rPr>
        <w:t>协议</w:t>
      </w:r>
      <w:r>
        <w:rPr>
          <w:rFonts w:hint="eastAsia" w:eastAsia="方正仿宋_GBK" w:cs="方正仿宋_GBK"/>
          <w:sz w:val="32"/>
          <w:szCs w:val="32"/>
        </w:rPr>
        <w:t>，聘期1-3年，并报省科技厅备案</w:t>
      </w:r>
      <w:r>
        <w:rPr>
          <w:rFonts w:hint="eastAsia" w:eastAsia="方正仿宋_GBK" w:cs="方正仿宋_GBK"/>
          <w:sz w:val="32"/>
          <w:szCs w:val="32"/>
          <w:lang w:eastAsia="zh-CN"/>
        </w:rPr>
        <w:t>。</w:t>
      </w:r>
    </w:p>
    <w:p w14:paraId="71ACD6AD">
      <w:pPr>
        <w:adjustRightInd w:val="0"/>
        <w:snapToGrid w:val="0"/>
        <w:spacing w:after="0"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（三）人才来源</w:t>
      </w:r>
    </w:p>
    <w:p w14:paraId="4771A39C">
      <w:pPr>
        <w:adjustRightInd w:val="0"/>
        <w:snapToGrid w:val="0"/>
        <w:spacing w:after="0" w:line="560" w:lineRule="exact"/>
        <w:ind w:firstLine="560"/>
        <w:rPr>
          <w:rFonts w:eastAsia="方正仿宋_GBK" w:cs="方正仿宋_GBK"/>
          <w:sz w:val="32"/>
          <w:szCs w:val="32"/>
        </w:rPr>
      </w:pPr>
      <w:r>
        <w:rPr>
          <w:rFonts w:hint="eastAsia" w:eastAsia="方正仿宋_GBK" w:cs="方正仿宋_GBK"/>
          <w:sz w:val="32"/>
          <w:szCs w:val="32"/>
        </w:rPr>
        <w:t>用人单位可通过省外引进、省内留用等方式聘用银龄科技专家。银龄科技专家受聘期间人事关系、现享受的退休待遇不变。</w:t>
      </w:r>
    </w:p>
    <w:p w14:paraId="1A47B423">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1.省外引进</w:t>
      </w:r>
    </w:p>
    <w:p w14:paraId="6D689283">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（1）用人单位应履行主体责任，根据单位实际，提出银龄科技专家需求，优先争取结对帮扶单位支持“协作引才”，</w:t>
      </w:r>
      <w:r>
        <w:rPr>
          <w:rFonts w:hint="eastAsia" w:eastAsia="方正仿宋_GBK" w:cs="方正仿宋_GBK"/>
          <w:sz w:val="32"/>
          <w:szCs w:val="32"/>
          <w:lang w:eastAsia="zh-CN"/>
        </w:rPr>
        <w:t>并</w:t>
      </w:r>
      <w:r>
        <w:rPr>
          <w:rFonts w:hint="eastAsia" w:eastAsia="方正仿宋_GBK" w:cs="方正仿宋_GBK"/>
          <w:sz w:val="32"/>
          <w:szCs w:val="32"/>
        </w:rPr>
        <w:t>发挥各领域专家作用，实施“以才引才”。</w:t>
      </w:r>
    </w:p>
    <w:p w14:paraId="11479681">
      <w:pPr>
        <w:adjustRightInd w:val="0"/>
        <w:snapToGrid w:val="0"/>
        <w:spacing w:after="0" w:line="560" w:lineRule="exact"/>
        <w:ind w:firstLine="560"/>
        <w:rPr>
          <w:rFonts w:eastAsia="方正仿宋_GBK" w:cs="方正仿宋_GBK"/>
          <w:sz w:val="32"/>
          <w:szCs w:val="32"/>
        </w:rPr>
      </w:pPr>
      <w:r>
        <w:rPr>
          <w:rFonts w:hint="eastAsia" w:eastAsia="方正仿宋_GBK" w:cs="方正仿宋_GBK"/>
          <w:sz w:val="32"/>
          <w:szCs w:val="32"/>
        </w:rPr>
        <w:t>（2）用人单位要加强与各级科技</w:t>
      </w:r>
      <w:r>
        <w:rPr>
          <w:rFonts w:hint="eastAsia" w:eastAsia="方正仿宋_GBK" w:cs="方正仿宋_GBK"/>
          <w:sz w:val="32"/>
          <w:szCs w:val="32"/>
          <w:lang w:eastAsia="zh-CN"/>
        </w:rPr>
        <w:t>管理</w:t>
      </w:r>
      <w:r>
        <w:rPr>
          <w:rFonts w:hint="eastAsia" w:eastAsia="方正仿宋_GBK" w:cs="方正仿宋_GBK"/>
          <w:sz w:val="32"/>
          <w:szCs w:val="32"/>
        </w:rPr>
        <w:t>部门</w:t>
      </w:r>
      <w:r>
        <w:rPr>
          <w:rFonts w:hint="eastAsia" w:eastAsia="方正仿宋_GBK" w:cs="方正仿宋_GBK"/>
          <w:sz w:val="32"/>
          <w:szCs w:val="32"/>
          <w:lang w:eastAsia="zh-CN"/>
        </w:rPr>
        <w:t>等</w:t>
      </w:r>
      <w:r>
        <w:rPr>
          <w:rFonts w:hint="eastAsia" w:eastAsia="方正仿宋_GBK" w:cs="方正仿宋_GBK"/>
          <w:sz w:val="32"/>
          <w:szCs w:val="32"/>
        </w:rPr>
        <w:t>行业主管部门沟通协作，争取掌握一批银龄科技专家资源，推动</w:t>
      </w:r>
      <w:r>
        <w:rPr>
          <w:rFonts w:hint="eastAsia" w:eastAsia="方正仿宋_GBK" w:cs="方正仿宋_GBK"/>
          <w:sz w:val="32"/>
          <w:szCs w:val="32"/>
          <w:lang w:eastAsia="zh-CN"/>
        </w:rPr>
        <w:t>更多优秀</w:t>
      </w:r>
      <w:r>
        <w:rPr>
          <w:rFonts w:hint="eastAsia" w:eastAsia="方正仿宋_GBK" w:cs="方正仿宋_GBK"/>
          <w:sz w:val="32"/>
          <w:szCs w:val="32"/>
        </w:rPr>
        <w:t>银龄科技专家落地云南。对于我省重点领域、重点产业急需紧缺的银龄科技专家，用人单位可商请行业主管部门牵头，通过带队上门拜访、协调见面洽谈等方式引进。</w:t>
      </w:r>
    </w:p>
    <w:p w14:paraId="074DE2E0">
      <w:pPr>
        <w:adjustRightInd w:val="0"/>
        <w:snapToGrid w:val="0"/>
        <w:spacing w:after="0" w:line="560" w:lineRule="exact"/>
        <w:ind w:firstLine="560"/>
        <w:rPr>
          <w:rFonts w:hint="eastAsia" w:eastAsia="方正仿宋_GBK" w:cs="方正仿宋_GBK"/>
          <w:sz w:val="32"/>
          <w:szCs w:val="32"/>
          <w:lang w:eastAsia="zh-CN"/>
        </w:rPr>
      </w:pPr>
      <w:r>
        <w:rPr>
          <w:rFonts w:hint="eastAsia" w:eastAsia="方正仿宋_GBK" w:cs="方正仿宋_GBK"/>
          <w:sz w:val="32"/>
          <w:szCs w:val="32"/>
        </w:rPr>
        <w:t>2.省内</w:t>
      </w:r>
      <w:r>
        <w:rPr>
          <w:rFonts w:hint="eastAsia" w:eastAsia="方正仿宋_GBK" w:cs="方正仿宋_GBK"/>
          <w:sz w:val="32"/>
          <w:szCs w:val="32"/>
          <w:lang w:val="en-US" w:eastAsia="zh-CN"/>
        </w:rPr>
        <w:t>留用</w:t>
      </w:r>
    </w:p>
    <w:p w14:paraId="15548930">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用人单位聘用具有较好前期研究成果和科研经验的银龄科技专家，根据高校、科研院所、企业</w:t>
      </w:r>
      <w:r>
        <w:rPr>
          <w:rFonts w:hint="eastAsia" w:eastAsia="方正仿宋_GBK" w:cs="方正仿宋_GBK"/>
          <w:sz w:val="32"/>
          <w:szCs w:val="32"/>
          <w:lang w:val="en-US" w:eastAsia="zh-CN"/>
        </w:rPr>
        <w:t>等</w:t>
      </w:r>
      <w:r>
        <w:rPr>
          <w:rFonts w:hint="eastAsia" w:eastAsia="方正仿宋_GBK" w:cs="方正仿宋_GBK"/>
          <w:sz w:val="32"/>
          <w:szCs w:val="32"/>
          <w:lang w:eastAsia="zh-CN"/>
        </w:rPr>
        <w:t>科技创新存在</w:t>
      </w:r>
      <w:r>
        <w:rPr>
          <w:rFonts w:hint="eastAsia" w:eastAsia="方正仿宋_GBK" w:cs="方正仿宋_GBK"/>
          <w:sz w:val="32"/>
          <w:szCs w:val="32"/>
        </w:rPr>
        <w:t>的问题，遴选至单位进行科技工作指导，</w:t>
      </w:r>
      <w:r>
        <w:rPr>
          <w:rFonts w:hint="eastAsia" w:eastAsia="方正仿宋_GBK" w:cs="方正仿宋_GBK"/>
          <w:sz w:val="32"/>
          <w:szCs w:val="32"/>
          <w:lang w:eastAsia="zh-CN"/>
        </w:rPr>
        <w:t>并开展</w:t>
      </w:r>
      <w:r>
        <w:rPr>
          <w:rFonts w:hint="eastAsia" w:eastAsia="方正仿宋_GBK" w:cs="方正仿宋_GBK"/>
          <w:sz w:val="32"/>
          <w:szCs w:val="32"/>
        </w:rPr>
        <w:t>科技创新及成果转化工作。</w:t>
      </w:r>
    </w:p>
    <w:p w14:paraId="46739B5A">
      <w:pPr>
        <w:adjustRightInd w:val="0"/>
        <w:snapToGrid w:val="0"/>
        <w:spacing w:after="0" w:line="56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）服务时间</w:t>
      </w:r>
    </w:p>
    <w:p w14:paraId="3F9AEC50">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用人单位需与银龄科技专家签订不少于1年的聘用协议，约定服务期限、工作内容、薪酬待遇、奖励措施等。</w:t>
      </w:r>
      <w:r>
        <w:rPr>
          <w:rFonts w:hint="eastAsia" w:eastAsia="方正仿宋_GBK" w:cs="方正仿宋_GBK"/>
          <w:sz w:val="32"/>
          <w:szCs w:val="32"/>
          <w:lang w:eastAsia="zh-CN"/>
        </w:rPr>
        <w:t>银铃科技专家</w:t>
      </w:r>
      <w:r>
        <w:rPr>
          <w:rFonts w:hint="eastAsia" w:eastAsia="方正仿宋_GBK" w:cs="方正仿宋_GBK"/>
          <w:sz w:val="32"/>
          <w:szCs w:val="32"/>
          <w:lang w:val="en-US" w:eastAsia="zh-CN"/>
        </w:rPr>
        <w:t>每年在用人单位累计工作时间不少于1个月。</w:t>
      </w:r>
      <w:r>
        <w:rPr>
          <w:rFonts w:hint="eastAsia" w:eastAsia="方正仿宋_GBK" w:cs="方正仿宋_GBK"/>
          <w:sz w:val="32"/>
          <w:szCs w:val="32"/>
        </w:rPr>
        <w:t>鼓励考核合格的受聘专家连续聘用。</w:t>
      </w:r>
    </w:p>
    <w:p w14:paraId="2198351F">
      <w:pPr>
        <w:adjustRightInd w:val="0"/>
        <w:snapToGrid w:val="0"/>
        <w:spacing w:after="0"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）岗位职责</w:t>
      </w:r>
    </w:p>
    <w:p w14:paraId="689F6A3A">
      <w:pPr>
        <w:adjustRightInd w:val="0"/>
        <w:snapToGrid w:val="0"/>
        <w:spacing w:after="0" w:line="560" w:lineRule="exact"/>
        <w:ind w:firstLine="640" w:firstLineChars="200"/>
        <w:rPr>
          <w:rFonts w:hint="eastAsia" w:eastAsia="方正仿宋_GBK" w:cs="方正仿宋_GBK"/>
          <w:sz w:val="32"/>
          <w:szCs w:val="32"/>
        </w:rPr>
      </w:pPr>
      <w:r>
        <w:rPr>
          <w:rFonts w:hint="eastAsia" w:eastAsia="方正仿宋_GBK" w:cs="方正仿宋_GBK"/>
          <w:sz w:val="32"/>
          <w:szCs w:val="32"/>
        </w:rPr>
        <w:t>银龄科技专家主要开展</w:t>
      </w:r>
      <w:r>
        <w:rPr>
          <w:rFonts w:hint="eastAsia" w:eastAsia="方正仿宋_GBK" w:cs="方正仿宋_GBK"/>
          <w:sz w:val="32"/>
          <w:szCs w:val="32"/>
          <w:lang w:eastAsia="zh-CN"/>
        </w:rPr>
        <w:t>基础研究、技术研发</w:t>
      </w:r>
      <w:r>
        <w:rPr>
          <w:rFonts w:hint="eastAsia" w:eastAsia="方正仿宋_GBK" w:cs="方正仿宋_GBK"/>
          <w:sz w:val="32"/>
          <w:szCs w:val="32"/>
        </w:rPr>
        <w:t>，推动科技成果转化、创新平台创建等，带动重点产业技术创新和重点领域科技水平提升，</w:t>
      </w:r>
      <w:r>
        <w:rPr>
          <w:rFonts w:hint="eastAsia" w:eastAsia="方正仿宋_GBK" w:cs="方正仿宋_GBK"/>
          <w:sz w:val="32"/>
          <w:szCs w:val="32"/>
          <w:lang w:eastAsia="zh-CN"/>
        </w:rPr>
        <w:t>并</w:t>
      </w:r>
      <w:r>
        <w:rPr>
          <w:rFonts w:hint="eastAsia" w:eastAsia="方正仿宋_GBK" w:cs="方正仿宋_GBK"/>
          <w:sz w:val="32"/>
          <w:szCs w:val="32"/>
        </w:rPr>
        <w:t>通过“传、帮、带”方式</w:t>
      </w:r>
      <w:r>
        <w:rPr>
          <w:rFonts w:hint="eastAsia" w:eastAsia="方正仿宋_GBK" w:cs="方正仿宋_GBK"/>
          <w:sz w:val="32"/>
          <w:szCs w:val="32"/>
          <w:lang w:eastAsia="zh-CN"/>
        </w:rPr>
        <w:t>，</w:t>
      </w:r>
      <w:r>
        <w:rPr>
          <w:rFonts w:hint="eastAsia" w:eastAsia="方正仿宋_GBK" w:cs="方正仿宋_GBK"/>
          <w:sz w:val="32"/>
          <w:szCs w:val="32"/>
        </w:rPr>
        <w:t>把先进适用的科研思维和经验传授给</w:t>
      </w:r>
      <w:r>
        <w:rPr>
          <w:rFonts w:hint="eastAsia" w:eastAsia="方正仿宋_GBK" w:cs="方正仿宋_GBK"/>
          <w:sz w:val="32"/>
          <w:szCs w:val="32"/>
          <w:lang w:val="en-US" w:eastAsia="zh-CN"/>
        </w:rPr>
        <w:t>用人</w:t>
      </w:r>
      <w:r>
        <w:rPr>
          <w:rFonts w:hint="eastAsia" w:eastAsia="方正仿宋_GBK" w:cs="方正仿宋_GBK"/>
          <w:sz w:val="32"/>
          <w:szCs w:val="32"/>
        </w:rPr>
        <w:t>单位科技人员</w:t>
      </w:r>
      <w:r>
        <w:rPr>
          <w:rFonts w:hint="eastAsia" w:eastAsia="方正仿宋_GBK" w:cs="方正仿宋_GBK"/>
          <w:sz w:val="32"/>
          <w:szCs w:val="32"/>
          <w:lang w:eastAsia="zh-CN"/>
        </w:rPr>
        <w:t>。</w:t>
      </w:r>
    </w:p>
    <w:p w14:paraId="382F5CE3">
      <w:pPr>
        <w:adjustRightInd w:val="0"/>
        <w:snapToGrid w:val="0"/>
        <w:spacing w:after="0"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考核管理</w:t>
      </w:r>
    </w:p>
    <w:p w14:paraId="0413F98B">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lang w:val="en-US" w:eastAsia="zh-CN"/>
        </w:rPr>
        <w:t>银龄科技专家聘用期间，省属及中央驻滇单位聘用的银龄科技专家由用人单位负责日常管理及终期考核评价；州（市）用人单位聘用的银龄科技专家，由用人单位负责日常管理，所在州（市）科技局负责终期考核评价；银龄科技专家终期考核结果报省科技厅备案，省科技厅对银龄科技专家聘用情况、工作成效等进行抽查。</w:t>
      </w:r>
      <w:r>
        <w:rPr>
          <w:rFonts w:hint="eastAsia" w:eastAsia="方正仿宋_GBK" w:cs="方正仿宋_GBK"/>
          <w:sz w:val="32"/>
          <w:szCs w:val="32"/>
        </w:rPr>
        <w:t>考核结果作为银龄科技专家</w:t>
      </w:r>
      <w:r>
        <w:rPr>
          <w:rFonts w:hint="eastAsia" w:eastAsia="方正仿宋_GBK" w:cs="方正仿宋_GBK"/>
          <w:sz w:val="32"/>
          <w:szCs w:val="32"/>
          <w:lang w:val="en-US" w:eastAsia="zh-CN"/>
        </w:rPr>
        <w:t>后续</w:t>
      </w:r>
      <w:r>
        <w:rPr>
          <w:rFonts w:hint="eastAsia" w:eastAsia="方正仿宋_GBK" w:cs="方正仿宋_GBK"/>
          <w:sz w:val="32"/>
          <w:szCs w:val="32"/>
        </w:rPr>
        <w:t>省级财政补助资金预算和资金拨付的重要依据。</w:t>
      </w:r>
    </w:p>
    <w:p w14:paraId="056CA3B9">
      <w:pPr>
        <w:adjustRightInd w:val="0"/>
        <w:snapToGrid w:val="0"/>
        <w:spacing w:after="0" w:line="560" w:lineRule="exact"/>
        <w:ind w:firstLine="640" w:firstLineChars="200"/>
        <w:rPr>
          <w:rFonts w:eastAsia="方正黑体_GBK" w:cs="方正黑体_GBK"/>
          <w:sz w:val="32"/>
          <w:szCs w:val="32"/>
        </w:rPr>
      </w:pPr>
      <w:r>
        <w:rPr>
          <w:rFonts w:hint="eastAsia" w:eastAsia="方正黑体_GBK" w:cs="方正黑体_GBK"/>
          <w:sz w:val="32"/>
          <w:szCs w:val="32"/>
        </w:rPr>
        <w:t>三、支持政策</w:t>
      </w:r>
    </w:p>
    <w:p w14:paraId="55CB20BC">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w:t>
      </w:r>
      <w:r>
        <w:rPr>
          <w:rFonts w:hint="eastAsia" w:eastAsia="方正仿宋_GBK" w:cs="方正仿宋_GBK"/>
          <w:sz w:val="32"/>
          <w:szCs w:val="32"/>
          <w:lang w:val="en-US" w:eastAsia="zh-CN"/>
        </w:rPr>
        <w:t>一</w:t>
      </w:r>
      <w:r>
        <w:rPr>
          <w:rFonts w:hint="eastAsia" w:eastAsia="方正仿宋_GBK" w:cs="方正仿宋_GBK"/>
          <w:sz w:val="32"/>
          <w:szCs w:val="32"/>
        </w:rPr>
        <w:t>）银龄科技专家在我省服务1年及以上或完成核定工作量的，省科技厅按照每人每年不超过5万元的标准，对用人单位给予补助，鼓励有条件的用人单位加大资金投入，</w:t>
      </w:r>
      <w:r>
        <w:rPr>
          <w:rFonts w:hint="eastAsia" w:eastAsia="方正仿宋_GBK" w:cs="方正仿宋_GBK"/>
          <w:sz w:val="32"/>
          <w:szCs w:val="32"/>
          <w:lang w:val="en-US" w:eastAsia="zh-CN"/>
        </w:rPr>
        <w:t>为银龄科技专家做好服务保障</w:t>
      </w:r>
      <w:r>
        <w:rPr>
          <w:rFonts w:hint="eastAsia" w:eastAsia="方正仿宋_GBK" w:cs="方正仿宋_GBK"/>
          <w:sz w:val="32"/>
          <w:szCs w:val="32"/>
        </w:rPr>
        <w:t>。</w:t>
      </w:r>
    </w:p>
    <w:p w14:paraId="34C351C5">
      <w:pPr>
        <w:adjustRightInd w:val="0"/>
        <w:snapToGrid w:val="0"/>
        <w:spacing w:after="0" w:line="560" w:lineRule="exact"/>
        <w:ind w:firstLine="640" w:firstLineChars="200"/>
        <w:rPr>
          <w:rFonts w:hint="eastAsia" w:eastAsia="方正仿宋_GBK" w:cs="方正仿宋_GBK"/>
          <w:sz w:val="32"/>
          <w:szCs w:val="32"/>
        </w:rPr>
      </w:pPr>
      <w:r>
        <w:rPr>
          <w:rFonts w:hint="eastAsia" w:eastAsia="方正仿宋_GBK" w:cs="方正仿宋_GBK"/>
          <w:sz w:val="32"/>
          <w:szCs w:val="32"/>
        </w:rPr>
        <w:t>（二）鼓励各地区各部门结合实际</w:t>
      </w:r>
      <w:r>
        <w:rPr>
          <w:rFonts w:hint="eastAsia" w:eastAsia="方正仿宋_GBK" w:cs="方正仿宋_GBK"/>
          <w:sz w:val="32"/>
          <w:szCs w:val="32"/>
          <w:lang w:eastAsia="zh-CN"/>
        </w:rPr>
        <w:t>，</w:t>
      </w:r>
      <w:r>
        <w:rPr>
          <w:rFonts w:hint="eastAsia" w:eastAsia="方正仿宋_GBK" w:cs="方正仿宋_GBK"/>
          <w:sz w:val="32"/>
          <w:szCs w:val="32"/>
        </w:rPr>
        <w:t>按照有关规定制定灵活多样的银龄人才薪酬制度，</w:t>
      </w:r>
      <w:r>
        <w:rPr>
          <w:rFonts w:hint="default" w:ascii="Times New Roman" w:hAnsi="Times New Roman" w:eastAsia="方正仿宋_GBK" w:cs="Times New Roman"/>
          <w:i w:val="0"/>
          <w:iCs w:val="0"/>
          <w:caps w:val="0"/>
          <w:color w:val="333333"/>
          <w:spacing w:val="0"/>
          <w:sz w:val="32"/>
          <w:szCs w:val="32"/>
        </w:rPr>
        <w:t>加大激励力度。</w:t>
      </w:r>
      <w:r>
        <w:rPr>
          <w:rFonts w:hint="eastAsia" w:eastAsia="方正仿宋_GBK" w:cs="方正仿宋_GBK"/>
          <w:sz w:val="32"/>
          <w:szCs w:val="32"/>
        </w:rPr>
        <w:t>用人单位可实行目标年薪制</w:t>
      </w:r>
      <w:r>
        <w:rPr>
          <w:rFonts w:hint="eastAsia" w:eastAsia="方正仿宋_GBK" w:cs="方正仿宋_GBK"/>
          <w:sz w:val="32"/>
          <w:szCs w:val="32"/>
          <w:lang w:eastAsia="zh-CN"/>
        </w:rPr>
        <w:t>、</w:t>
      </w:r>
      <w:r>
        <w:rPr>
          <w:rFonts w:hint="eastAsia" w:eastAsia="方正仿宋_GBK" w:cs="方正仿宋_GBK"/>
          <w:sz w:val="32"/>
          <w:szCs w:val="32"/>
        </w:rPr>
        <w:t>协议工资制等模式</w:t>
      </w:r>
      <w:r>
        <w:rPr>
          <w:rFonts w:hint="eastAsia" w:eastAsia="方正仿宋_GBK" w:cs="方正仿宋_GBK"/>
          <w:sz w:val="32"/>
          <w:szCs w:val="32"/>
          <w:lang w:eastAsia="zh-CN"/>
        </w:rPr>
        <w:t>，</w:t>
      </w:r>
      <w:r>
        <w:rPr>
          <w:rFonts w:hint="eastAsia" w:eastAsia="方正仿宋_GBK" w:cs="方正仿宋_GBK"/>
          <w:sz w:val="32"/>
          <w:szCs w:val="32"/>
          <w:lang w:val="en-US" w:eastAsia="zh-CN"/>
        </w:rPr>
        <w:t>或</w:t>
      </w:r>
      <w:r>
        <w:rPr>
          <w:rFonts w:hint="eastAsia" w:eastAsia="方正仿宋_GBK" w:cs="方正仿宋_GBK"/>
          <w:sz w:val="32"/>
          <w:szCs w:val="32"/>
        </w:rPr>
        <w:t>采取顾问咨询费、专家服务费等方式，由用人单位研究确定</w:t>
      </w:r>
      <w:r>
        <w:rPr>
          <w:rFonts w:hint="eastAsia" w:eastAsia="方正仿宋_GBK" w:cs="方正仿宋_GBK"/>
          <w:sz w:val="32"/>
          <w:szCs w:val="32"/>
          <w:lang w:val="en-US" w:eastAsia="zh-CN"/>
        </w:rPr>
        <w:t>薪酬待遇</w:t>
      </w:r>
      <w:r>
        <w:rPr>
          <w:rFonts w:hint="eastAsia" w:eastAsia="方正仿宋_GBK" w:cs="方正仿宋_GBK"/>
          <w:sz w:val="32"/>
          <w:szCs w:val="32"/>
        </w:rPr>
        <w:t>。事业单位用于银龄科技专家引进、奖励、科研及报酬支付的相关费用不计入单位绩效工资总量。</w:t>
      </w:r>
    </w:p>
    <w:p w14:paraId="6B7EF965">
      <w:pPr>
        <w:adjustRightInd w:val="0"/>
        <w:snapToGrid w:val="0"/>
        <w:spacing w:after="0" w:line="560" w:lineRule="exact"/>
        <w:ind w:firstLine="640" w:firstLineChars="200"/>
        <w:rPr>
          <w:rFonts w:hint="eastAsia" w:eastAsia="方正仿宋_GBK" w:cs="方正仿宋_GBK"/>
          <w:sz w:val="32"/>
          <w:szCs w:val="32"/>
        </w:rPr>
      </w:pPr>
      <w:r>
        <w:rPr>
          <w:rFonts w:hint="eastAsia" w:eastAsia="方正仿宋_GBK" w:cs="方正仿宋_GBK"/>
          <w:sz w:val="32"/>
          <w:szCs w:val="32"/>
        </w:rPr>
        <w:t>（三）</w:t>
      </w:r>
      <w:r>
        <w:rPr>
          <w:rFonts w:hint="eastAsia" w:eastAsia="方正仿宋_GBK" w:cs="方正仿宋_GBK"/>
          <w:sz w:val="32"/>
          <w:szCs w:val="32"/>
          <w:lang w:val="en-US" w:eastAsia="zh-CN"/>
        </w:rPr>
        <w:t>鼓励</w:t>
      </w:r>
      <w:r>
        <w:rPr>
          <w:rFonts w:hint="eastAsia" w:eastAsia="方正仿宋_GBK" w:cs="方正仿宋_GBK"/>
          <w:sz w:val="32"/>
          <w:szCs w:val="32"/>
        </w:rPr>
        <w:t>银龄科技专家结合产业发展需求，联合用人单位策划</w:t>
      </w:r>
      <w:r>
        <w:rPr>
          <w:rFonts w:hint="eastAsia" w:eastAsia="方正仿宋_GBK" w:cs="方正仿宋_GBK"/>
          <w:sz w:val="32"/>
          <w:szCs w:val="32"/>
          <w:lang w:val="en-US" w:eastAsia="zh-CN"/>
        </w:rPr>
        <w:t>申报</w:t>
      </w:r>
      <w:r>
        <w:rPr>
          <w:rFonts w:hint="eastAsia" w:eastAsia="方正仿宋_GBK" w:cs="方正仿宋_GBK"/>
          <w:sz w:val="32"/>
          <w:szCs w:val="32"/>
        </w:rPr>
        <w:t>重大科技项目。</w:t>
      </w:r>
      <w:r>
        <w:rPr>
          <w:rFonts w:hint="eastAsia" w:eastAsia="方正仿宋_GBK" w:cs="方正仿宋_GBK"/>
          <w:sz w:val="32"/>
          <w:szCs w:val="32"/>
          <w:lang w:val="en-US" w:eastAsia="zh-CN"/>
        </w:rPr>
        <w:t>鼓励</w:t>
      </w:r>
      <w:r>
        <w:rPr>
          <w:rFonts w:hint="eastAsia" w:eastAsia="方正仿宋_GBK" w:cs="方正仿宋_GBK"/>
          <w:sz w:val="32"/>
          <w:szCs w:val="32"/>
        </w:rPr>
        <w:t>银龄科技专家带项目带技术，以关键核心技术联合攻关、</w:t>
      </w:r>
      <w:r>
        <w:rPr>
          <w:rFonts w:hint="eastAsia" w:eastAsia="方正仿宋_GBK" w:cs="方正仿宋_GBK"/>
          <w:sz w:val="32"/>
          <w:szCs w:val="32"/>
          <w:lang w:eastAsia="zh-CN"/>
        </w:rPr>
        <w:t>科技</w:t>
      </w:r>
      <w:r>
        <w:rPr>
          <w:rFonts w:hint="eastAsia" w:eastAsia="方正仿宋_GBK" w:cs="方正仿宋_GBK"/>
          <w:sz w:val="32"/>
          <w:szCs w:val="32"/>
        </w:rPr>
        <w:t>成果转化、技术入股等方式，与省内各单位开展合作。银龄科技专家在服务期间所取得的科研成果，按照《云南省促进科技成果转化条例》，享受现金和股权奖酬，足额兑现科技成果转化收益</w:t>
      </w:r>
      <w:r>
        <w:rPr>
          <w:rFonts w:hint="eastAsia" w:eastAsia="方正仿宋_GBK" w:cs="方正仿宋_GBK"/>
          <w:sz w:val="32"/>
          <w:szCs w:val="32"/>
          <w:lang w:eastAsia="zh-CN"/>
        </w:rPr>
        <w:t>。用人单位认真</w:t>
      </w:r>
      <w:r>
        <w:rPr>
          <w:rFonts w:hint="eastAsia" w:eastAsia="方正仿宋_GBK" w:cs="方正仿宋_GBK"/>
          <w:sz w:val="32"/>
          <w:szCs w:val="32"/>
        </w:rPr>
        <w:t>落实开展技术开发、技术咨询、技术服务等活动应享有的激励政策，涉及知识产权的，由银龄科技专家和用人单位依照国家有关规定协商办理。</w:t>
      </w:r>
    </w:p>
    <w:p w14:paraId="3F5CAD7E">
      <w:pPr>
        <w:adjustRightInd w:val="0"/>
        <w:snapToGrid w:val="0"/>
        <w:spacing w:after="0" w:line="560" w:lineRule="exact"/>
        <w:ind w:firstLine="640" w:firstLineChars="200"/>
        <w:rPr>
          <w:rFonts w:hint="eastAsia" w:eastAsia="方正仿宋_GBK" w:cs="方正仿宋_GBK"/>
          <w:sz w:val="32"/>
          <w:szCs w:val="32"/>
        </w:rPr>
      </w:pPr>
      <w:r>
        <w:rPr>
          <w:rFonts w:hint="eastAsia" w:eastAsia="方正仿宋_GBK" w:cs="方正仿宋_GBK"/>
          <w:sz w:val="32"/>
          <w:szCs w:val="32"/>
        </w:rPr>
        <w:t>（四）银龄科技专家在用人单位形成的科技成果符合国家或省级科技奖励申报要求的，可按规定程序申报。</w:t>
      </w:r>
      <w:r>
        <w:rPr>
          <w:rFonts w:hint="eastAsia" w:eastAsia="方正仿宋_GBK" w:cs="方正仿宋_GBK"/>
          <w:sz w:val="32"/>
          <w:szCs w:val="32"/>
          <w:lang w:eastAsia="zh-CN"/>
        </w:rPr>
        <w:t>各有关部门（单位）</w:t>
      </w:r>
      <w:r>
        <w:rPr>
          <w:rFonts w:hint="eastAsia" w:eastAsia="方正仿宋_GBK" w:cs="方正仿宋_GBK"/>
          <w:sz w:val="32"/>
          <w:szCs w:val="32"/>
        </w:rPr>
        <w:t>有针对性地推荐符合条件的银龄科技专家参加云南省科技副总及产业导师、专家人才产业服务团等工作。</w:t>
      </w:r>
      <w:r>
        <w:rPr>
          <w:rFonts w:hint="eastAsia" w:eastAsia="方正仿宋_GBK" w:cs="方正仿宋_GBK"/>
          <w:sz w:val="32"/>
          <w:szCs w:val="32"/>
          <w:lang w:val="en-US" w:eastAsia="zh-CN"/>
        </w:rPr>
        <w:t>鼓励</w:t>
      </w:r>
      <w:r>
        <w:rPr>
          <w:rFonts w:hint="eastAsia" w:eastAsia="方正仿宋_GBK" w:cs="方正仿宋_GBK"/>
          <w:sz w:val="32"/>
          <w:szCs w:val="32"/>
        </w:rPr>
        <w:t>银龄科技专家在云南设院士专家工作站。</w:t>
      </w:r>
    </w:p>
    <w:p w14:paraId="4F2EDB1F">
      <w:pPr>
        <w:adjustRightInd w:val="0"/>
        <w:snapToGrid w:val="0"/>
        <w:spacing w:after="0" w:line="560" w:lineRule="exact"/>
        <w:ind w:firstLine="640" w:firstLineChars="200"/>
        <w:rPr>
          <w:rFonts w:eastAsia="方正仿宋_GBK" w:cs="方正仿宋_GBK"/>
          <w:sz w:val="32"/>
          <w:szCs w:val="32"/>
        </w:rPr>
      </w:pPr>
      <w:r>
        <w:rPr>
          <w:rFonts w:hint="eastAsia" w:eastAsia="方正仿宋_GBK" w:cs="方正仿宋_GBK"/>
          <w:sz w:val="32"/>
          <w:szCs w:val="32"/>
        </w:rPr>
        <w:t>（</w:t>
      </w:r>
      <w:r>
        <w:rPr>
          <w:rFonts w:hint="eastAsia" w:eastAsia="方正仿宋_GBK" w:cs="方正仿宋_GBK"/>
          <w:sz w:val="32"/>
          <w:szCs w:val="32"/>
          <w:lang w:val="en-US" w:eastAsia="zh-CN"/>
        </w:rPr>
        <w:t>五</w:t>
      </w:r>
      <w:r>
        <w:rPr>
          <w:rFonts w:hint="eastAsia" w:eastAsia="方正仿宋_GBK" w:cs="方正仿宋_GBK"/>
          <w:sz w:val="32"/>
          <w:szCs w:val="32"/>
        </w:rPr>
        <w:t>）用人单位应为银龄科技专家创造良好的工作环境，提供必要的科研设备和办公条件，做好日常服务工作。银龄科技专家在工作期间，根据需要，用人单位就近安排住所，并配备能满足日常生活</w:t>
      </w:r>
      <w:r>
        <w:rPr>
          <w:rFonts w:hint="eastAsia" w:eastAsia="方正仿宋_GBK" w:cs="方正仿宋_GBK"/>
          <w:sz w:val="32"/>
          <w:szCs w:val="32"/>
          <w:lang w:eastAsia="zh-CN"/>
        </w:rPr>
        <w:t>的</w:t>
      </w:r>
      <w:r>
        <w:rPr>
          <w:rFonts w:hint="eastAsia" w:eastAsia="方正仿宋_GBK" w:cs="方正仿宋_GBK"/>
          <w:sz w:val="32"/>
          <w:szCs w:val="32"/>
        </w:rPr>
        <w:t>设施设备；符合条件的银龄科技专家可享受当地（单位）人才公寓。</w:t>
      </w:r>
    </w:p>
    <w:p w14:paraId="7E2D1EC8">
      <w:pPr>
        <w:adjustRightInd w:val="0"/>
        <w:snapToGrid w:val="0"/>
        <w:spacing w:after="0" w:line="560" w:lineRule="exact"/>
        <w:ind w:firstLine="640" w:firstLineChars="200"/>
        <w:rPr>
          <w:rFonts w:hint="default" w:ascii="Times New Roman" w:hAnsi="Times New Roman" w:eastAsia="方正仿宋_GBK" w:cs="Times New Roman"/>
          <w:i w:val="0"/>
          <w:iCs w:val="0"/>
          <w:caps w:val="0"/>
          <w:color w:val="333333"/>
          <w:spacing w:val="0"/>
          <w:sz w:val="32"/>
          <w:szCs w:val="32"/>
        </w:rPr>
      </w:pPr>
      <w:r>
        <w:rPr>
          <w:rFonts w:hint="eastAsia" w:eastAsia="方正仿宋_GBK" w:cs="方正仿宋_GBK"/>
          <w:sz w:val="32"/>
          <w:szCs w:val="32"/>
        </w:rPr>
        <w:t>（</w:t>
      </w:r>
      <w:r>
        <w:rPr>
          <w:rFonts w:hint="eastAsia" w:eastAsia="方正仿宋_GBK" w:cs="方正仿宋_GBK"/>
          <w:sz w:val="32"/>
          <w:szCs w:val="32"/>
          <w:lang w:val="en-US" w:eastAsia="zh-CN"/>
        </w:rPr>
        <w:t>六</w:t>
      </w:r>
      <w:r>
        <w:rPr>
          <w:rFonts w:hint="eastAsia" w:eastAsia="方正仿宋_GBK" w:cs="方正仿宋_GBK"/>
          <w:sz w:val="32"/>
          <w:szCs w:val="32"/>
        </w:rPr>
        <w:t>）用人单位应参照年休假、探亲假等规定为银龄科技专家安排相应假期；每年组织服务期在6个月以上的银龄科技专家免费开展1次常规体检。</w:t>
      </w:r>
      <w:r>
        <w:rPr>
          <w:rFonts w:hint="eastAsia" w:ascii="Times New Roman" w:hAnsi="Times New Roman" w:eastAsia="方正仿宋_GBK" w:cs="方正仿宋_GBK"/>
          <w:i w:val="0"/>
          <w:iCs w:val="0"/>
          <w:caps w:val="0"/>
          <w:color w:val="333333"/>
          <w:spacing w:val="0"/>
          <w:sz w:val="32"/>
          <w:szCs w:val="32"/>
        </w:rPr>
        <w:t>工作成效显著的，经认定后可纳入云南省高层次人才休假疗养对象，并适时开展座谈交流、走访慰问等，帮助解决工作生活中遇到的困难和问题。</w:t>
      </w:r>
    </w:p>
    <w:p w14:paraId="4E4C67DC">
      <w:pPr>
        <w:adjustRightInd w:val="0"/>
        <w:snapToGrid w:val="0"/>
        <w:spacing w:after="0" w:line="560" w:lineRule="exact"/>
        <w:ind w:firstLine="640" w:firstLineChars="200"/>
      </w:pPr>
      <w:r>
        <w:rPr>
          <w:rFonts w:hint="eastAsia" w:eastAsia="方正仿宋_GBK" w:cs="方正仿宋_GBK"/>
          <w:sz w:val="32"/>
          <w:szCs w:val="32"/>
        </w:rPr>
        <w:t>（</w:t>
      </w:r>
      <w:r>
        <w:rPr>
          <w:rFonts w:hint="eastAsia" w:eastAsia="方正仿宋_GBK" w:cs="方正仿宋_GBK"/>
          <w:sz w:val="32"/>
          <w:szCs w:val="32"/>
          <w:lang w:val="en-US" w:eastAsia="zh-CN"/>
        </w:rPr>
        <w:t>七</w:t>
      </w:r>
      <w:r>
        <w:rPr>
          <w:rFonts w:hint="eastAsia" w:eastAsia="方正仿宋_GBK" w:cs="方正仿宋_GBK"/>
          <w:sz w:val="32"/>
          <w:szCs w:val="32"/>
        </w:rPr>
        <w:t>）鼓励银龄科技专家参加“高层次人才云南行”等专家服务活动。组织银龄科技专家围绕省委、省政府重大决策部署，开展决策咨询、调研交流、项目合作。用人单位结合实际，积极依托银龄科技专家与其原所在单位建立互访、交流、合作机制，争取与省内外高质量高水平研究机构搭建合作平台、促成长效合作。</w:t>
      </w:r>
    </w:p>
    <w:p w14:paraId="642E026B">
      <w:pPr>
        <w:adjustRightInd w:val="0"/>
        <w:snapToGrid w:val="0"/>
        <w:spacing w:after="0" w:line="560" w:lineRule="exact"/>
        <w:ind w:firstLine="640" w:firstLineChars="200"/>
        <w:rPr>
          <w:rFonts w:eastAsia="方正黑体_GBK" w:cs="方正黑体_GBK"/>
          <w:sz w:val="32"/>
          <w:szCs w:val="32"/>
        </w:rPr>
      </w:pPr>
      <w:r>
        <w:rPr>
          <w:rFonts w:hint="eastAsia" w:eastAsia="方正黑体_GBK" w:cs="方正黑体_GBK"/>
          <w:sz w:val="32"/>
          <w:szCs w:val="32"/>
        </w:rPr>
        <w:t>四、组织保障</w:t>
      </w:r>
    </w:p>
    <w:p w14:paraId="287D3ABD">
      <w:pPr>
        <w:adjustRightInd w:val="0"/>
        <w:snapToGrid w:val="0"/>
        <w:spacing w:after="0" w:line="560" w:lineRule="exact"/>
        <w:ind w:firstLine="640" w:firstLineChars="200"/>
        <w:rPr>
          <w:rFonts w:hint="eastAsia" w:eastAsia="方正仿宋_GBK" w:cs="方正仿宋_GBK"/>
          <w:sz w:val="32"/>
          <w:szCs w:val="32"/>
          <w:lang w:eastAsia="zh-CN"/>
        </w:rPr>
      </w:pPr>
      <w:r>
        <w:rPr>
          <w:rFonts w:hint="eastAsia" w:ascii="方正楷体简体" w:hAnsi="方正楷体简体" w:eastAsia="方正楷体简体" w:cs="方正楷体简体"/>
          <w:sz w:val="32"/>
          <w:szCs w:val="32"/>
        </w:rPr>
        <w:t>（一）加强统筹协调。</w:t>
      </w:r>
      <w:r>
        <w:rPr>
          <w:rFonts w:hint="eastAsia" w:eastAsia="方正仿宋_GBK" w:cs="方正仿宋_GBK"/>
          <w:sz w:val="32"/>
          <w:szCs w:val="32"/>
        </w:rPr>
        <w:t>省科技厅发挥统筹协调作用，做好银龄科技专家计划补助资金预算编制、审核和效果评价，拨付工作补助经费</w:t>
      </w:r>
      <w:r>
        <w:rPr>
          <w:rFonts w:hint="eastAsia" w:eastAsia="方正仿宋_GBK" w:cs="方正仿宋_GBK"/>
          <w:sz w:val="32"/>
          <w:szCs w:val="32"/>
          <w:lang w:eastAsia="zh-CN"/>
        </w:rPr>
        <w:t>，</w:t>
      </w:r>
      <w:r>
        <w:rPr>
          <w:rFonts w:hint="eastAsia" w:eastAsia="方正仿宋_GBK" w:cs="方正仿宋_GBK"/>
          <w:sz w:val="32"/>
          <w:szCs w:val="32"/>
          <w:lang w:val="en-US" w:eastAsia="zh-CN"/>
        </w:rPr>
        <w:t>同时指导</w:t>
      </w:r>
      <w:r>
        <w:rPr>
          <w:rFonts w:hint="eastAsia" w:eastAsia="方正仿宋_GBK" w:cs="方正仿宋_GBK"/>
          <w:sz w:val="32"/>
          <w:szCs w:val="32"/>
          <w:highlight w:val="none"/>
          <w:lang w:eastAsia="zh-CN"/>
        </w:rPr>
        <w:t>用人单位落实待遇保障措施</w:t>
      </w:r>
      <w:r>
        <w:rPr>
          <w:rFonts w:hint="eastAsia" w:eastAsia="方正仿宋_GBK" w:cs="方正仿宋_GBK"/>
          <w:sz w:val="32"/>
          <w:szCs w:val="32"/>
          <w:lang w:eastAsia="zh-CN"/>
        </w:rPr>
        <w:t>，</w:t>
      </w:r>
      <w:r>
        <w:rPr>
          <w:rFonts w:hint="eastAsia" w:eastAsia="方正仿宋_GBK" w:cs="方正仿宋_GBK"/>
          <w:sz w:val="32"/>
          <w:szCs w:val="32"/>
          <w:lang w:val="en-US" w:eastAsia="zh-CN"/>
        </w:rPr>
        <w:t>充分发挥银龄科技专家作用</w:t>
      </w:r>
      <w:r>
        <w:rPr>
          <w:rFonts w:hint="eastAsia" w:eastAsia="方正仿宋_GBK" w:cs="方正仿宋_GBK"/>
          <w:sz w:val="32"/>
          <w:szCs w:val="32"/>
          <w:highlight w:val="none"/>
          <w:lang w:eastAsia="zh-CN"/>
        </w:rPr>
        <w:t>。</w:t>
      </w:r>
      <w:r>
        <w:rPr>
          <w:rFonts w:hint="eastAsia" w:eastAsia="方正仿宋_GBK" w:cs="方正仿宋_GBK"/>
          <w:sz w:val="32"/>
          <w:szCs w:val="32"/>
        </w:rPr>
        <w:t>主动对接省级财政、人力资源社会保障、</w:t>
      </w:r>
      <w:r>
        <w:rPr>
          <w:rFonts w:hint="eastAsia" w:eastAsia="方正仿宋_GBK" w:cs="方正仿宋_GBK"/>
          <w:sz w:val="32"/>
          <w:szCs w:val="32"/>
          <w:lang w:eastAsia="zh-CN"/>
        </w:rPr>
        <w:t>卫生健康</w:t>
      </w:r>
      <w:r>
        <w:rPr>
          <w:rFonts w:hint="eastAsia" w:eastAsia="方正仿宋_GBK" w:cs="方正仿宋_GBK"/>
          <w:sz w:val="32"/>
          <w:szCs w:val="32"/>
        </w:rPr>
        <w:t>、医保等部门，加强协作配合，形成合力，提供政策支持和保障。</w:t>
      </w:r>
    </w:p>
    <w:p w14:paraId="0DB31E1D">
      <w:pPr>
        <w:numPr>
          <w:ilvl w:val="0"/>
          <w:numId w:val="1"/>
        </w:numPr>
        <w:adjustRightInd w:val="0"/>
        <w:snapToGrid w:val="0"/>
        <w:spacing w:after="0" w:line="560" w:lineRule="exact"/>
        <w:ind w:firstLine="640" w:firstLineChars="200"/>
        <w:rPr>
          <w:rFonts w:hint="eastAsia" w:eastAsia="方正仿宋_GBK" w:cs="方正仿宋_GBK"/>
          <w:sz w:val="32"/>
          <w:szCs w:val="32"/>
          <w:lang w:eastAsia="zh-CN"/>
        </w:rPr>
      </w:pPr>
      <w:r>
        <w:rPr>
          <w:rFonts w:hint="eastAsia" w:ascii="方正楷体简体" w:hAnsi="方正楷体简体" w:eastAsia="方正楷体简体" w:cs="方正楷体简体"/>
          <w:sz w:val="32"/>
          <w:szCs w:val="32"/>
        </w:rPr>
        <w:t>加强机制建设。</w:t>
      </w:r>
      <w:r>
        <w:rPr>
          <w:rFonts w:hint="eastAsia" w:eastAsia="方正仿宋_GBK" w:cs="方正仿宋_GBK"/>
          <w:sz w:val="32"/>
          <w:szCs w:val="32"/>
        </w:rPr>
        <w:t>省科技厅建立健全银龄科技专家遴选、使用、保障</w:t>
      </w:r>
      <w:r>
        <w:rPr>
          <w:rFonts w:hint="eastAsia" w:eastAsia="方正仿宋_GBK" w:cs="方正仿宋_GBK"/>
          <w:sz w:val="32"/>
          <w:szCs w:val="32"/>
          <w:lang w:eastAsia="zh-CN"/>
        </w:rPr>
        <w:t>、</w:t>
      </w:r>
      <w:r>
        <w:rPr>
          <w:rFonts w:hint="eastAsia" w:eastAsia="方正仿宋_GBK" w:cs="方正仿宋_GBK"/>
          <w:sz w:val="32"/>
          <w:szCs w:val="32"/>
          <w:lang w:val="en-US" w:eastAsia="zh-CN"/>
        </w:rPr>
        <w:t>激励</w:t>
      </w:r>
      <w:r>
        <w:rPr>
          <w:rFonts w:hint="eastAsia" w:eastAsia="方正仿宋_GBK" w:cs="方正仿宋_GBK"/>
          <w:sz w:val="32"/>
          <w:szCs w:val="32"/>
        </w:rPr>
        <w:t>等工作机制</w:t>
      </w:r>
      <w:r>
        <w:rPr>
          <w:rFonts w:hint="eastAsia" w:eastAsia="方正仿宋_GBK" w:cs="方正仿宋_GBK"/>
          <w:sz w:val="32"/>
          <w:szCs w:val="32"/>
          <w:lang w:eastAsia="zh-CN"/>
        </w:rPr>
        <w:t>，</w:t>
      </w:r>
      <w:r>
        <w:rPr>
          <w:rFonts w:hint="eastAsia" w:eastAsia="方正仿宋_GBK" w:cs="方正仿宋_GBK"/>
          <w:sz w:val="32"/>
          <w:szCs w:val="32"/>
          <w:lang w:val="en-US" w:eastAsia="zh-CN"/>
        </w:rPr>
        <w:t>不断完善</w:t>
      </w:r>
      <w:r>
        <w:rPr>
          <w:rFonts w:hint="eastAsia" w:eastAsia="方正仿宋_GBK" w:cs="方正仿宋_GBK"/>
          <w:sz w:val="32"/>
          <w:szCs w:val="32"/>
        </w:rPr>
        <w:t>科学的考核评价体系</w:t>
      </w:r>
      <w:r>
        <w:rPr>
          <w:rFonts w:hint="eastAsia" w:eastAsia="方正仿宋_GBK" w:cs="方正仿宋_GBK"/>
          <w:sz w:val="32"/>
          <w:szCs w:val="32"/>
          <w:lang w:eastAsia="zh-CN"/>
        </w:rPr>
        <w:t>，</w:t>
      </w:r>
      <w:r>
        <w:rPr>
          <w:rFonts w:hint="eastAsia" w:eastAsia="方正仿宋_GBK" w:cs="方正仿宋_GBK"/>
          <w:sz w:val="32"/>
          <w:szCs w:val="32"/>
          <w:lang w:val="en-US" w:eastAsia="zh-CN"/>
        </w:rPr>
        <w:t>激发银龄科技专家工作积极性。用人单位持续优化服务保障措施，为银龄科技专家提供</w:t>
      </w:r>
      <w:r>
        <w:rPr>
          <w:rFonts w:hint="eastAsia" w:ascii="Times New Roman" w:hAnsi="Times New Roman" w:eastAsia="方正仿宋_GBK" w:cs="方正仿宋_GBK"/>
          <w:i w:val="0"/>
          <w:iCs w:val="0"/>
          <w:caps w:val="0"/>
          <w:color w:val="auto"/>
          <w:spacing w:val="0"/>
          <w:sz w:val="32"/>
          <w:szCs w:val="32"/>
          <w:shd w:val="clear" w:fill="auto"/>
        </w:rPr>
        <w:t>良好的工作环境</w:t>
      </w:r>
      <w:r>
        <w:rPr>
          <w:rFonts w:hint="eastAsia" w:eastAsia="方正仿宋_GBK" w:cs="方正仿宋_GBK"/>
          <w:i w:val="0"/>
          <w:iCs w:val="0"/>
          <w:caps w:val="0"/>
          <w:spacing w:val="0"/>
          <w:sz w:val="32"/>
          <w:szCs w:val="32"/>
          <w:shd w:val="clear"/>
          <w:lang w:val="en-US" w:eastAsia="zh-CN"/>
        </w:rPr>
        <w:t>和生活条件</w:t>
      </w:r>
      <w:r>
        <w:rPr>
          <w:rFonts w:hint="eastAsia" w:eastAsia="方正仿宋_GBK" w:cs="方正仿宋_GBK"/>
          <w:sz w:val="32"/>
          <w:szCs w:val="32"/>
          <w:lang w:val="en-US" w:eastAsia="zh-CN"/>
        </w:rPr>
        <w:t>。</w:t>
      </w:r>
    </w:p>
    <w:p w14:paraId="384184D1">
      <w:pPr>
        <w:adjustRightInd w:val="0"/>
        <w:snapToGrid w:val="0"/>
        <w:spacing w:after="0" w:line="560" w:lineRule="exact"/>
        <w:ind w:firstLine="640" w:firstLineChars="200"/>
        <w:rPr>
          <w:rFonts w:eastAsia="方正仿宋_GBK" w:cs="方正仿宋_GBK"/>
          <w:sz w:val="32"/>
          <w:szCs w:val="32"/>
        </w:rPr>
      </w:pPr>
      <w:r>
        <w:rPr>
          <w:rFonts w:hint="eastAsia" w:ascii="方正楷体简体" w:hAnsi="方正楷体简体" w:eastAsia="方正楷体简体" w:cs="方正楷体简体"/>
          <w:sz w:val="32"/>
          <w:szCs w:val="32"/>
        </w:rPr>
        <w:t>（三）加强宣传引导。</w:t>
      </w:r>
      <w:r>
        <w:rPr>
          <w:rFonts w:hint="eastAsia" w:ascii="Times New Roman" w:hAnsi="Times New Roman" w:eastAsia="方正仿宋_GBK" w:cs="方正仿宋_GBK"/>
          <w:sz w:val="32"/>
          <w:szCs w:val="32"/>
        </w:rPr>
        <w:t>各相关</w:t>
      </w:r>
      <w:r>
        <w:rPr>
          <w:rFonts w:hint="eastAsia" w:eastAsia="方正仿宋_GBK" w:cs="方正仿宋_GBK"/>
          <w:sz w:val="32"/>
          <w:szCs w:val="32"/>
          <w:lang w:eastAsia="zh-CN"/>
        </w:rPr>
        <w:t>部门（</w:t>
      </w:r>
      <w:r>
        <w:rPr>
          <w:rFonts w:hint="eastAsia" w:ascii="Times New Roman" w:hAnsi="Times New Roman" w:eastAsia="方正仿宋_GBK" w:cs="方正仿宋_GBK"/>
          <w:sz w:val="32"/>
          <w:szCs w:val="32"/>
        </w:rPr>
        <w:t>单位</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要扎实做好宣传工作</w:t>
      </w:r>
      <w:r>
        <w:rPr>
          <w:rFonts w:hint="eastAsia" w:ascii="Times New Roman" w:hAnsi="Times New Roman" w:eastAsia="方正仿宋_GBK" w:cs="方正仿宋_GBK"/>
          <w:sz w:val="32"/>
          <w:szCs w:val="32"/>
          <w:lang w:eastAsia="zh-CN"/>
        </w:rPr>
        <w:t>，</w:t>
      </w:r>
      <w:r>
        <w:rPr>
          <w:rFonts w:hint="eastAsia" w:eastAsia="方正仿宋_GBK" w:cs="方正仿宋_GBK"/>
          <w:sz w:val="32"/>
          <w:szCs w:val="32"/>
        </w:rPr>
        <w:t>深入挖掘、宣传银龄科技专家先进典型和感人事迹，及时总结银龄科技专家的工作经验，</w:t>
      </w:r>
      <w:r>
        <w:rPr>
          <w:rFonts w:hint="eastAsia" w:eastAsia="方正仿宋_GBK" w:cs="方正仿宋_GBK"/>
          <w:sz w:val="32"/>
          <w:szCs w:val="32"/>
          <w:lang w:val="en-US" w:eastAsia="zh-CN"/>
        </w:rPr>
        <w:t>通过报刊杂志、广播电视、互联网等媒体</w:t>
      </w:r>
      <w:r>
        <w:rPr>
          <w:rFonts w:hint="eastAsia" w:eastAsia="方正仿宋_GBK" w:cs="方正仿宋_GBK"/>
          <w:sz w:val="32"/>
          <w:szCs w:val="32"/>
        </w:rPr>
        <w:t>大力弘扬银龄科技专家奉献精神，营造全社会关心关爱银龄科技专家的浓厚氛围。</w:t>
      </w:r>
    </w:p>
    <w:sectPr>
      <w:footerReference r:id="rId5" w:type="default"/>
      <w:pgSz w:w="11906" w:h="16838"/>
      <w:pgMar w:top="2098" w:right="1587"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1" w:fontKey="{4FAA07FA-2E63-47B0-BEC6-16F6B725AD5E}"/>
  </w:font>
  <w:font w:name="方正小标宋_GBK">
    <w:panose1 w:val="03000509000000000000"/>
    <w:charset w:val="86"/>
    <w:family w:val="script"/>
    <w:pitch w:val="default"/>
    <w:sig w:usb0="00000001" w:usb1="080E0000" w:usb2="00000000" w:usb3="00000000" w:csb0="00040000" w:csb1="00000000"/>
    <w:embedRegular r:id="rId2" w:fontKey="{FB1E9B1C-0F1F-4CB5-868E-0F69491CA0EE}"/>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597AC08B-0796-4364-B1A6-7B2D1B6FFEBC}"/>
  </w:font>
  <w:font w:name="方正楷体_GBK">
    <w:panose1 w:val="03000509000000000000"/>
    <w:charset w:val="86"/>
    <w:family w:val="script"/>
    <w:pitch w:val="default"/>
    <w:sig w:usb0="00000001" w:usb1="080E0000" w:usb2="00000000" w:usb3="00000000" w:csb0="00040000" w:csb1="00000000"/>
    <w:embedRegular r:id="rId4" w:fontKey="{FC4B23E9-6064-4C1B-AC29-BB8B4AF89E6B}"/>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FD82">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7E1930">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97E1930">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52A00B35">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8D135"/>
    <w:multiLevelType w:val="singleLevel"/>
    <w:tmpl w:val="3B58D1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YjUwOTIwNDRkZmVmYTM1NzcwMjY3OTUyY2JhZGEifQ=="/>
  </w:docVars>
  <w:rsids>
    <w:rsidRoot w:val="00E95A71"/>
    <w:rsid w:val="00002147"/>
    <w:rsid w:val="00003692"/>
    <w:rsid w:val="00003C92"/>
    <w:rsid w:val="00016399"/>
    <w:rsid w:val="00036700"/>
    <w:rsid w:val="00044704"/>
    <w:rsid w:val="00053EFF"/>
    <w:rsid w:val="00061DF7"/>
    <w:rsid w:val="000754C8"/>
    <w:rsid w:val="00080507"/>
    <w:rsid w:val="00085C09"/>
    <w:rsid w:val="00090802"/>
    <w:rsid w:val="00091E09"/>
    <w:rsid w:val="00094891"/>
    <w:rsid w:val="00094BD3"/>
    <w:rsid w:val="0009697D"/>
    <w:rsid w:val="000974F7"/>
    <w:rsid w:val="00097628"/>
    <w:rsid w:val="000A4A1C"/>
    <w:rsid w:val="000A70B1"/>
    <w:rsid w:val="000C27AF"/>
    <w:rsid w:val="000C6B12"/>
    <w:rsid w:val="000D10E8"/>
    <w:rsid w:val="000D539C"/>
    <w:rsid w:val="000D6D1E"/>
    <w:rsid w:val="000E44CD"/>
    <w:rsid w:val="000F1DEE"/>
    <w:rsid w:val="00101E1D"/>
    <w:rsid w:val="00103FAE"/>
    <w:rsid w:val="00107E73"/>
    <w:rsid w:val="001314B5"/>
    <w:rsid w:val="00137027"/>
    <w:rsid w:val="001415F4"/>
    <w:rsid w:val="00141AB8"/>
    <w:rsid w:val="00143E29"/>
    <w:rsid w:val="00160ACD"/>
    <w:rsid w:val="00165158"/>
    <w:rsid w:val="00171786"/>
    <w:rsid w:val="0017277D"/>
    <w:rsid w:val="00181325"/>
    <w:rsid w:val="00185306"/>
    <w:rsid w:val="001860CC"/>
    <w:rsid w:val="001910FB"/>
    <w:rsid w:val="001A3665"/>
    <w:rsid w:val="001B11B5"/>
    <w:rsid w:val="001C352C"/>
    <w:rsid w:val="001C6816"/>
    <w:rsid w:val="001C7A36"/>
    <w:rsid w:val="001D13B1"/>
    <w:rsid w:val="001D3F7D"/>
    <w:rsid w:val="00201998"/>
    <w:rsid w:val="00201E73"/>
    <w:rsid w:val="00202104"/>
    <w:rsid w:val="002038BF"/>
    <w:rsid w:val="00211E8A"/>
    <w:rsid w:val="002151CF"/>
    <w:rsid w:val="00220260"/>
    <w:rsid w:val="0022587E"/>
    <w:rsid w:val="00227E5A"/>
    <w:rsid w:val="00231A1B"/>
    <w:rsid w:val="00245065"/>
    <w:rsid w:val="002477BB"/>
    <w:rsid w:val="002516CF"/>
    <w:rsid w:val="00260567"/>
    <w:rsid w:val="00272A8A"/>
    <w:rsid w:val="00272B29"/>
    <w:rsid w:val="00275551"/>
    <w:rsid w:val="002755B1"/>
    <w:rsid w:val="00275764"/>
    <w:rsid w:val="00277E6E"/>
    <w:rsid w:val="00282E3B"/>
    <w:rsid w:val="00290282"/>
    <w:rsid w:val="00290D5C"/>
    <w:rsid w:val="002936A3"/>
    <w:rsid w:val="00295C3F"/>
    <w:rsid w:val="002A49EC"/>
    <w:rsid w:val="002B0BD8"/>
    <w:rsid w:val="002B5768"/>
    <w:rsid w:val="002B609C"/>
    <w:rsid w:val="002D36B8"/>
    <w:rsid w:val="002E0611"/>
    <w:rsid w:val="002E15D9"/>
    <w:rsid w:val="002E23EC"/>
    <w:rsid w:val="002F319B"/>
    <w:rsid w:val="00306AE6"/>
    <w:rsid w:val="00310FC1"/>
    <w:rsid w:val="00311DEB"/>
    <w:rsid w:val="00314924"/>
    <w:rsid w:val="00315AB2"/>
    <w:rsid w:val="0031776D"/>
    <w:rsid w:val="00317870"/>
    <w:rsid w:val="00317BF1"/>
    <w:rsid w:val="00320087"/>
    <w:rsid w:val="00332041"/>
    <w:rsid w:val="003350F8"/>
    <w:rsid w:val="0034404E"/>
    <w:rsid w:val="00346598"/>
    <w:rsid w:val="003550FF"/>
    <w:rsid w:val="00355360"/>
    <w:rsid w:val="00363E9B"/>
    <w:rsid w:val="003673E9"/>
    <w:rsid w:val="003700BF"/>
    <w:rsid w:val="00375BF4"/>
    <w:rsid w:val="00383A19"/>
    <w:rsid w:val="0039015A"/>
    <w:rsid w:val="0039339C"/>
    <w:rsid w:val="003975FF"/>
    <w:rsid w:val="00397656"/>
    <w:rsid w:val="003A32CA"/>
    <w:rsid w:val="003A32E9"/>
    <w:rsid w:val="003A66A7"/>
    <w:rsid w:val="003B3BB9"/>
    <w:rsid w:val="003B4A6B"/>
    <w:rsid w:val="003C0471"/>
    <w:rsid w:val="003C4012"/>
    <w:rsid w:val="003C6B90"/>
    <w:rsid w:val="003C7334"/>
    <w:rsid w:val="003C762C"/>
    <w:rsid w:val="003D488C"/>
    <w:rsid w:val="003D76AC"/>
    <w:rsid w:val="003F1044"/>
    <w:rsid w:val="003F75FB"/>
    <w:rsid w:val="00405949"/>
    <w:rsid w:val="00405BF7"/>
    <w:rsid w:val="004175F2"/>
    <w:rsid w:val="0042336B"/>
    <w:rsid w:val="00423C42"/>
    <w:rsid w:val="00424265"/>
    <w:rsid w:val="00436D33"/>
    <w:rsid w:val="004402F2"/>
    <w:rsid w:val="00440E8E"/>
    <w:rsid w:val="00441B60"/>
    <w:rsid w:val="00444F75"/>
    <w:rsid w:val="0044530D"/>
    <w:rsid w:val="004520C7"/>
    <w:rsid w:val="00472CBF"/>
    <w:rsid w:val="00474C64"/>
    <w:rsid w:val="00490C64"/>
    <w:rsid w:val="00492027"/>
    <w:rsid w:val="00492116"/>
    <w:rsid w:val="004A0898"/>
    <w:rsid w:val="004A09B0"/>
    <w:rsid w:val="004A41EB"/>
    <w:rsid w:val="004B4E8E"/>
    <w:rsid w:val="004B6235"/>
    <w:rsid w:val="004B675E"/>
    <w:rsid w:val="004C1504"/>
    <w:rsid w:val="004C5F4C"/>
    <w:rsid w:val="004C7E95"/>
    <w:rsid w:val="004D1B3F"/>
    <w:rsid w:val="004D2244"/>
    <w:rsid w:val="004D2AB3"/>
    <w:rsid w:val="004E0B6B"/>
    <w:rsid w:val="004E2E0A"/>
    <w:rsid w:val="004E3F97"/>
    <w:rsid w:val="004E504A"/>
    <w:rsid w:val="004E6E35"/>
    <w:rsid w:val="004F0656"/>
    <w:rsid w:val="004F11F3"/>
    <w:rsid w:val="00513D21"/>
    <w:rsid w:val="005225B8"/>
    <w:rsid w:val="0052436E"/>
    <w:rsid w:val="00532F9D"/>
    <w:rsid w:val="00550DE5"/>
    <w:rsid w:val="00552B1F"/>
    <w:rsid w:val="00563F50"/>
    <w:rsid w:val="005653AB"/>
    <w:rsid w:val="005659AE"/>
    <w:rsid w:val="00572B60"/>
    <w:rsid w:val="005756FF"/>
    <w:rsid w:val="00575723"/>
    <w:rsid w:val="00577CA5"/>
    <w:rsid w:val="0058739B"/>
    <w:rsid w:val="005A433F"/>
    <w:rsid w:val="005D7152"/>
    <w:rsid w:val="005E050E"/>
    <w:rsid w:val="005E15DB"/>
    <w:rsid w:val="005E4675"/>
    <w:rsid w:val="005E596F"/>
    <w:rsid w:val="005E6A57"/>
    <w:rsid w:val="005F08B6"/>
    <w:rsid w:val="005F34F3"/>
    <w:rsid w:val="005F5EE6"/>
    <w:rsid w:val="00602BC1"/>
    <w:rsid w:val="00603BD0"/>
    <w:rsid w:val="00607634"/>
    <w:rsid w:val="0061347D"/>
    <w:rsid w:val="006135FF"/>
    <w:rsid w:val="006213D6"/>
    <w:rsid w:val="0062269F"/>
    <w:rsid w:val="00624395"/>
    <w:rsid w:val="0062513A"/>
    <w:rsid w:val="00627F2B"/>
    <w:rsid w:val="00631F14"/>
    <w:rsid w:val="00636E81"/>
    <w:rsid w:val="0063742E"/>
    <w:rsid w:val="00644E67"/>
    <w:rsid w:val="006503E7"/>
    <w:rsid w:val="00656541"/>
    <w:rsid w:val="00664AF2"/>
    <w:rsid w:val="00676A54"/>
    <w:rsid w:val="00676E0D"/>
    <w:rsid w:val="00682DEA"/>
    <w:rsid w:val="0069008B"/>
    <w:rsid w:val="006961E0"/>
    <w:rsid w:val="00696A0E"/>
    <w:rsid w:val="006973AA"/>
    <w:rsid w:val="00697FD7"/>
    <w:rsid w:val="006C0B98"/>
    <w:rsid w:val="006C399A"/>
    <w:rsid w:val="006C4358"/>
    <w:rsid w:val="006D0CA6"/>
    <w:rsid w:val="006D3908"/>
    <w:rsid w:val="006D44E8"/>
    <w:rsid w:val="006D55DA"/>
    <w:rsid w:val="006D7641"/>
    <w:rsid w:val="006E01CE"/>
    <w:rsid w:val="006E406D"/>
    <w:rsid w:val="006F4773"/>
    <w:rsid w:val="006F585A"/>
    <w:rsid w:val="006F6D9E"/>
    <w:rsid w:val="007042A0"/>
    <w:rsid w:val="00717E2D"/>
    <w:rsid w:val="0072074B"/>
    <w:rsid w:val="00720970"/>
    <w:rsid w:val="00721201"/>
    <w:rsid w:val="0072464D"/>
    <w:rsid w:val="00734AAE"/>
    <w:rsid w:val="00737D39"/>
    <w:rsid w:val="00742197"/>
    <w:rsid w:val="00745EDC"/>
    <w:rsid w:val="007462DD"/>
    <w:rsid w:val="00746338"/>
    <w:rsid w:val="0075733D"/>
    <w:rsid w:val="00762FEE"/>
    <w:rsid w:val="007632CC"/>
    <w:rsid w:val="00763D4D"/>
    <w:rsid w:val="00765B54"/>
    <w:rsid w:val="00767B43"/>
    <w:rsid w:val="0077259F"/>
    <w:rsid w:val="00783767"/>
    <w:rsid w:val="00783E34"/>
    <w:rsid w:val="0078615A"/>
    <w:rsid w:val="007864DB"/>
    <w:rsid w:val="007A4D5C"/>
    <w:rsid w:val="007A6D8E"/>
    <w:rsid w:val="007A7610"/>
    <w:rsid w:val="007B2B96"/>
    <w:rsid w:val="007B7D1A"/>
    <w:rsid w:val="007C325C"/>
    <w:rsid w:val="007D02A7"/>
    <w:rsid w:val="007D2A26"/>
    <w:rsid w:val="007D7CFC"/>
    <w:rsid w:val="007E538A"/>
    <w:rsid w:val="007F03A0"/>
    <w:rsid w:val="008021CD"/>
    <w:rsid w:val="00804DE3"/>
    <w:rsid w:val="00807E24"/>
    <w:rsid w:val="008154BA"/>
    <w:rsid w:val="00825189"/>
    <w:rsid w:val="00834FB1"/>
    <w:rsid w:val="00836AC1"/>
    <w:rsid w:val="008437BF"/>
    <w:rsid w:val="00851FAC"/>
    <w:rsid w:val="00864810"/>
    <w:rsid w:val="00867616"/>
    <w:rsid w:val="00882780"/>
    <w:rsid w:val="00885F2D"/>
    <w:rsid w:val="008905A8"/>
    <w:rsid w:val="00890C8F"/>
    <w:rsid w:val="008A098F"/>
    <w:rsid w:val="008A743D"/>
    <w:rsid w:val="008B4EF4"/>
    <w:rsid w:val="008C00CA"/>
    <w:rsid w:val="008C14F1"/>
    <w:rsid w:val="008D1FE5"/>
    <w:rsid w:val="008D5B85"/>
    <w:rsid w:val="008E3D64"/>
    <w:rsid w:val="008E6D60"/>
    <w:rsid w:val="008E7580"/>
    <w:rsid w:val="008F59F9"/>
    <w:rsid w:val="00901100"/>
    <w:rsid w:val="00902546"/>
    <w:rsid w:val="009025F9"/>
    <w:rsid w:val="009058BC"/>
    <w:rsid w:val="00907D1A"/>
    <w:rsid w:val="00912D6D"/>
    <w:rsid w:val="0092055D"/>
    <w:rsid w:val="00921900"/>
    <w:rsid w:val="00922791"/>
    <w:rsid w:val="00925055"/>
    <w:rsid w:val="00925DE7"/>
    <w:rsid w:val="00930F40"/>
    <w:rsid w:val="00931524"/>
    <w:rsid w:val="009412A8"/>
    <w:rsid w:val="00952B5A"/>
    <w:rsid w:val="009558D0"/>
    <w:rsid w:val="00957F2A"/>
    <w:rsid w:val="00960723"/>
    <w:rsid w:val="00962C2A"/>
    <w:rsid w:val="009641C1"/>
    <w:rsid w:val="00964478"/>
    <w:rsid w:val="00970E28"/>
    <w:rsid w:val="0097324A"/>
    <w:rsid w:val="00974370"/>
    <w:rsid w:val="009745A1"/>
    <w:rsid w:val="00974D55"/>
    <w:rsid w:val="00976D00"/>
    <w:rsid w:val="009776CE"/>
    <w:rsid w:val="00983403"/>
    <w:rsid w:val="00983662"/>
    <w:rsid w:val="009A70F3"/>
    <w:rsid w:val="009B5793"/>
    <w:rsid w:val="009B7E8D"/>
    <w:rsid w:val="009C0ABF"/>
    <w:rsid w:val="009C2096"/>
    <w:rsid w:val="009C3BC8"/>
    <w:rsid w:val="009C6152"/>
    <w:rsid w:val="009D1E07"/>
    <w:rsid w:val="009D40AF"/>
    <w:rsid w:val="009D4A08"/>
    <w:rsid w:val="009D796B"/>
    <w:rsid w:val="009E277E"/>
    <w:rsid w:val="009F5F24"/>
    <w:rsid w:val="009F7971"/>
    <w:rsid w:val="00A02265"/>
    <w:rsid w:val="00A11792"/>
    <w:rsid w:val="00A152CD"/>
    <w:rsid w:val="00A174D2"/>
    <w:rsid w:val="00A23719"/>
    <w:rsid w:val="00A27E5B"/>
    <w:rsid w:val="00A4243A"/>
    <w:rsid w:val="00A45284"/>
    <w:rsid w:val="00A457D5"/>
    <w:rsid w:val="00A50695"/>
    <w:rsid w:val="00A5660A"/>
    <w:rsid w:val="00A649E0"/>
    <w:rsid w:val="00A664C2"/>
    <w:rsid w:val="00A722A5"/>
    <w:rsid w:val="00A7293D"/>
    <w:rsid w:val="00A74E53"/>
    <w:rsid w:val="00A87462"/>
    <w:rsid w:val="00A90BD1"/>
    <w:rsid w:val="00AA0057"/>
    <w:rsid w:val="00AA1797"/>
    <w:rsid w:val="00AA32B9"/>
    <w:rsid w:val="00AB0B11"/>
    <w:rsid w:val="00AB41F0"/>
    <w:rsid w:val="00AB56ED"/>
    <w:rsid w:val="00AB667D"/>
    <w:rsid w:val="00AC1D94"/>
    <w:rsid w:val="00AC572A"/>
    <w:rsid w:val="00AC6742"/>
    <w:rsid w:val="00AE3636"/>
    <w:rsid w:val="00AF3B92"/>
    <w:rsid w:val="00AF3ED5"/>
    <w:rsid w:val="00AF413D"/>
    <w:rsid w:val="00AF44F8"/>
    <w:rsid w:val="00AF49BE"/>
    <w:rsid w:val="00B111F7"/>
    <w:rsid w:val="00B130A4"/>
    <w:rsid w:val="00B247FD"/>
    <w:rsid w:val="00B30776"/>
    <w:rsid w:val="00B30FEF"/>
    <w:rsid w:val="00B3603F"/>
    <w:rsid w:val="00B36F92"/>
    <w:rsid w:val="00B4089C"/>
    <w:rsid w:val="00B41166"/>
    <w:rsid w:val="00B4168B"/>
    <w:rsid w:val="00B42D98"/>
    <w:rsid w:val="00B460E8"/>
    <w:rsid w:val="00B52480"/>
    <w:rsid w:val="00B61958"/>
    <w:rsid w:val="00B638DA"/>
    <w:rsid w:val="00B63A97"/>
    <w:rsid w:val="00B6556B"/>
    <w:rsid w:val="00B67A28"/>
    <w:rsid w:val="00B761FB"/>
    <w:rsid w:val="00B8104E"/>
    <w:rsid w:val="00B842E4"/>
    <w:rsid w:val="00BA0B4B"/>
    <w:rsid w:val="00BA3D23"/>
    <w:rsid w:val="00BA7BD8"/>
    <w:rsid w:val="00BB1566"/>
    <w:rsid w:val="00BB27BE"/>
    <w:rsid w:val="00BB2C7B"/>
    <w:rsid w:val="00BB640C"/>
    <w:rsid w:val="00BC4B33"/>
    <w:rsid w:val="00BC56A1"/>
    <w:rsid w:val="00BC5B68"/>
    <w:rsid w:val="00BC697D"/>
    <w:rsid w:val="00BC709A"/>
    <w:rsid w:val="00BC7E3B"/>
    <w:rsid w:val="00BE0E37"/>
    <w:rsid w:val="00BE11F5"/>
    <w:rsid w:val="00BF371A"/>
    <w:rsid w:val="00BF4D15"/>
    <w:rsid w:val="00BF6632"/>
    <w:rsid w:val="00BF7154"/>
    <w:rsid w:val="00C0508D"/>
    <w:rsid w:val="00C0793C"/>
    <w:rsid w:val="00C2194E"/>
    <w:rsid w:val="00C222BC"/>
    <w:rsid w:val="00C307BA"/>
    <w:rsid w:val="00C3233C"/>
    <w:rsid w:val="00C40DD7"/>
    <w:rsid w:val="00C503F5"/>
    <w:rsid w:val="00C519A6"/>
    <w:rsid w:val="00C62484"/>
    <w:rsid w:val="00C624BE"/>
    <w:rsid w:val="00C72904"/>
    <w:rsid w:val="00C74B63"/>
    <w:rsid w:val="00C76699"/>
    <w:rsid w:val="00C77464"/>
    <w:rsid w:val="00C80D21"/>
    <w:rsid w:val="00C82E83"/>
    <w:rsid w:val="00C87155"/>
    <w:rsid w:val="00C9340C"/>
    <w:rsid w:val="00C937BF"/>
    <w:rsid w:val="00C9589F"/>
    <w:rsid w:val="00CA5C9E"/>
    <w:rsid w:val="00CA6B57"/>
    <w:rsid w:val="00CB220A"/>
    <w:rsid w:val="00CC2A5F"/>
    <w:rsid w:val="00CC306E"/>
    <w:rsid w:val="00CC6C7F"/>
    <w:rsid w:val="00CD5313"/>
    <w:rsid w:val="00CF3000"/>
    <w:rsid w:val="00CF3533"/>
    <w:rsid w:val="00CF5660"/>
    <w:rsid w:val="00D0785F"/>
    <w:rsid w:val="00D22DD0"/>
    <w:rsid w:val="00D25047"/>
    <w:rsid w:val="00D27E99"/>
    <w:rsid w:val="00D30C91"/>
    <w:rsid w:val="00D372C4"/>
    <w:rsid w:val="00D43E32"/>
    <w:rsid w:val="00D45623"/>
    <w:rsid w:val="00D51D31"/>
    <w:rsid w:val="00D52B8F"/>
    <w:rsid w:val="00D563CA"/>
    <w:rsid w:val="00D57E02"/>
    <w:rsid w:val="00D61639"/>
    <w:rsid w:val="00D6163E"/>
    <w:rsid w:val="00D65414"/>
    <w:rsid w:val="00D65C63"/>
    <w:rsid w:val="00D73D33"/>
    <w:rsid w:val="00D77803"/>
    <w:rsid w:val="00D86D49"/>
    <w:rsid w:val="00D90D6D"/>
    <w:rsid w:val="00D92462"/>
    <w:rsid w:val="00D9773D"/>
    <w:rsid w:val="00DA2790"/>
    <w:rsid w:val="00DA4139"/>
    <w:rsid w:val="00DA577C"/>
    <w:rsid w:val="00DA6504"/>
    <w:rsid w:val="00DB4A4F"/>
    <w:rsid w:val="00DB4D37"/>
    <w:rsid w:val="00DB6854"/>
    <w:rsid w:val="00DC179E"/>
    <w:rsid w:val="00DC3ADE"/>
    <w:rsid w:val="00DE3A41"/>
    <w:rsid w:val="00DE43FC"/>
    <w:rsid w:val="00DE7A73"/>
    <w:rsid w:val="00DF1327"/>
    <w:rsid w:val="00DF2D6D"/>
    <w:rsid w:val="00DF4CD3"/>
    <w:rsid w:val="00E15AE2"/>
    <w:rsid w:val="00E17530"/>
    <w:rsid w:val="00E22CE1"/>
    <w:rsid w:val="00E27F9F"/>
    <w:rsid w:val="00E35757"/>
    <w:rsid w:val="00E41BAA"/>
    <w:rsid w:val="00E51E2D"/>
    <w:rsid w:val="00E55825"/>
    <w:rsid w:val="00E66E6B"/>
    <w:rsid w:val="00E72A07"/>
    <w:rsid w:val="00E75DD9"/>
    <w:rsid w:val="00E845C5"/>
    <w:rsid w:val="00E87B8A"/>
    <w:rsid w:val="00E95A71"/>
    <w:rsid w:val="00E969CE"/>
    <w:rsid w:val="00EA2D22"/>
    <w:rsid w:val="00EB075C"/>
    <w:rsid w:val="00EB0E3D"/>
    <w:rsid w:val="00EB1E4A"/>
    <w:rsid w:val="00EC0769"/>
    <w:rsid w:val="00EC375D"/>
    <w:rsid w:val="00EC3DD6"/>
    <w:rsid w:val="00ED0EE6"/>
    <w:rsid w:val="00ED3688"/>
    <w:rsid w:val="00EE0F71"/>
    <w:rsid w:val="00EE1BF8"/>
    <w:rsid w:val="00EE1FED"/>
    <w:rsid w:val="00EE2066"/>
    <w:rsid w:val="00EF16D4"/>
    <w:rsid w:val="00EF1B20"/>
    <w:rsid w:val="00F013DD"/>
    <w:rsid w:val="00F10655"/>
    <w:rsid w:val="00F158E7"/>
    <w:rsid w:val="00F26189"/>
    <w:rsid w:val="00F27BC7"/>
    <w:rsid w:val="00F32E0F"/>
    <w:rsid w:val="00F3408D"/>
    <w:rsid w:val="00F36A67"/>
    <w:rsid w:val="00F57C97"/>
    <w:rsid w:val="00F736B4"/>
    <w:rsid w:val="00F73F75"/>
    <w:rsid w:val="00F75049"/>
    <w:rsid w:val="00F77F4C"/>
    <w:rsid w:val="00F9417F"/>
    <w:rsid w:val="00FA6921"/>
    <w:rsid w:val="00FA758C"/>
    <w:rsid w:val="00FC422E"/>
    <w:rsid w:val="00FC44E5"/>
    <w:rsid w:val="00FE23F0"/>
    <w:rsid w:val="00FE77D5"/>
    <w:rsid w:val="00FF5162"/>
    <w:rsid w:val="02BE2980"/>
    <w:rsid w:val="0369083D"/>
    <w:rsid w:val="036D2DAF"/>
    <w:rsid w:val="054F1C4F"/>
    <w:rsid w:val="070B5576"/>
    <w:rsid w:val="072D6B0D"/>
    <w:rsid w:val="080E4C5F"/>
    <w:rsid w:val="080F2346"/>
    <w:rsid w:val="08CF1E16"/>
    <w:rsid w:val="09723EBB"/>
    <w:rsid w:val="097B289D"/>
    <w:rsid w:val="09EF260F"/>
    <w:rsid w:val="0A414530"/>
    <w:rsid w:val="0B3D1BEF"/>
    <w:rsid w:val="0BA17A99"/>
    <w:rsid w:val="0BCF3E60"/>
    <w:rsid w:val="0C635C04"/>
    <w:rsid w:val="0CBA27E8"/>
    <w:rsid w:val="0CEF2A86"/>
    <w:rsid w:val="0F67DC65"/>
    <w:rsid w:val="0FD72178"/>
    <w:rsid w:val="1081433D"/>
    <w:rsid w:val="10BD18DA"/>
    <w:rsid w:val="113E5D8A"/>
    <w:rsid w:val="11E56CF5"/>
    <w:rsid w:val="12582E7C"/>
    <w:rsid w:val="12FC7CAB"/>
    <w:rsid w:val="13A7624A"/>
    <w:rsid w:val="13C66E29"/>
    <w:rsid w:val="13E05FAA"/>
    <w:rsid w:val="13FD7DCE"/>
    <w:rsid w:val="156111A8"/>
    <w:rsid w:val="1635647F"/>
    <w:rsid w:val="17860634"/>
    <w:rsid w:val="186B383E"/>
    <w:rsid w:val="18C94AD3"/>
    <w:rsid w:val="19241D0A"/>
    <w:rsid w:val="19335BF4"/>
    <w:rsid w:val="1A490E9F"/>
    <w:rsid w:val="1A8C52BD"/>
    <w:rsid w:val="1B2D30F7"/>
    <w:rsid w:val="1B452C28"/>
    <w:rsid w:val="1B6F1962"/>
    <w:rsid w:val="1C961DF6"/>
    <w:rsid w:val="1C9F4C73"/>
    <w:rsid w:val="1D61177E"/>
    <w:rsid w:val="1DD4152F"/>
    <w:rsid w:val="1E537319"/>
    <w:rsid w:val="1EF75FC4"/>
    <w:rsid w:val="1F6D7F66"/>
    <w:rsid w:val="1F9951FF"/>
    <w:rsid w:val="1FB06F64"/>
    <w:rsid w:val="1FBFC9A1"/>
    <w:rsid w:val="1FD77AD6"/>
    <w:rsid w:val="1FF40688"/>
    <w:rsid w:val="20482A1F"/>
    <w:rsid w:val="20825C93"/>
    <w:rsid w:val="22991487"/>
    <w:rsid w:val="231D1CA3"/>
    <w:rsid w:val="23875879"/>
    <w:rsid w:val="24417C14"/>
    <w:rsid w:val="24613E12"/>
    <w:rsid w:val="253D487F"/>
    <w:rsid w:val="258E0C37"/>
    <w:rsid w:val="27316A8B"/>
    <w:rsid w:val="28006470"/>
    <w:rsid w:val="2878659B"/>
    <w:rsid w:val="288E0F4E"/>
    <w:rsid w:val="29DF2F90"/>
    <w:rsid w:val="2A963D40"/>
    <w:rsid w:val="2AC53287"/>
    <w:rsid w:val="2B3F2191"/>
    <w:rsid w:val="2BB07C4F"/>
    <w:rsid w:val="2BFF63EA"/>
    <w:rsid w:val="2BFFF578"/>
    <w:rsid w:val="2D49723E"/>
    <w:rsid w:val="2EDD3030"/>
    <w:rsid w:val="2F1975F5"/>
    <w:rsid w:val="2F6D7B0F"/>
    <w:rsid w:val="2F7F52E3"/>
    <w:rsid w:val="2FCB30BF"/>
    <w:rsid w:val="306929CC"/>
    <w:rsid w:val="30C13F66"/>
    <w:rsid w:val="330E33B7"/>
    <w:rsid w:val="33305E65"/>
    <w:rsid w:val="3504035F"/>
    <w:rsid w:val="35310A84"/>
    <w:rsid w:val="367F3FA0"/>
    <w:rsid w:val="36AAD2A9"/>
    <w:rsid w:val="36D817C3"/>
    <w:rsid w:val="372F8981"/>
    <w:rsid w:val="373D3F08"/>
    <w:rsid w:val="37BE3792"/>
    <w:rsid w:val="37E5EE47"/>
    <w:rsid w:val="37E868CC"/>
    <w:rsid w:val="37FECB79"/>
    <w:rsid w:val="383A33CF"/>
    <w:rsid w:val="38743CBC"/>
    <w:rsid w:val="3A4F02CE"/>
    <w:rsid w:val="3AB4039A"/>
    <w:rsid w:val="3AE1015F"/>
    <w:rsid w:val="3B38A01B"/>
    <w:rsid w:val="3B3EAC2E"/>
    <w:rsid w:val="3BFDFE65"/>
    <w:rsid w:val="3D0870C9"/>
    <w:rsid w:val="3DBFC445"/>
    <w:rsid w:val="3FBB0422"/>
    <w:rsid w:val="3FD3118C"/>
    <w:rsid w:val="40AE7F87"/>
    <w:rsid w:val="418238EE"/>
    <w:rsid w:val="435A1DC8"/>
    <w:rsid w:val="439B7791"/>
    <w:rsid w:val="43D34EF3"/>
    <w:rsid w:val="43EB7A02"/>
    <w:rsid w:val="44B26298"/>
    <w:rsid w:val="45F352F2"/>
    <w:rsid w:val="46020B59"/>
    <w:rsid w:val="46284338"/>
    <w:rsid w:val="46FF7E02"/>
    <w:rsid w:val="47446039"/>
    <w:rsid w:val="47BA1F3A"/>
    <w:rsid w:val="484960C2"/>
    <w:rsid w:val="48AF0F60"/>
    <w:rsid w:val="49C40AF5"/>
    <w:rsid w:val="49FFD8FC"/>
    <w:rsid w:val="4ABC2CCF"/>
    <w:rsid w:val="4AD20703"/>
    <w:rsid w:val="4B6776B0"/>
    <w:rsid w:val="4B9F32EE"/>
    <w:rsid w:val="4C2B17F3"/>
    <w:rsid w:val="4C6562E6"/>
    <w:rsid w:val="51043349"/>
    <w:rsid w:val="51C15D6C"/>
    <w:rsid w:val="53281E1B"/>
    <w:rsid w:val="53BF3DB4"/>
    <w:rsid w:val="53F040F3"/>
    <w:rsid w:val="543F741C"/>
    <w:rsid w:val="54447BAF"/>
    <w:rsid w:val="54A550C0"/>
    <w:rsid w:val="54B794FC"/>
    <w:rsid w:val="55CC0F89"/>
    <w:rsid w:val="578C2530"/>
    <w:rsid w:val="57D7D45A"/>
    <w:rsid w:val="57DB745C"/>
    <w:rsid w:val="58056FDA"/>
    <w:rsid w:val="583B7EFB"/>
    <w:rsid w:val="58FB4E97"/>
    <w:rsid w:val="597807D4"/>
    <w:rsid w:val="5A9102A6"/>
    <w:rsid w:val="5A9A3518"/>
    <w:rsid w:val="5B48305A"/>
    <w:rsid w:val="5BDB1F4D"/>
    <w:rsid w:val="5BE34B31"/>
    <w:rsid w:val="5D1A7301"/>
    <w:rsid w:val="5D505D45"/>
    <w:rsid w:val="5DA84284"/>
    <w:rsid w:val="5DD78BF3"/>
    <w:rsid w:val="5E8917AF"/>
    <w:rsid w:val="5E975C31"/>
    <w:rsid w:val="5FAFBC16"/>
    <w:rsid w:val="5FBF7914"/>
    <w:rsid w:val="5FDF139B"/>
    <w:rsid w:val="5FF65539"/>
    <w:rsid w:val="5FFE5B25"/>
    <w:rsid w:val="5FFF80B7"/>
    <w:rsid w:val="611B6B1B"/>
    <w:rsid w:val="614FA2F6"/>
    <w:rsid w:val="615D05AC"/>
    <w:rsid w:val="621041A6"/>
    <w:rsid w:val="6287707E"/>
    <w:rsid w:val="632919C3"/>
    <w:rsid w:val="63302D52"/>
    <w:rsid w:val="636F8B14"/>
    <w:rsid w:val="63C27722"/>
    <w:rsid w:val="6411371B"/>
    <w:rsid w:val="64EE5C98"/>
    <w:rsid w:val="651D10B4"/>
    <w:rsid w:val="652C2E08"/>
    <w:rsid w:val="653C33DF"/>
    <w:rsid w:val="65C02212"/>
    <w:rsid w:val="65C55D7A"/>
    <w:rsid w:val="65F362B8"/>
    <w:rsid w:val="660A5ADC"/>
    <w:rsid w:val="660D19F4"/>
    <w:rsid w:val="66701B3C"/>
    <w:rsid w:val="671FA459"/>
    <w:rsid w:val="67605F50"/>
    <w:rsid w:val="682664D1"/>
    <w:rsid w:val="68BE5C06"/>
    <w:rsid w:val="693E72C7"/>
    <w:rsid w:val="698931BC"/>
    <w:rsid w:val="69E06B54"/>
    <w:rsid w:val="6A2E78BF"/>
    <w:rsid w:val="6AD45140"/>
    <w:rsid w:val="6BBFA488"/>
    <w:rsid w:val="6CC4450B"/>
    <w:rsid w:val="6D912A39"/>
    <w:rsid w:val="6D92C172"/>
    <w:rsid w:val="6DD42F29"/>
    <w:rsid w:val="6DEF4247"/>
    <w:rsid w:val="6EFFA8E0"/>
    <w:rsid w:val="6FB7775B"/>
    <w:rsid w:val="6FBBFB44"/>
    <w:rsid w:val="6FBFB46A"/>
    <w:rsid w:val="6FD21EFF"/>
    <w:rsid w:val="6FEBC28E"/>
    <w:rsid w:val="6FFBC9F7"/>
    <w:rsid w:val="71546B46"/>
    <w:rsid w:val="71FA620E"/>
    <w:rsid w:val="72141A90"/>
    <w:rsid w:val="73711EEC"/>
    <w:rsid w:val="74427D6A"/>
    <w:rsid w:val="749E0643"/>
    <w:rsid w:val="74F55BA9"/>
    <w:rsid w:val="75363ACC"/>
    <w:rsid w:val="755220DE"/>
    <w:rsid w:val="758B206A"/>
    <w:rsid w:val="75B567FF"/>
    <w:rsid w:val="75CDD699"/>
    <w:rsid w:val="75E6EA98"/>
    <w:rsid w:val="7633136B"/>
    <w:rsid w:val="76FFEC11"/>
    <w:rsid w:val="7777121F"/>
    <w:rsid w:val="77BAD7AF"/>
    <w:rsid w:val="77F9786D"/>
    <w:rsid w:val="78397B5B"/>
    <w:rsid w:val="7877E8EA"/>
    <w:rsid w:val="789658B9"/>
    <w:rsid w:val="78FFD19F"/>
    <w:rsid w:val="79462067"/>
    <w:rsid w:val="7A761CA3"/>
    <w:rsid w:val="7B5B0730"/>
    <w:rsid w:val="7B6C6499"/>
    <w:rsid w:val="7B6FCB83"/>
    <w:rsid w:val="7B76454E"/>
    <w:rsid w:val="7BFAAF5A"/>
    <w:rsid w:val="7C010352"/>
    <w:rsid w:val="7C38637B"/>
    <w:rsid w:val="7C577A7A"/>
    <w:rsid w:val="7C6900E6"/>
    <w:rsid w:val="7CEE3CF4"/>
    <w:rsid w:val="7D5DB949"/>
    <w:rsid w:val="7DBFC329"/>
    <w:rsid w:val="7DC26844"/>
    <w:rsid w:val="7DC623CD"/>
    <w:rsid w:val="7DDDED16"/>
    <w:rsid w:val="7DEEDD40"/>
    <w:rsid w:val="7E0258A0"/>
    <w:rsid w:val="7E7417E2"/>
    <w:rsid w:val="7EBF02B1"/>
    <w:rsid w:val="7EBFD64C"/>
    <w:rsid w:val="7ECD9F19"/>
    <w:rsid w:val="7F127358"/>
    <w:rsid w:val="7F3F3EDA"/>
    <w:rsid w:val="7F494665"/>
    <w:rsid w:val="7F9DD732"/>
    <w:rsid w:val="7FB85BA9"/>
    <w:rsid w:val="7FF4989A"/>
    <w:rsid w:val="7FFA12FC"/>
    <w:rsid w:val="7FFB7D72"/>
    <w:rsid w:val="7FFEE413"/>
    <w:rsid w:val="8FDFB33B"/>
    <w:rsid w:val="9F7CDF2C"/>
    <w:rsid w:val="9FAD130E"/>
    <w:rsid w:val="9FFE52D8"/>
    <w:rsid w:val="A4F2657B"/>
    <w:rsid w:val="A787F732"/>
    <w:rsid w:val="B69FAC4B"/>
    <w:rsid w:val="BAFD5F4D"/>
    <w:rsid w:val="BD9F0EF4"/>
    <w:rsid w:val="BF6BA448"/>
    <w:rsid w:val="BFDD4E51"/>
    <w:rsid w:val="BFEB4D11"/>
    <w:rsid w:val="BFEBA271"/>
    <w:rsid w:val="C5F2B6D2"/>
    <w:rsid w:val="CAF3267F"/>
    <w:rsid w:val="CC5D7D5F"/>
    <w:rsid w:val="D7770AAC"/>
    <w:rsid w:val="DD76D2D3"/>
    <w:rsid w:val="DE6C311A"/>
    <w:rsid w:val="DEB15763"/>
    <w:rsid w:val="DF3A7995"/>
    <w:rsid w:val="DFAB921C"/>
    <w:rsid w:val="DFFBD00A"/>
    <w:rsid w:val="EBDFFE2D"/>
    <w:rsid w:val="EBFD3653"/>
    <w:rsid w:val="EC9E260C"/>
    <w:rsid w:val="EDCA0D5E"/>
    <w:rsid w:val="EE7B894D"/>
    <w:rsid w:val="EE7FF56C"/>
    <w:rsid w:val="EEEFB0B6"/>
    <w:rsid w:val="EEFF27A4"/>
    <w:rsid w:val="EEFF6E49"/>
    <w:rsid w:val="EF7CE11F"/>
    <w:rsid w:val="EFBFB4B1"/>
    <w:rsid w:val="EFEA39CC"/>
    <w:rsid w:val="EFFCA7B0"/>
    <w:rsid w:val="F27E1722"/>
    <w:rsid w:val="F2EF7FCA"/>
    <w:rsid w:val="F3FED2B9"/>
    <w:rsid w:val="F577BB22"/>
    <w:rsid w:val="F7DF7408"/>
    <w:rsid w:val="F7E70ECF"/>
    <w:rsid w:val="F7FADBE0"/>
    <w:rsid w:val="F7FF35C6"/>
    <w:rsid w:val="F9EE7023"/>
    <w:rsid w:val="F9FD3438"/>
    <w:rsid w:val="FAFF474C"/>
    <w:rsid w:val="FBD72979"/>
    <w:rsid w:val="FBD7393C"/>
    <w:rsid w:val="FBFF0DF2"/>
    <w:rsid w:val="FCAFF671"/>
    <w:rsid w:val="FD5DB0A3"/>
    <w:rsid w:val="FDF62FEA"/>
    <w:rsid w:val="FEAC714B"/>
    <w:rsid w:val="FEE52526"/>
    <w:rsid w:val="FF7FF61A"/>
    <w:rsid w:val="FFA528CD"/>
    <w:rsid w:val="FFF6A234"/>
    <w:rsid w:val="FFF778A0"/>
    <w:rsid w:val="FFFD8288"/>
    <w:rsid w:val="FFFF9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imes New Roman" w:hAnsi="Times New Roman" w:eastAsia="宋体" w:cs="Times New Roman"/>
      <w:kern w:val="2"/>
      <w:sz w:val="22"/>
      <w:szCs w:val="24"/>
      <w:lang w:val="en-US" w:eastAsia="zh-CN" w:bidi="ar-SA"/>
    </w:rPr>
  </w:style>
  <w:style w:type="paragraph" w:styleId="3">
    <w:name w:val="heading 1"/>
    <w:basedOn w:val="1"/>
    <w:next w:val="1"/>
    <w:link w:val="18"/>
    <w:qFormat/>
    <w:uiPriority w:val="9"/>
    <w:pPr>
      <w:keepNext/>
      <w:keepLines/>
      <w:spacing w:before="480" w:after="80"/>
      <w:outlineLvl w:val="0"/>
    </w:pPr>
    <w:rPr>
      <w:rFonts w:ascii="等线 Light" w:hAnsi="等线 Light" w:eastAsia="等线 Light"/>
      <w:color w:val="0F4761"/>
      <w:sz w:val="48"/>
      <w:szCs w:val="48"/>
    </w:rPr>
  </w:style>
  <w:style w:type="paragraph" w:styleId="2">
    <w:name w:val="heading 2"/>
    <w:basedOn w:val="1"/>
    <w:next w:val="1"/>
    <w:link w:val="19"/>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0"/>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1"/>
    <w:qFormat/>
    <w:uiPriority w:val="9"/>
    <w:pPr>
      <w:keepNext/>
      <w:keepLines/>
      <w:spacing w:before="80" w:after="40"/>
      <w:outlineLvl w:val="3"/>
    </w:pPr>
    <w:rPr>
      <w:color w:val="0F4761"/>
      <w:sz w:val="28"/>
      <w:szCs w:val="28"/>
    </w:rPr>
  </w:style>
  <w:style w:type="paragraph" w:styleId="6">
    <w:name w:val="heading 5"/>
    <w:basedOn w:val="1"/>
    <w:next w:val="1"/>
    <w:link w:val="22"/>
    <w:qFormat/>
    <w:uiPriority w:val="9"/>
    <w:pPr>
      <w:keepNext/>
      <w:keepLines/>
      <w:spacing w:before="80" w:after="40"/>
      <w:outlineLvl w:val="4"/>
    </w:pPr>
    <w:rPr>
      <w:color w:val="0F4761"/>
      <w:sz w:val="24"/>
    </w:rPr>
  </w:style>
  <w:style w:type="paragraph" w:styleId="7">
    <w:name w:val="heading 6"/>
    <w:basedOn w:val="1"/>
    <w:next w:val="1"/>
    <w:link w:val="23"/>
    <w:qFormat/>
    <w:uiPriority w:val="9"/>
    <w:pPr>
      <w:keepNext/>
      <w:keepLines/>
      <w:spacing w:before="40" w:after="0"/>
      <w:outlineLvl w:val="5"/>
    </w:pPr>
    <w:rPr>
      <w:b/>
      <w:bCs/>
      <w:color w:val="0F4761"/>
    </w:rPr>
  </w:style>
  <w:style w:type="paragraph" w:styleId="8">
    <w:name w:val="heading 7"/>
    <w:basedOn w:val="1"/>
    <w:next w:val="1"/>
    <w:link w:val="24"/>
    <w:qFormat/>
    <w:uiPriority w:val="9"/>
    <w:pPr>
      <w:keepNext/>
      <w:keepLines/>
      <w:spacing w:before="40" w:after="0"/>
      <w:outlineLvl w:val="6"/>
    </w:pPr>
    <w:rPr>
      <w:b/>
      <w:bCs/>
      <w:color w:val="595959"/>
    </w:rPr>
  </w:style>
  <w:style w:type="paragraph" w:styleId="9">
    <w:name w:val="heading 8"/>
    <w:basedOn w:val="1"/>
    <w:next w:val="1"/>
    <w:link w:val="25"/>
    <w:qFormat/>
    <w:uiPriority w:val="9"/>
    <w:pPr>
      <w:keepNext/>
      <w:keepLines/>
      <w:spacing w:after="0"/>
      <w:outlineLvl w:val="7"/>
    </w:pPr>
    <w:rPr>
      <w:color w:val="595959"/>
    </w:rPr>
  </w:style>
  <w:style w:type="paragraph" w:styleId="10">
    <w:name w:val="heading 9"/>
    <w:basedOn w:val="1"/>
    <w:next w:val="1"/>
    <w:link w:val="26"/>
    <w:qFormat/>
    <w:uiPriority w:val="9"/>
    <w:pPr>
      <w:keepNext/>
      <w:keepLines/>
      <w:spacing w:after="0"/>
      <w:outlineLvl w:val="8"/>
    </w:pPr>
    <w:rPr>
      <w:rFonts w:eastAsia="等线 Light"/>
      <w:color w:val="595959"/>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2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2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等线 Light" w:hAnsi="等线 Light" w:eastAsia="等线 Light"/>
      <w:color w:val="595959"/>
      <w:spacing w:val="15"/>
      <w:sz w:val="28"/>
      <w:szCs w:val="28"/>
    </w:rPr>
  </w:style>
  <w:style w:type="paragraph" w:styleId="14">
    <w:name w:val="Normal (Web)"/>
    <w:basedOn w:val="1"/>
    <w:unhideWhenUsed/>
    <w:qFormat/>
    <w:uiPriority w:val="99"/>
    <w:pPr>
      <w:spacing w:before="100" w:beforeAutospacing="1" w:after="100" w:afterAutospacing="1"/>
    </w:pPr>
    <w:rPr>
      <w:kern w:val="0"/>
      <w:sz w:val="24"/>
    </w:rPr>
  </w:style>
  <w:style w:type="paragraph" w:styleId="15">
    <w:name w:val="Title"/>
    <w:basedOn w:val="1"/>
    <w:next w:val="1"/>
    <w:link w:val="30"/>
    <w:qFormat/>
    <w:uiPriority w:val="10"/>
    <w:pPr>
      <w:spacing w:after="80" w:line="240" w:lineRule="auto"/>
      <w:contextualSpacing/>
      <w:jc w:val="center"/>
    </w:pPr>
    <w:rPr>
      <w:rFonts w:ascii="等线 Light" w:hAnsi="等线 Light" w:eastAsia="等线 Light"/>
      <w:spacing w:val="-10"/>
      <w:kern w:val="28"/>
      <w:sz w:val="56"/>
      <w:szCs w:val="56"/>
    </w:rPr>
  </w:style>
  <w:style w:type="character" w:customStyle="1" w:styleId="18">
    <w:name w:val="标题 1 字符"/>
    <w:link w:val="3"/>
    <w:qFormat/>
    <w:uiPriority w:val="9"/>
    <w:rPr>
      <w:rFonts w:ascii="等线 Light" w:hAnsi="等线 Light" w:eastAsia="等线 Light" w:cs="Times New Roman"/>
      <w:color w:val="0F4761"/>
      <w:sz w:val="48"/>
      <w:szCs w:val="48"/>
    </w:rPr>
  </w:style>
  <w:style w:type="character" w:customStyle="1" w:styleId="19">
    <w:name w:val="标题 2 字符"/>
    <w:link w:val="2"/>
    <w:semiHidden/>
    <w:qFormat/>
    <w:uiPriority w:val="9"/>
    <w:rPr>
      <w:rFonts w:ascii="等线 Light" w:hAnsi="等线 Light" w:eastAsia="等线 Light" w:cs="Times New Roman"/>
      <w:color w:val="0F4761"/>
      <w:sz w:val="40"/>
      <w:szCs w:val="40"/>
    </w:rPr>
  </w:style>
  <w:style w:type="character" w:customStyle="1" w:styleId="20">
    <w:name w:val="标题 3 字符"/>
    <w:link w:val="4"/>
    <w:semiHidden/>
    <w:qFormat/>
    <w:uiPriority w:val="9"/>
    <w:rPr>
      <w:rFonts w:ascii="等线 Light" w:hAnsi="等线 Light" w:eastAsia="等线 Light" w:cs="Times New Roman"/>
      <w:color w:val="0F4761"/>
      <w:sz w:val="32"/>
      <w:szCs w:val="32"/>
    </w:rPr>
  </w:style>
  <w:style w:type="character" w:customStyle="1" w:styleId="21">
    <w:name w:val="标题 4 字符"/>
    <w:link w:val="5"/>
    <w:semiHidden/>
    <w:qFormat/>
    <w:uiPriority w:val="9"/>
    <w:rPr>
      <w:rFonts w:cs="Times New Roman"/>
      <w:color w:val="0F4761"/>
      <w:sz w:val="28"/>
      <w:szCs w:val="28"/>
    </w:rPr>
  </w:style>
  <w:style w:type="character" w:customStyle="1" w:styleId="22">
    <w:name w:val="标题 5 字符"/>
    <w:link w:val="6"/>
    <w:semiHidden/>
    <w:qFormat/>
    <w:uiPriority w:val="9"/>
    <w:rPr>
      <w:rFonts w:cs="Times New Roman"/>
      <w:color w:val="0F4761"/>
      <w:sz w:val="24"/>
    </w:rPr>
  </w:style>
  <w:style w:type="character" w:customStyle="1" w:styleId="23">
    <w:name w:val="标题 6 字符"/>
    <w:link w:val="7"/>
    <w:semiHidden/>
    <w:qFormat/>
    <w:uiPriority w:val="9"/>
    <w:rPr>
      <w:rFonts w:cs="Times New Roman"/>
      <w:b/>
      <w:bCs/>
      <w:color w:val="0F4761"/>
    </w:rPr>
  </w:style>
  <w:style w:type="character" w:customStyle="1" w:styleId="24">
    <w:name w:val="标题 7 字符"/>
    <w:link w:val="8"/>
    <w:semiHidden/>
    <w:qFormat/>
    <w:uiPriority w:val="9"/>
    <w:rPr>
      <w:rFonts w:cs="Times New Roman"/>
      <w:b/>
      <w:bCs/>
      <w:color w:val="595959"/>
    </w:rPr>
  </w:style>
  <w:style w:type="character" w:customStyle="1" w:styleId="25">
    <w:name w:val="标题 8 字符"/>
    <w:link w:val="9"/>
    <w:semiHidden/>
    <w:qFormat/>
    <w:uiPriority w:val="9"/>
    <w:rPr>
      <w:rFonts w:cs="Times New Roman"/>
      <w:color w:val="595959"/>
    </w:rPr>
  </w:style>
  <w:style w:type="character" w:customStyle="1" w:styleId="26">
    <w:name w:val="标题 9 字符"/>
    <w:link w:val="10"/>
    <w:semiHidden/>
    <w:qFormat/>
    <w:uiPriority w:val="9"/>
    <w:rPr>
      <w:rFonts w:eastAsia="等线 Light" w:cs="Times New Roman"/>
      <w:color w:val="595959"/>
    </w:rPr>
  </w:style>
  <w:style w:type="character" w:customStyle="1" w:styleId="27">
    <w:name w:val="页脚 字符"/>
    <w:link w:val="11"/>
    <w:qFormat/>
    <w:uiPriority w:val="99"/>
    <w:rPr>
      <w:sz w:val="18"/>
      <w:szCs w:val="18"/>
    </w:rPr>
  </w:style>
  <w:style w:type="character" w:customStyle="1" w:styleId="28">
    <w:name w:val="页眉 字符"/>
    <w:link w:val="12"/>
    <w:qFormat/>
    <w:uiPriority w:val="99"/>
    <w:rPr>
      <w:sz w:val="18"/>
      <w:szCs w:val="18"/>
    </w:rPr>
  </w:style>
  <w:style w:type="character" w:customStyle="1" w:styleId="29">
    <w:name w:val="副标题 字符"/>
    <w:link w:val="13"/>
    <w:qFormat/>
    <w:uiPriority w:val="11"/>
    <w:rPr>
      <w:rFonts w:ascii="等线 Light" w:hAnsi="等线 Light" w:eastAsia="等线 Light" w:cs="Times New Roman"/>
      <w:color w:val="595959"/>
      <w:spacing w:val="15"/>
      <w:sz w:val="28"/>
      <w:szCs w:val="28"/>
    </w:rPr>
  </w:style>
  <w:style w:type="character" w:customStyle="1" w:styleId="30">
    <w:name w:val="标题 字符"/>
    <w:link w:val="15"/>
    <w:qFormat/>
    <w:uiPriority w:val="10"/>
    <w:rPr>
      <w:rFonts w:ascii="等线 Light" w:hAnsi="等线 Light" w:eastAsia="等线 Light" w:cs="Times New Roman"/>
      <w:spacing w:val="-10"/>
      <w:kern w:val="28"/>
      <w:sz w:val="56"/>
      <w:szCs w:val="56"/>
    </w:rPr>
  </w:style>
  <w:style w:type="paragraph" w:styleId="31">
    <w:name w:val="Quote"/>
    <w:basedOn w:val="1"/>
    <w:next w:val="1"/>
    <w:link w:val="32"/>
    <w:qFormat/>
    <w:uiPriority w:val="29"/>
    <w:pPr>
      <w:spacing w:before="160"/>
      <w:jc w:val="center"/>
    </w:pPr>
    <w:rPr>
      <w:i/>
      <w:iCs/>
      <w:color w:val="3F3F3F"/>
    </w:rPr>
  </w:style>
  <w:style w:type="character" w:customStyle="1" w:styleId="32">
    <w:name w:val="引用 字符"/>
    <w:link w:val="31"/>
    <w:qFormat/>
    <w:uiPriority w:val="29"/>
    <w:rPr>
      <w:i/>
      <w:iCs/>
      <w:color w:val="3F3F3F"/>
    </w:rPr>
  </w:style>
  <w:style w:type="paragraph" w:styleId="33">
    <w:name w:val="List Paragraph"/>
    <w:basedOn w:val="1"/>
    <w:qFormat/>
    <w:uiPriority w:val="34"/>
    <w:pPr>
      <w:ind w:left="720"/>
      <w:contextualSpacing/>
    </w:pPr>
  </w:style>
  <w:style w:type="character" w:customStyle="1" w:styleId="34">
    <w:name w:val="明显强调1"/>
    <w:qFormat/>
    <w:uiPriority w:val="21"/>
    <w:rPr>
      <w:i/>
      <w:iCs/>
      <w:color w:val="0F4761"/>
    </w:rPr>
  </w:style>
  <w:style w:type="paragraph" w:styleId="35">
    <w:name w:val="Intense Quote"/>
    <w:basedOn w:val="1"/>
    <w:next w:val="1"/>
    <w:link w:val="36"/>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6">
    <w:name w:val="明显引用 字符"/>
    <w:link w:val="35"/>
    <w:qFormat/>
    <w:uiPriority w:val="30"/>
    <w:rPr>
      <w:i/>
      <w:iCs/>
      <w:color w:val="0F4761"/>
    </w:rPr>
  </w:style>
  <w:style w:type="character" w:customStyle="1" w:styleId="37">
    <w:name w:val="明显参考1"/>
    <w:qFormat/>
    <w:uiPriority w:val="32"/>
    <w:rPr>
      <w:b/>
      <w:bCs/>
      <w:smallCaps/>
      <w:color w:val="0F4761"/>
      <w:spacing w:val="5"/>
    </w:rPr>
  </w:style>
  <w:style w:type="paragraph" w:customStyle="1" w:styleId="38">
    <w:name w:val="_Style 37"/>
    <w:unhideWhenUsed/>
    <w:qFormat/>
    <w:uiPriority w:val="99"/>
    <w:rPr>
      <w:rFonts w:ascii="Times New Roman" w:hAnsi="Times New Roman" w:eastAsia="宋体" w:cs="Times New Roman"/>
      <w:kern w:val="2"/>
      <w:sz w:val="22"/>
      <w:szCs w:val="24"/>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2903</Words>
  <Characters>2920</Characters>
  <Lines>21</Lines>
  <Paragraphs>5</Paragraphs>
  <TotalTime>9</TotalTime>
  <ScaleCrop>false</ScaleCrop>
  <LinksUpToDate>false</LinksUpToDate>
  <CharactersWithSpaces>2920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2024-10-18T14:52:00Z</dcterms:created>
  <dc:creator>yuanyuan guo</dc:creator>
  <cp:lastModifiedBy>尚木果</cp:lastModifiedBy>
  <cp:lastPrinted>2024-12-26T15:36:00Z</cp:lastPrinted>
  <dcterms:modified xsi:type="dcterms:W3CDTF">2026-03-26T07:55:03Z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DC0CC9DE89F6449E8EFF4CE046DD60BC_13</vt:lpwstr>
  </property>
</Properties>
</file>