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芒市戒毒康复所医务室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主要负责对艾滋病感染者、常见病多发病的诊治、病人医疗救助、关怀救助等服务。</w:t>
      </w:r>
    </w:p>
    <w:p>
      <w:pPr>
        <w:ind w:left="639" w:leftChars="228" w:hanging="160" w:hanging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1、解决了我市又吸又贩、以贩养吸的“老弱病残”吸毒人员、 静脉注射吸毒感染艾滋病发病人员收治难，整治难，治疗难的社会问题。</w:t>
      </w:r>
    </w:p>
    <w:p>
      <w:pPr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2、做到禁毒与防艾工作较好结合。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3、毒品与艾滋病所内宣传教育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4、行为干预与心理矫正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5、各类传染病、艾滋病的转介工作</w:t>
      </w:r>
    </w:p>
    <w:p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</w:rPr>
        <w:t>8年部门决算编报的单位共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在职人员编制5人，其中：行政编制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人，事业编制5人。在职实有8人，其中：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8人，财政部分供养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人，非财政供养0人。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0人，其中：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0人。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车辆编制0辆，实有车辆0辆。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120.84万元，其中：一般公共预算财政拨款120.84万元，政府性基金预算财政拨款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120.84万元，其中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本年收入120.84万元，上年结转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万元。本年收入中，一般公共预算财政拨款120.84万元（本级财力120.84万元，专项收入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120.84万元。财政拨款安排支出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120.84万元，其中，基本支出120.84万元，项目支出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功能科目分组，主要用于社会保障和就业支出11.79万、用于医疗卫生与计划生育支出101.55万元。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经济科目分组，主要是工资福利支出97.82万元，其他对个人和家庭的补助0万元（其中：基本支出120.84万元，项目支出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074F5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03D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1934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257C3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4DC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35EB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45482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377A8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4B38"/>
    <w:rsid w:val="008B7085"/>
    <w:rsid w:val="008C0CBC"/>
    <w:rsid w:val="008C1602"/>
    <w:rsid w:val="008C1FFC"/>
    <w:rsid w:val="008C645E"/>
    <w:rsid w:val="008D1AD8"/>
    <w:rsid w:val="008D2E7D"/>
    <w:rsid w:val="008D5FED"/>
    <w:rsid w:val="008E0B11"/>
    <w:rsid w:val="008E2734"/>
    <w:rsid w:val="008E3B12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4BE9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E5586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47437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668E6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0702E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21D35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2CF247AE"/>
    <w:rsid w:val="4B4770A7"/>
    <w:rsid w:val="56D315E8"/>
    <w:rsid w:val="65D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szCs w:val="24"/>
    </w:rPr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3</Pages>
  <Words>1142</Words>
  <Characters>147</Characters>
  <Lines>1</Lines>
  <Paragraphs>2</Paragraphs>
  <TotalTime>0</TotalTime>
  <ScaleCrop>false</ScaleCrop>
  <LinksUpToDate>false</LinksUpToDate>
  <CharactersWithSpaces>1287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2024-07-10T08:44:10Z</dcterms:modified>
  <dc:title>年部门预算编制说明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019EAA0DE2854E6DBD18F9939801A00D</vt:lpwstr>
  </property>
</Properties>
</file>