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10.xml" ContentType="application/vnd.ms-office.chartcolorstyle+xml"/>
  <Override PartName="/word/charts/colors11.xml" ContentType="application/vnd.ms-office.chartcolorstyle+xml"/>
  <Override PartName="/word/charts/colors12.xml" ContentType="application/vnd.ms-office.chartcolorstyle+xml"/>
  <Override PartName="/word/charts/colors13.xml" ContentType="application/vnd.ms-office.chartcolorstyle+xml"/>
  <Override PartName="/word/charts/colors14.xml" ContentType="application/vnd.ms-office.chartcolorstyle+xml"/>
  <Override PartName="/word/charts/colors15.xml" ContentType="application/vnd.ms-office.chartcolorstyle+xml"/>
  <Override PartName="/word/charts/colors16.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colors8.xml" ContentType="application/vnd.ms-office.chartcolorstyle+xml"/>
  <Override PartName="/word/charts/colors9.xml" ContentType="application/vnd.ms-office.chartcolorstyle+xml"/>
  <Override PartName="/word/charts/style1.xml" ContentType="application/vnd.ms-office.chartstyle+xml"/>
  <Override PartName="/word/charts/style10.xml" ContentType="application/vnd.ms-office.chartstyle+xml"/>
  <Override PartName="/word/charts/style11.xml" ContentType="application/vnd.ms-office.chartstyle+xml"/>
  <Override PartName="/word/charts/style12.xml" ContentType="application/vnd.ms-office.chartstyle+xml"/>
  <Override PartName="/word/charts/style13.xml" ContentType="application/vnd.ms-office.chartstyle+xml"/>
  <Override PartName="/word/charts/style14.xml" ContentType="application/vnd.ms-office.chartstyle+xml"/>
  <Override PartName="/word/charts/style15.xml" ContentType="application/vnd.ms-office.chartstyle+xml"/>
  <Override PartName="/word/charts/style16.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charts/style8.xml" ContentType="application/vnd.ms-office.chartstyle+xml"/>
  <Override PartName="/word/charts/style9.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600" w:lineRule="exact"/>
        <w:jc w:val="center"/>
        <w:rPr>
          <w:rFonts w:hint="eastAsia" w:ascii="黑体" w:hAnsi="黑体" w:eastAsia="黑体"/>
          <w:sz w:val="44"/>
          <w:szCs w:val="44"/>
        </w:rPr>
      </w:pPr>
      <w:bookmarkStart w:id="0" w:name="_GoBack"/>
      <w:r>
        <w:rPr>
          <w:rFonts w:hint="eastAsia" w:ascii="方正小标宋简体" w:hAnsi="方正小标宋简体" w:eastAsia="方正小标宋简体"/>
          <w:sz w:val="44"/>
          <w:szCs w:val="44"/>
        </w:rPr>
        <w:t>芒市妇幼保健</w:t>
      </w:r>
      <w:r>
        <w:rPr>
          <w:rFonts w:hint="eastAsia" w:ascii="黑体" w:hAnsi="黑体" w:eastAsia="黑体"/>
          <w:sz w:val="44"/>
          <w:szCs w:val="44"/>
        </w:rPr>
        <w:t>计划生育服务中心</w:t>
      </w:r>
    </w:p>
    <w:p>
      <w:pPr>
        <w:spacing w:beforeLines="0" w:afterLines="0" w:line="600" w:lineRule="exact"/>
        <w:jc w:val="center"/>
        <w:rPr>
          <w:rFonts w:hint="eastAsia" w:eastAsia="方正小标宋简体"/>
          <w:sz w:val="44"/>
          <w:szCs w:val="44"/>
          <w:lang w:eastAsia="zh-CN"/>
        </w:rPr>
      </w:pPr>
      <w:r>
        <w:rPr>
          <w:rFonts w:hint="eastAsia" w:ascii="方正小标宋简体" w:hAnsi="方正小标宋简体" w:eastAsia="方正小标宋简体"/>
          <w:sz w:val="44"/>
          <w:szCs w:val="44"/>
        </w:rPr>
        <w:t>2019年度决算</w:t>
      </w:r>
      <w:r>
        <w:rPr>
          <w:rFonts w:hint="eastAsia" w:ascii="方正小标宋简体" w:hAnsi="方正小标宋简体" w:eastAsia="方正小标宋简体"/>
          <w:sz w:val="44"/>
          <w:szCs w:val="44"/>
          <w:lang w:eastAsia="zh-CN"/>
        </w:rPr>
        <w:t>公开</w:t>
      </w:r>
    </w:p>
    <w:bookmarkEnd w:id="0"/>
    <w:p>
      <w:pPr>
        <w:spacing w:beforeLines="0" w:afterLines="0" w:line="600" w:lineRule="exact"/>
        <w:jc w:val="center"/>
        <w:rPr>
          <w:rFonts w:hint="default" w:eastAsia="Times New Roman"/>
          <w:sz w:val="36"/>
        </w:rPr>
      </w:pPr>
    </w:p>
    <w:p>
      <w:pPr>
        <w:spacing w:beforeLines="0" w:afterLines="0" w:line="600" w:lineRule="exact"/>
        <w:jc w:val="center"/>
        <w:rPr>
          <w:rFonts w:hint="default" w:eastAsia="Times New Roman"/>
          <w:sz w:val="32"/>
          <w:szCs w:val="32"/>
        </w:rPr>
      </w:pPr>
      <w:r>
        <w:rPr>
          <w:rFonts w:hint="eastAsia" w:ascii="黑体" w:hAnsi="黑体" w:eastAsia="黑体"/>
          <w:sz w:val="32"/>
          <w:szCs w:val="32"/>
        </w:rPr>
        <w:t>目录</w:t>
      </w:r>
    </w:p>
    <w:p>
      <w:pPr>
        <w:spacing w:beforeLines="0" w:afterLines="0" w:line="600" w:lineRule="exact"/>
        <w:jc w:val="left"/>
        <w:rPr>
          <w:rFonts w:hint="default" w:eastAsia="Times New Roman"/>
          <w:sz w:val="32"/>
          <w:szCs w:val="32"/>
        </w:rPr>
      </w:pPr>
      <w:r>
        <w:rPr>
          <w:rFonts w:hint="eastAsia" w:ascii="黑体" w:hAnsi="黑体" w:eastAsia="黑体"/>
          <w:sz w:val="32"/>
          <w:szCs w:val="32"/>
        </w:rPr>
        <w:t xml:space="preserve">   第一部分  芒市妇幼保健计划生育服务中心概况</w:t>
      </w:r>
    </w:p>
    <w:p>
      <w:pPr>
        <w:spacing w:beforeLines="0" w:afterLines="0" w:line="600" w:lineRule="exact"/>
        <w:jc w:val="left"/>
        <w:rPr>
          <w:rFonts w:hint="default" w:eastAsia="Times New Roman"/>
          <w:sz w:val="32"/>
          <w:szCs w:val="32"/>
        </w:rPr>
      </w:pPr>
      <w:r>
        <w:rPr>
          <w:rFonts w:hint="eastAsia" w:ascii="楷体" w:hAnsi="楷体" w:eastAsia="楷体"/>
          <w:sz w:val="32"/>
          <w:szCs w:val="32"/>
        </w:rPr>
        <w:t xml:space="preserve">   一、主要职能</w:t>
      </w:r>
    </w:p>
    <w:p>
      <w:pPr>
        <w:spacing w:beforeLines="0" w:afterLines="0" w:line="600" w:lineRule="exact"/>
        <w:jc w:val="left"/>
        <w:rPr>
          <w:rFonts w:hint="default" w:eastAsia="Times New Roman"/>
          <w:sz w:val="32"/>
          <w:szCs w:val="32"/>
        </w:rPr>
      </w:pPr>
      <w:r>
        <w:rPr>
          <w:rFonts w:hint="eastAsia" w:ascii="黑体" w:hAnsi="黑体" w:eastAsia="黑体"/>
          <w:sz w:val="32"/>
          <w:szCs w:val="32"/>
        </w:rPr>
        <w:t xml:space="preserve">   </w:t>
      </w:r>
      <w:r>
        <w:rPr>
          <w:rFonts w:hint="eastAsia" w:ascii="楷体" w:hAnsi="楷体" w:eastAsia="楷体"/>
          <w:sz w:val="32"/>
          <w:szCs w:val="32"/>
        </w:rPr>
        <w:t>二、部门基本情况</w:t>
      </w:r>
    </w:p>
    <w:p>
      <w:pPr>
        <w:spacing w:beforeLines="0" w:afterLines="0" w:line="600" w:lineRule="exact"/>
        <w:jc w:val="left"/>
        <w:rPr>
          <w:rFonts w:hint="default" w:eastAsia="Times New Roman"/>
          <w:sz w:val="32"/>
          <w:szCs w:val="32"/>
        </w:rPr>
      </w:pPr>
      <w:r>
        <w:rPr>
          <w:rFonts w:hint="eastAsia" w:ascii="黑体" w:hAnsi="黑体" w:eastAsia="黑体"/>
          <w:sz w:val="32"/>
          <w:szCs w:val="32"/>
        </w:rPr>
        <w:t xml:space="preserve">   第二部分  2019年度部门决算表</w:t>
      </w:r>
    </w:p>
    <w:p>
      <w:pPr>
        <w:spacing w:beforeLines="0" w:afterLines="0" w:line="600" w:lineRule="exact"/>
        <w:jc w:val="left"/>
        <w:rPr>
          <w:rFonts w:hint="default" w:eastAsia="Times New Roman"/>
          <w:sz w:val="32"/>
          <w:szCs w:val="32"/>
        </w:rPr>
      </w:pPr>
      <w:r>
        <w:rPr>
          <w:rFonts w:hint="eastAsia" w:ascii="黑体" w:hAnsi="黑体" w:eastAsia="黑体"/>
          <w:sz w:val="32"/>
          <w:szCs w:val="32"/>
        </w:rPr>
        <w:t xml:space="preserve">   </w:t>
      </w:r>
      <w:r>
        <w:rPr>
          <w:rFonts w:hint="eastAsia" w:ascii="楷体" w:hAnsi="楷体" w:eastAsia="楷体"/>
          <w:sz w:val="32"/>
          <w:szCs w:val="32"/>
        </w:rPr>
        <w:t>一、收入支出决算总表</w:t>
      </w:r>
    </w:p>
    <w:p>
      <w:pPr>
        <w:spacing w:beforeLines="0" w:afterLines="0" w:line="600" w:lineRule="exact"/>
        <w:jc w:val="left"/>
        <w:rPr>
          <w:rFonts w:hint="default" w:eastAsia="Times New Roman"/>
          <w:sz w:val="32"/>
          <w:szCs w:val="32"/>
        </w:rPr>
      </w:pPr>
      <w:r>
        <w:rPr>
          <w:rFonts w:hint="eastAsia" w:ascii="黑体" w:hAnsi="黑体" w:eastAsia="黑体"/>
          <w:sz w:val="32"/>
          <w:szCs w:val="32"/>
        </w:rPr>
        <w:t xml:space="preserve">   </w:t>
      </w:r>
      <w:r>
        <w:rPr>
          <w:rFonts w:hint="eastAsia" w:ascii="楷体" w:hAnsi="楷体" w:eastAsia="楷体"/>
          <w:sz w:val="32"/>
          <w:szCs w:val="32"/>
        </w:rPr>
        <w:t>二、收入决算表</w:t>
      </w:r>
    </w:p>
    <w:p>
      <w:pPr>
        <w:spacing w:beforeLines="0" w:afterLines="0" w:line="600" w:lineRule="exact"/>
        <w:jc w:val="left"/>
        <w:rPr>
          <w:rFonts w:hint="default" w:eastAsia="Times New Roman"/>
          <w:sz w:val="32"/>
          <w:szCs w:val="32"/>
        </w:rPr>
      </w:pPr>
      <w:r>
        <w:rPr>
          <w:rFonts w:hint="eastAsia" w:ascii="黑体" w:hAnsi="黑体" w:eastAsia="黑体"/>
          <w:sz w:val="32"/>
          <w:szCs w:val="32"/>
        </w:rPr>
        <w:t xml:space="preserve">   </w:t>
      </w:r>
      <w:r>
        <w:rPr>
          <w:rFonts w:hint="eastAsia" w:ascii="楷体" w:hAnsi="楷体" w:eastAsia="楷体"/>
          <w:sz w:val="32"/>
          <w:szCs w:val="32"/>
        </w:rPr>
        <w:t>三、支出决算表</w:t>
      </w:r>
    </w:p>
    <w:p>
      <w:pPr>
        <w:spacing w:beforeLines="0" w:afterLines="0" w:line="600" w:lineRule="exact"/>
        <w:jc w:val="left"/>
        <w:rPr>
          <w:rFonts w:hint="default" w:eastAsia="Times New Roman"/>
          <w:sz w:val="32"/>
          <w:szCs w:val="32"/>
        </w:rPr>
      </w:pPr>
      <w:r>
        <w:rPr>
          <w:rFonts w:hint="eastAsia" w:ascii="黑体" w:hAnsi="黑体" w:eastAsia="黑体"/>
          <w:sz w:val="32"/>
          <w:szCs w:val="32"/>
        </w:rPr>
        <w:t xml:space="preserve">   </w:t>
      </w:r>
      <w:r>
        <w:rPr>
          <w:rFonts w:hint="eastAsia" w:ascii="楷体" w:hAnsi="楷体" w:eastAsia="楷体"/>
          <w:sz w:val="32"/>
          <w:szCs w:val="32"/>
        </w:rPr>
        <w:t>四、财政拨款收入支出决算总表</w:t>
      </w:r>
    </w:p>
    <w:p>
      <w:pPr>
        <w:spacing w:beforeLines="0" w:afterLines="0" w:line="600" w:lineRule="exact"/>
        <w:jc w:val="left"/>
        <w:rPr>
          <w:rFonts w:hint="default" w:eastAsia="Times New Roman"/>
          <w:sz w:val="32"/>
          <w:szCs w:val="32"/>
        </w:rPr>
      </w:pPr>
      <w:r>
        <w:rPr>
          <w:rFonts w:hint="eastAsia" w:ascii="黑体" w:hAnsi="黑体" w:eastAsia="黑体"/>
          <w:sz w:val="32"/>
          <w:szCs w:val="32"/>
        </w:rPr>
        <w:t xml:space="preserve">   </w:t>
      </w:r>
      <w:r>
        <w:rPr>
          <w:rFonts w:hint="eastAsia" w:ascii="楷体" w:hAnsi="楷体" w:eastAsia="楷体"/>
          <w:sz w:val="32"/>
          <w:szCs w:val="32"/>
        </w:rPr>
        <w:t>五、一般公共预算财政拨款收入支出决算表</w:t>
      </w:r>
    </w:p>
    <w:p>
      <w:pPr>
        <w:spacing w:beforeLines="0" w:afterLines="0" w:line="600" w:lineRule="exact"/>
        <w:jc w:val="left"/>
        <w:rPr>
          <w:rFonts w:hint="default" w:eastAsia="Times New Roman"/>
          <w:sz w:val="32"/>
          <w:szCs w:val="32"/>
        </w:rPr>
      </w:pPr>
      <w:r>
        <w:rPr>
          <w:rFonts w:hint="eastAsia" w:ascii="黑体" w:hAnsi="黑体" w:eastAsia="黑体"/>
          <w:sz w:val="32"/>
          <w:szCs w:val="32"/>
        </w:rPr>
        <w:t xml:space="preserve">   </w:t>
      </w:r>
      <w:r>
        <w:rPr>
          <w:rFonts w:hint="eastAsia" w:ascii="楷体" w:hAnsi="楷体" w:eastAsia="楷体"/>
          <w:sz w:val="32"/>
          <w:szCs w:val="32"/>
        </w:rPr>
        <w:t>六、一般公共预算财政拨款基本支出决算表</w:t>
      </w:r>
    </w:p>
    <w:p>
      <w:pPr>
        <w:spacing w:beforeLines="0" w:afterLines="0" w:line="600" w:lineRule="exact"/>
        <w:jc w:val="left"/>
        <w:rPr>
          <w:rFonts w:hint="default" w:eastAsia="Times New Roman"/>
          <w:sz w:val="32"/>
          <w:szCs w:val="32"/>
        </w:rPr>
      </w:pPr>
      <w:r>
        <w:rPr>
          <w:rFonts w:hint="eastAsia" w:ascii="黑体" w:hAnsi="黑体" w:eastAsia="黑体"/>
          <w:sz w:val="32"/>
          <w:szCs w:val="32"/>
        </w:rPr>
        <w:t xml:space="preserve">   </w:t>
      </w:r>
      <w:r>
        <w:rPr>
          <w:rFonts w:hint="eastAsia" w:ascii="楷体" w:hAnsi="楷体" w:eastAsia="楷体"/>
          <w:sz w:val="32"/>
          <w:szCs w:val="32"/>
        </w:rPr>
        <w:t>七、政府性基金预算财政拨款收入支出决算表</w:t>
      </w:r>
    </w:p>
    <w:p>
      <w:pPr>
        <w:spacing w:beforeLines="0" w:afterLines="0" w:line="600" w:lineRule="exact"/>
        <w:jc w:val="left"/>
        <w:rPr>
          <w:rFonts w:hint="default" w:eastAsia="Times New Roman"/>
          <w:sz w:val="32"/>
          <w:szCs w:val="32"/>
        </w:rPr>
      </w:pPr>
      <w:r>
        <w:rPr>
          <w:rFonts w:hint="eastAsia" w:ascii="黑体" w:hAnsi="黑体" w:eastAsia="黑体"/>
          <w:sz w:val="32"/>
          <w:szCs w:val="32"/>
        </w:rPr>
        <w:t xml:space="preserve">   </w:t>
      </w:r>
      <w:r>
        <w:rPr>
          <w:rFonts w:hint="eastAsia" w:ascii="楷体" w:hAnsi="楷体" w:eastAsia="楷体"/>
          <w:sz w:val="32"/>
          <w:szCs w:val="32"/>
        </w:rPr>
        <w:t>八、</w:t>
      </w:r>
      <w:r>
        <w:rPr>
          <w:rFonts w:hint="default" w:eastAsia="Times New Roman"/>
          <w:sz w:val="32"/>
          <w:szCs w:val="32"/>
        </w:rPr>
        <w:t>“</w:t>
      </w:r>
      <w:r>
        <w:rPr>
          <w:rFonts w:hint="eastAsia" w:ascii="楷体" w:hAnsi="楷体" w:eastAsia="楷体"/>
          <w:sz w:val="32"/>
          <w:szCs w:val="32"/>
        </w:rPr>
        <w:t>三公</w:t>
      </w:r>
      <w:r>
        <w:rPr>
          <w:rFonts w:hint="default" w:eastAsia="Times New Roman"/>
          <w:sz w:val="32"/>
          <w:szCs w:val="32"/>
        </w:rPr>
        <w:t>”</w:t>
      </w:r>
      <w:r>
        <w:rPr>
          <w:rFonts w:hint="eastAsia" w:ascii="楷体" w:hAnsi="楷体" w:eastAsia="楷体"/>
          <w:sz w:val="32"/>
          <w:szCs w:val="32"/>
        </w:rPr>
        <w:t>经费、行政参公单位机关运行经费情况表</w:t>
      </w:r>
    </w:p>
    <w:p>
      <w:pPr>
        <w:spacing w:beforeLines="0" w:afterLines="0" w:line="600" w:lineRule="exact"/>
        <w:jc w:val="left"/>
        <w:rPr>
          <w:rFonts w:hint="default" w:eastAsia="Times New Roman"/>
          <w:sz w:val="32"/>
          <w:szCs w:val="32"/>
        </w:rPr>
      </w:pPr>
      <w:r>
        <w:rPr>
          <w:rFonts w:hint="eastAsia" w:ascii="黑体" w:hAnsi="黑体" w:eastAsia="黑体"/>
          <w:sz w:val="32"/>
          <w:szCs w:val="32"/>
        </w:rPr>
        <w:t xml:space="preserve">   第三部分  2019年度部门决算情况说明</w:t>
      </w:r>
    </w:p>
    <w:p>
      <w:pPr>
        <w:spacing w:beforeLines="0" w:afterLines="0" w:line="600" w:lineRule="exact"/>
        <w:jc w:val="left"/>
        <w:rPr>
          <w:rFonts w:hint="default" w:eastAsia="Times New Roman"/>
          <w:sz w:val="32"/>
          <w:szCs w:val="32"/>
        </w:rPr>
      </w:pPr>
      <w:r>
        <w:rPr>
          <w:rFonts w:hint="eastAsia" w:ascii="黑体" w:hAnsi="黑体" w:eastAsia="黑体"/>
          <w:sz w:val="32"/>
          <w:szCs w:val="32"/>
        </w:rPr>
        <w:t xml:space="preserve">   </w:t>
      </w:r>
      <w:r>
        <w:rPr>
          <w:rFonts w:hint="eastAsia" w:ascii="楷体" w:hAnsi="楷体" w:eastAsia="楷体"/>
          <w:sz w:val="32"/>
          <w:szCs w:val="32"/>
        </w:rPr>
        <w:t>一、收入决算情况说明</w:t>
      </w:r>
    </w:p>
    <w:p>
      <w:pPr>
        <w:spacing w:beforeLines="0" w:afterLines="0" w:line="600" w:lineRule="exact"/>
        <w:jc w:val="left"/>
        <w:rPr>
          <w:rFonts w:hint="default" w:eastAsia="Times New Roman"/>
          <w:sz w:val="32"/>
          <w:szCs w:val="32"/>
        </w:rPr>
      </w:pPr>
      <w:r>
        <w:rPr>
          <w:rFonts w:hint="eastAsia" w:ascii="黑体" w:hAnsi="黑体" w:eastAsia="黑体"/>
          <w:sz w:val="32"/>
          <w:szCs w:val="32"/>
        </w:rPr>
        <w:t xml:space="preserve">   </w:t>
      </w:r>
      <w:r>
        <w:rPr>
          <w:rFonts w:hint="eastAsia" w:ascii="楷体" w:hAnsi="楷体" w:eastAsia="楷体"/>
          <w:sz w:val="32"/>
          <w:szCs w:val="32"/>
        </w:rPr>
        <w:t>二、支出决算情况说明</w:t>
      </w:r>
    </w:p>
    <w:p>
      <w:pPr>
        <w:spacing w:beforeLines="0" w:afterLines="0" w:line="600" w:lineRule="exact"/>
        <w:jc w:val="left"/>
        <w:rPr>
          <w:rFonts w:hint="default" w:eastAsia="Times New Roman"/>
          <w:sz w:val="32"/>
          <w:szCs w:val="32"/>
        </w:rPr>
      </w:pPr>
      <w:r>
        <w:rPr>
          <w:rFonts w:hint="eastAsia" w:ascii="黑体" w:hAnsi="黑体" w:eastAsia="黑体"/>
          <w:sz w:val="32"/>
          <w:szCs w:val="32"/>
        </w:rPr>
        <w:t xml:space="preserve">   </w:t>
      </w:r>
      <w:r>
        <w:rPr>
          <w:rFonts w:hint="eastAsia" w:ascii="楷体" w:hAnsi="楷体" w:eastAsia="楷体"/>
          <w:sz w:val="32"/>
          <w:szCs w:val="32"/>
        </w:rPr>
        <w:t>三、一般公共预算财政拨款支出决算情况说明</w:t>
      </w:r>
    </w:p>
    <w:p>
      <w:pPr>
        <w:spacing w:beforeLines="0" w:afterLines="0" w:line="600" w:lineRule="exact"/>
        <w:jc w:val="left"/>
        <w:rPr>
          <w:rFonts w:hint="default" w:eastAsia="Times New Roman"/>
          <w:sz w:val="32"/>
          <w:szCs w:val="32"/>
        </w:rPr>
      </w:pPr>
      <w:r>
        <w:rPr>
          <w:rFonts w:hint="eastAsia" w:ascii="黑体" w:hAnsi="黑体" w:eastAsia="黑体"/>
          <w:sz w:val="32"/>
          <w:szCs w:val="32"/>
        </w:rPr>
        <w:t xml:space="preserve">   </w:t>
      </w:r>
      <w:r>
        <w:rPr>
          <w:rFonts w:hint="eastAsia" w:ascii="楷体" w:hAnsi="楷体" w:eastAsia="楷体"/>
          <w:sz w:val="32"/>
          <w:szCs w:val="32"/>
        </w:rPr>
        <w:t>四、一般公共预算财政拨款</w:t>
      </w:r>
      <w:r>
        <w:rPr>
          <w:rFonts w:hint="default" w:eastAsia="Times New Roman"/>
          <w:sz w:val="32"/>
          <w:szCs w:val="32"/>
        </w:rPr>
        <w:t>“</w:t>
      </w:r>
      <w:r>
        <w:rPr>
          <w:rFonts w:hint="eastAsia" w:ascii="楷体" w:hAnsi="楷体" w:eastAsia="楷体"/>
          <w:sz w:val="32"/>
          <w:szCs w:val="32"/>
        </w:rPr>
        <w:t>三公</w:t>
      </w:r>
      <w:r>
        <w:rPr>
          <w:rFonts w:hint="default" w:eastAsia="Times New Roman"/>
          <w:sz w:val="32"/>
          <w:szCs w:val="32"/>
        </w:rPr>
        <w:t>”</w:t>
      </w:r>
      <w:r>
        <w:rPr>
          <w:rFonts w:hint="eastAsia" w:ascii="楷体" w:hAnsi="楷体" w:eastAsia="楷体"/>
          <w:sz w:val="32"/>
          <w:szCs w:val="32"/>
        </w:rPr>
        <w:t>经费支出决算情况说明</w:t>
      </w:r>
    </w:p>
    <w:p>
      <w:pPr>
        <w:spacing w:beforeLines="0" w:afterLines="0" w:line="600" w:lineRule="exact"/>
        <w:jc w:val="left"/>
        <w:rPr>
          <w:rFonts w:hint="default" w:eastAsia="Times New Roman"/>
          <w:sz w:val="32"/>
          <w:szCs w:val="32"/>
        </w:rPr>
      </w:pPr>
      <w:r>
        <w:rPr>
          <w:rFonts w:hint="eastAsia" w:ascii="黑体" w:hAnsi="黑体" w:eastAsia="黑体"/>
          <w:sz w:val="32"/>
          <w:szCs w:val="32"/>
        </w:rPr>
        <w:t xml:space="preserve">   第四部分  其他重要事项及相关口径情况说明</w:t>
      </w:r>
    </w:p>
    <w:p>
      <w:pPr>
        <w:spacing w:beforeLines="0" w:afterLines="0" w:line="600" w:lineRule="exact"/>
        <w:jc w:val="left"/>
        <w:rPr>
          <w:rFonts w:hint="default" w:eastAsia="Times New Roman"/>
          <w:sz w:val="32"/>
          <w:szCs w:val="32"/>
        </w:rPr>
      </w:pPr>
      <w:r>
        <w:rPr>
          <w:rFonts w:hint="eastAsia" w:ascii="楷体" w:hAnsi="楷体" w:eastAsia="楷体"/>
          <w:sz w:val="32"/>
          <w:szCs w:val="32"/>
        </w:rPr>
        <w:t xml:space="preserve">   一、机关运行经费支出情况</w:t>
      </w:r>
    </w:p>
    <w:p>
      <w:pPr>
        <w:spacing w:beforeLines="0" w:afterLines="0" w:line="600" w:lineRule="exact"/>
        <w:jc w:val="left"/>
        <w:rPr>
          <w:rFonts w:hint="default" w:eastAsia="Times New Roman"/>
          <w:sz w:val="32"/>
          <w:szCs w:val="32"/>
        </w:rPr>
      </w:pPr>
      <w:r>
        <w:rPr>
          <w:rFonts w:hint="eastAsia" w:ascii="楷体" w:hAnsi="楷体" w:eastAsia="楷体"/>
          <w:sz w:val="32"/>
          <w:szCs w:val="32"/>
        </w:rPr>
        <w:t xml:space="preserve">   二、国有资产占有情况</w:t>
      </w:r>
    </w:p>
    <w:p>
      <w:pPr>
        <w:spacing w:beforeLines="0" w:afterLines="0" w:line="600" w:lineRule="exact"/>
        <w:jc w:val="left"/>
        <w:rPr>
          <w:rFonts w:hint="default" w:eastAsia="Times New Roman"/>
          <w:sz w:val="32"/>
          <w:szCs w:val="32"/>
        </w:rPr>
      </w:pPr>
      <w:r>
        <w:rPr>
          <w:rFonts w:hint="eastAsia" w:ascii="楷体" w:hAnsi="楷体" w:eastAsia="楷体"/>
          <w:sz w:val="32"/>
          <w:szCs w:val="32"/>
        </w:rPr>
        <w:t xml:space="preserve">   三、政府采购支出情况</w:t>
      </w:r>
    </w:p>
    <w:p>
      <w:pPr>
        <w:spacing w:beforeLines="0" w:afterLines="0" w:line="600" w:lineRule="exact"/>
        <w:jc w:val="left"/>
        <w:rPr>
          <w:rFonts w:hint="default" w:eastAsia="Times New Roman"/>
          <w:sz w:val="32"/>
          <w:szCs w:val="32"/>
        </w:rPr>
      </w:pPr>
      <w:r>
        <w:rPr>
          <w:rFonts w:hint="eastAsia" w:ascii="楷体" w:hAnsi="楷体" w:eastAsia="楷体"/>
          <w:sz w:val="32"/>
          <w:szCs w:val="32"/>
        </w:rPr>
        <w:t xml:space="preserve">   四、部门绩效自评情况</w:t>
      </w:r>
    </w:p>
    <w:p>
      <w:pPr>
        <w:spacing w:beforeLines="0" w:afterLines="0" w:line="600" w:lineRule="exact"/>
        <w:jc w:val="left"/>
        <w:rPr>
          <w:rFonts w:hint="default" w:eastAsia="Times New Roman"/>
          <w:sz w:val="32"/>
          <w:szCs w:val="32"/>
        </w:rPr>
      </w:pPr>
      <w:r>
        <w:rPr>
          <w:rFonts w:hint="eastAsia" w:ascii="楷体" w:hAnsi="楷体" w:eastAsia="楷体"/>
          <w:sz w:val="32"/>
          <w:szCs w:val="32"/>
        </w:rPr>
        <w:t xml:space="preserve">   （一）项目支出绩效自评/项目支出绩效自评报告（表）</w:t>
      </w:r>
    </w:p>
    <w:p>
      <w:pPr>
        <w:spacing w:beforeLines="0" w:afterLines="0" w:line="600" w:lineRule="exact"/>
        <w:jc w:val="left"/>
        <w:rPr>
          <w:rFonts w:hint="default" w:eastAsia="Times New Roman"/>
          <w:sz w:val="32"/>
          <w:szCs w:val="32"/>
        </w:rPr>
      </w:pPr>
      <w:r>
        <w:rPr>
          <w:rFonts w:hint="eastAsia" w:ascii="楷体" w:hAnsi="楷体" w:eastAsia="楷体"/>
          <w:sz w:val="32"/>
          <w:szCs w:val="32"/>
        </w:rPr>
        <w:t xml:space="preserve">   （二）部门整体支出绩效自评报告</w:t>
      </w:r>
    </w:p>
    <w:p>
      <w:pPr>
        <w:spacing w:beforeLines="0" w:afterLines="0" w:line="600" w:lineRule="exact"/>
        <w:jc w:val="left"/>
        <w:rPr>
          <w:rFonts w:hint="default" w:eastAsia="Times New Roman"/>
          <w:sz w:val="32"/>
          <w:szCs w:val="32"/>
        </w:rPr>
      </w:pPr>
      <w:r>
        <w:rPr>
          <w:rFonts w:hint="eastAsia" w:ascii="楷体" w:hAnsi="楷体" w:eastAsia="楷体"/>
          <w:sz w:val="32"/>
          <w:szCs w:val="32"/>
        </w:rPr>
        <w:t xml:space="preserve">   （三）部门整体支出绩效自评表</w:t>
      </w:r>
    </w:p>
    <w:p>
      <w:pPr>
        <w:spacing w:beforeLines="0" w:afterLines="0" w:line="600" w:lineRule="exact"/>
        <w:jc w:val="left"/>
        <w:rPr>
          <w:rFonts w:hint="default" w:eastAsia="Times New Roman"/>
          <w:sz w:val="32"/>
          <w:szCs w:val="32"/>
        </w:rPr>
      </w:pPr>
      <w:r>
        <w:rPr>
          <w:rFonts w:hint="eastAsia" w:ascii="楷体" w:hAnsi="楷体" w:eastAsia="楷体"/>
          <w:sz w:val="32"/>
          <w:szCs w:val="32"/>
        </w:rPr>
        <w:t xml:space="preserve">   五、其他重要事项情况说明</w:t>
      </w:r>
    </w:p>
    <w:p>
      <w:pPr>
        <w:spacing w:beforeLines="0" w:afterLines="0" w:line="600" w:lineRule="exact"/>
        <w:jc w:val="left"/>
        <w:rPr>
          <w:rFonts w:hint="default" w:eastAsia="Times New Roman"/>
          <w:sz w:val="32"/>
          <w:szCs w:val="32"/>
        </w:rPr>
      </w:pPr>
      <w:r>
        <w:rPr>
          <w:rFonts w:hint="eastAsia" w:ascii="楷体" w:hAnsi="楷体" w:eastAsia="楷体"/>
          <w:sz w:val="32"/>
          <w:szCs w:val="32"/>
        </w:rPr>
        <w:t xml:space="preserve">   六、相关口径说明</w:t>
      </w:r>
    </w:p>
    <w:p>
      <w:pPr>
        <w:spacing w:beforeLines="0" w:afterLines="0" w:line="600" w:lineRule="exact"/>
        <w:jc w:val="left"/>
        <w:rPr>
          <w:rFonts w:hint="default" w:eastAsia="Times New Roman"/>
          <w:color w:val="auto"/>
          <w:sz w:val="32"/>
          <w:szCs w:val="32"/>
        </w:rPr>
      </w:pPr>
      <w:r>
        <w:rPr>
          <w:rFonts w:hint="eastAsia" w:ascii="楷体" w:hAnsi="楷体" w:eastAsia="楷体"/>
          <w:color w:val="auto"/>
          <w:sz w:val="32"/>
          <w:szCs w:val="32"/>
        </w:rPr>
        <w:t xml:space="preserve">   </w:t>
      </w:r>
      <w:r>
        <w:rPr>
          <w:rFonts w:hint="eastAsia" w:ascii="黑体" w:hAnsi="黑体" w:eastAsia="黑体"/>
          <w:color w:val="auto"/>
          <w:sz w:val="32"/>
          <w:szCs w:val="32"/>
        </w:rPr>
        <w:t>第五部分  名词解释</w:t>
      </w:r>
    </w:p>
    <w:p>
      <w:pPr>
        <w:spacing w:line="600" w:lineRule="exact"/>
        <w:jc w:val="both"/>
        <w:rPr>
          <w:rFonts w:hint="eastAsia" w:ascii="方正小标宋简体" w:hAnsi="方正小标宋简体" w:eastAsia="方正小标宋简体" w:cs="方正小标宋简体"/>
          <w:sz w:val="44"/>
          <w:szCs w:val="44"/>
          <w:lang w:val="en-US" w:eastAsia="zh-CN"/>
        </w:rPr>
      </w:pPr>
    </w:p>
    <w:p>
      <w:pPr>
        <w:spacing w:line="600" w:lineRule="exact"/>
        <w:ind w:firstLine="2200" w:firstLineChars="500"/>
        <w:jc w:val="both"/>
        <w:rPr>
          <w:rFonts w:hint="eastAsia" w:ascii="方正小标宋简体" w:hAnsi="方正小标宋简体" w:eastAsia="方正小标宋简体" w:cs="方正小标宋简体"/>
          <w:sz w:val="44"/>
          <w:szCs w:val="44"/>
          <w:lang w:val="en-US"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芒市妇幼保健计划生育服务中心</w:t>
      </w:r>
    </w:p>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2019年度</w:t>
      </w:r>
      <w:r>
        <w:rPr>
          <w:rFonts w:hint="eastAsia" w:ascii="方正小标宋简体" w:hAnsi="方正小标宋简体" w:eastAsia="方正小标宋简体" w:cs="方正小标宋简体"/>
          <w:sz w:val="44"/>
          <w:szCs w:val="44"/>
          <w:lang w:eastAsia="zh-CN"/>
        </w:rPr>
        <w:t>决算公开报告</w:t>
      </w:r>
    </w:p>
    <w:p>
      <w:pPr>
        <w:spacing w:line="600" w:lineRule="exact"/>
        <w:ind w:firstLine="600"/>
        <w:rPr>
          <w:rFonts w:hint="eastAsia" w:ascii="黑体" w:hAnsi="黑体" w:eastAsia="黑体"/>
          <w:sz w:val="30"/>
        </w:rPr>
      </w:pPr>
    </w:p>
    <w:p>
      <w:pPr>
        <w:keepNext w:val="0"/>
        <w:keepLines w:val="0"/>
        <w:pageBreakBefore w:val="0"/>
        <w:kinsoku/>
        <w:wordWrap/>
        <w:overflowPunct/>
        <w:topLinePunct w:val="0"/>
        <w:autoSpaceDE/>
        <w:autoSpaceDN/>
        <w:bidi w:val="0"/>
        <w:adjustRightInd/>
        <w:snapToGrid/>
        <w:spacing w:beforeLines="0" w:afterLines="0" w:line="540" w:lineRule="exact"/>
        <w:jc w:val="left"/>
        <w:textAlignment w:val="auto"/>
        <w:rPr>
          <w:rFonts w:hint="default" w:eastAsia="Times New Roman"/>
          <w:sz w:val="32"/>
          <w:szCs w:val="32"/>
        </w:rPr>
      </w:pPr>
      <w:r>
        <w:rPr>
          <w:rFonts w:hint="eastAsia" w:ascii="黑体" w:hAnsi="黑体" w:eastAsia="黑体"/>
          <w:sz w:val="32"/>
          <w:szCs w:val="32"/>
        </w:rPr>
        <w:t xml:space="preserve">   第一部分  芒市妇幼保健计划生育服务中心概况</w:t>
      </w:r>
    </w:p>
    <w:p>
      <w:pPr>
        <w:keepNext w:val="0"/>
        <w:keepLines w:val="0"/>
        <w:pageBreakBefore w:val="0"/>
        <w:kinsoku/>
        <w:wordWrap/>
        <w:overflowPunct/>
        <w:topLinePunct w:val="0"/>
        <w:autoSpaceDE/>
        <w:autoSpaceDN/>
        <w:bidi w:val="0"/>
        <w:adjustRightInd/>
        <w:snapToGrid/>
        <w:spacing w:line="540" w:lineRule="exact"/>
        <w:ind w:firstLine="600"/>
        <w:textAlignment w:val="auto"/>
        <w:rPr>
          <w:rFonts w:hint="default" w:eastAsia="Times New Roman"/>
          <w:sz w:val="32"/>
          <w:szCs w:val="32"/>
        </w:rPr>
      </w:pPr>
      <w:r>
        <w:rPr>
          <w:rFonts w:hint="eastAsia" w:ascii="黑体" w:hAnsi="黑体" w:eastAsia="黑体"/>
          <w:sz w:val="32"/>
          <w:szCs w:val="32"/>
        </w:rPr>
        <w:t>一、主要职能</w:t>
      </w:r>
    </w:p>
    <w:p>
      <w:pPr>
        <w:keepNext w:val="0"/>
        <w:keepLines w:val="0"/>
        <w:pageBreakBefore w:val="0"/>
        <w:widowControl/>
        <w:kinsoku/>
        <w:wordWrap/>
        <w:overflowPunct/>
        <w:topLinePunct w:val="0"/>
        <w:autoSpaceDE/>
        <w:autoSpaceDN/>
        <w:bidi w:val="0"/>
        <w:adjustRightInd/>
        <w:snapToGrid/>
        <w:spacing w:line="540" w:lineRule="exact"/>
        <w:ind w:firstLine="6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坚持“以保健为中心、以保障生殖健康为目的，保健与临床相结合，面向群体、面向基层和预防为主”的妇幼卫生工作方针</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kern w:val="0"/>
          <w:sz w:val="32"/>
          <w:szCs w:val="32"/>
          <w:highlight w:val="none"/>
        </w:rPr>
        <w:t>按照全生命周期和三级预防的理念，以一级和二级预防为重点，为妇女儿童提供从出生到老年、内容涵盖生理和心理的主动、连续的服务与管理。</w:t>
      </w:r>
      <w:r>
        <w:rPr>
          <w:rFonts w:hint="eastAsia" w:ascii="仿宋_GB2312" w:hAnsi="仿宋_GB2312" w:eastAsia="仿宋_GB2312" w:cs="仿宋_GB2312"/>
          <w:sz w:val="32"/>
          <w:szCs w:val="32"/>
          <w:highlight w:val="none"/>
        </w:rPr>
        <w:t>切实履行公共卫生职责，完成各级政府和卫生行政部门下达的指令性任务； 掌握本辖区妇女儿童健康状况及影响因素，协助卫生行政部门制定本辖区妇幼卫生工作的相关政策、技术规范及各项规章制度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开展与妇女儿童健康密切相关的医疗卫生服务。</w:t>
      </w:r>
    </w:p>
    <w:p>
      <w:pPr>
        <w:keepNext w:val="0"/>
        <w:keepLines w:val="0"/>
        <w:pageBreakBefore w:val="0"/>
        <w:widowControl/>
        <w:kinsoku/>
        <w:wordWrap/>
        <w:overflowPunct/>
        <w:topLinePunct w:val="0"/>
        <w:autoSpaceDE/>
        <w:autoSpaceDN/>
        <w:bidi w:val="0"/>
        <w:adjustRightInd/>
        <w:snapToGrid/>
        <w:spacing w:before="93" w:line="540" w:lineRule="exact"/>
        <w:ind w:firstLine="320" w:firstLineChars="1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（二）2019年度重点工作任务介绍</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rPr>
        <w:t>受卫生行政部门委托对本辖区各级各类医疗保健机构开展的妇幼卫生服务进行检查、考核与评价；负责指导和开展本辖区的妇幼保健健康教育与健康促进工作；组织实施本辖区母婴保健技术培训，对基层医疗保健机构开展业务指导，并提供技术支持；负责本辖区孕产妇死亡、婴儿及5岁以下儿童死亡、出生缺陷监测、妇幼卫生服务及技术管理等信息的收集、统计、分析、质量控制和汇总上报</w:t>
      </w:r>
      <w:r>
        <w:rPr>
          <w:rFonts w:hint="eastAsia" w:ascii="仿宋_GB2312" w:hAnsi="仿宋_GB2312" w:eastAsia="仿宋_GB2312" w:cs="仿宋_GB2312"/>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开展妇女保健服务，包括青春期保健、更年期保健、老年期保健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妇女常见疾病诊治、计划生育技术服务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重点加强心理卫生咨询、营养指导、生殖道感染/性传播疾病等妇女常见病防治</w:t>
      </w:r>
      <w:r>
        <w:rPr>
          <w:rFonts w:hint="eastAsia" w:ascii="仿宋_GB2312" w:hAnsi="仿宋_GB2312" w:eastAsia="仿宋_GB2312" w:cs="仿宋_GB2312"/>
          <w:sz w:val="32"/>
          <w:szCs w:val="32"/>
          <w:highlight w:val="none"/>
          <w:lang w:eastAsia="zh-CN"/>
        </w:rPr>
        <w:t>；开展孕产保健服务，包括</w:t>
      </w:r>
      <w:r>
        <w:rPr>
          <w:rFonts w:hint="eastAsia" w:ascii="仿宋_GB2312" w:hAnsi="仿宋_GB2312" w:eastAsia="仿宋_GB2312" w:cs="仿宋_GB2312"/>
          <w:sz w:val="32"/>
          <w:szCs w:val="32"/>
          <w:highlight w:val="none"/>
        </w:rPr>
        <w:t>婚前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孕前保健、孕产期保健</w:t>
      </w:r>
      <w:r>
        <w:rPr>
          <w:rFonts w:hint="eastAsia" w:ascii="仿宋_GB2312" w:hAnsi="仿宋_GB2312" w:eastAsia="仿宋_GB2312" w:cs="仿宋_GB2312"/>
          <w:sz w:val="32"/>
          <w:szCs w:val="32"/>
          <w:highlight w:val="none"/>
          <w:lang w:eastAsia="zh-CN"/>
        </w:rPr>
        <w:t>和产后保健，重点加强和提高产前筛查、产科危重症救治水平，确保母婴生命安全和不断提高出生人口质量；</w:t>
      </w:r>
      <w:r>
        <w:rPr>
          <w:rFonts w:hint="eastAsia" w:ascii="仿宋_GB2312" w:hAnsi="仿宋_GB2312" w:eastAsia="仿宋_GB2312" w:cs="仿宋_GB2312"/>
          <w:sz w:val="32"/>
          <w:szCs w:val="32"/>
          <w:highlight w:val="none"/>
        </w:rPr>
        <w:t>开展儿童保健服务，包括胎儿期、新生儿期、婴幼儿期、学龄前期及学龄期保健，重点加强儿童早期综合发展、营养与喂养指导、生长发育监测、心理行为咨询、儿童疾病综合管理</w:t>
      </w:r>
      <w:r>
        <w:rPr>
          <w:rFonts w:hint="eastAsia" w:ascii="仿宋_GB2312" w:hAnsi="仿宋_GB2312" w:eastAsia="仿宋_GB2312" w:cs="仿宋_GB2312"/>
          <w:sz w:val="32"/>
          <w:szCs w:val="32"/>
          <w:highlight w:val="none"/>
          <w:lang w:eastAsia="zh-CN"/>
        </w:rPr>
        <w:t>、新生儿危重症抢救和治疗</w:t>
      </w:r>
      <w:r>
        <w:rPr>
          <w:rFonts w:hint="eastAsia" w:ascii="仿宋_GB2312" w:hAnsi="仿宋_GB2312" w:eastAsia="仿宋_GB2312" w:cs="仿宋_GB2312"/>
          <w:sz w:val="32"/>
          <w:szCs w:val="32"/>
          <w:highlight w:val="none"/>
        </w:rPr>
        <w:t>等儿童保健服务； 受卫生行政部门委托对托幼园所卫生保健进行管理和业务指导。开展妇幼卫生、生殖健康的应用性科学研究并组织推广适宜技术。</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sz w:val="32"/>
          <w:szCs w:val="32"/>
          <w:highlight w:val="none"/>
          <w:lang w:eastAsia="zh-CN"/>
        </w:rPr>
        <w:t>取得的主要事业成效：</w:t>
      </w:r>
      <w:r>
        <w:rPr>
          <w:rFonts w:hint="eastAsia" w:ascii="仿宋_GB2312" w:hAnsi="仿宋_GB2312" w:eastAsia="仿宋_GB2312" w:cs="仿宋_GB2312"/>
          <w:sz w:val="32"/>
          <w:szCs w:val="32"/>
          <w:highlight w:val="none"/>
          <w:lang w:val="en-US" w:eastAsia="zh-CN"/>
        </w:rPr>
        <w:t>2019年，全市有产妇6107人，活产数6178人，孕早检率86.35%，孕产妇系统管理率83.51%，住院分娩率100%，高危孕产妇管理率100%，无孕产妇死亡；5岁以下死亡儿童有47人，死亡率7.61‰，婴儿死亡37人，婴儿死亡率为5.99‰，新生儿死亡28人，新生儿死亡率为4.53‰，新生儿访视率为97.65%，新生儿遗传代谢性疾病筛查率90.79%，新生儿听力筛查率98.26%；婚前医学检查率41.92%，适龄妇女开展免费乳腺癌筛查12475人，宫颈癌筛查11577人，妇女病普查800人，国家免费孕前优生健康检查2479对；农村妇女孕前3个月至孕早期3个月叶酸服用3690人，出生缺陷发生率78.68/万，儿童营养改善项目营养包发放率56.66%，有效服用率90.15%。全面完成上级下达各项工作任务指标。</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eastAsia="Times New Roman"/>
          <w:sz w:val="32"/>
          <w:szCs w:val="32"/>
        </w:rPr>
      </w:pPr>
      <w:r>
        <w:rPr>
          <w:rFonts w:hint="eastAsia" w:ascii="黑体" w:hAnsi="黑体" w:eastAsia="黑体"/>
          <w:sz w:val="32"/>
          <w:szCs w:val="32"/>
        </w:rPr>
        <w:t>二、部门基本情况</w:t>
      </w:r>
    </w:p>
    <w:p>
      <w:pPr>
        <w:keepNext w:val="0"/>
        <w:keepLines w:val="0"/>
        <w:pageBreakBefore w:val="0"/>
        <w:widowControl/>
        <w:kinsoku/>
        <w:wordWrap/>
        <w:overflowPunct/>
        <w:topLinePunct w:val="0"/>
        <w:autoSpaceDE/>
        <w:autoSpaceDN/>
        <w:bidi w:val="0"/>
        <w:adjustRightInd/>
        <w:snapToGrid/>
        <w:spacing w:line="540" w:lineRule="exact"/>
        <w:ind w:firstLine="6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（一）部门决算单位构成</w:t>
      </w:r>
    </w:p>
    <w:p>
      <w:pPr>
        <w:keepNext w:val="0"/>
        <w:keepLines w:val="0"/>
        <w:pageBreakBefore w:val="0"/>
        <w:widowControl/>
        <w:kinsoku/>
        <w:wordWrap/>
        <w:overflowPunct/>
        <w:topLinePunct w:val="0"/>
        <w:autoSpaceDE/>
        <w:autoSpaceDN/>
        <w:bidi w:val="0"/>
        <w:adjustRightInd/>
        <w:snapToGrid/>
        <w:spacing w:line="540" w:lineRule="exact"/>
        <w:ind w:firstLine="601"/>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纳入芒市妇幼保健计划生育服务中心2019年度部门决算编报的单位共1个。其中：行政单位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sz w:val="32"/>
          <w:szCs w:val="32"/>
        </w:rPr>
        <w:t>个，参照公务员法管理的事业单位</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个，其他事业单位</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个。</w:t>
      </w:r>
    </w:p>
    <w:p>
      <w:pPr>
        <w:keepNext w:val="0"/>
        <w:keepLines w:val="0"/>
        <w:pageBreakBefore w:val="0"/>
        <w:widowControl/>
        <w:kinsoku/>
        <w:wordWrap/>
        <w:overflowPunct/>
        <w:topLinePunct w:val="0"/>
        <w:autoSpaceDE/>
        <w:autoSpaceDN/>
        <w:bidi w:val="0"/>
        <w:adjustRightInd/>
        <w:snapToGrid/>
        <w:spacing w:line="540" w:lineRule="exact"/>
        <w:ind w:firstLine="6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 xml:space="preserve">（二）部门人员和车辆的编制及实有情况 </w:t>
      </w:r>
    </w:p>
    <w:p>
      <w:pPr>
        <w:keepNext w:val="0"/>
        <w:keepLines w:val="0"/>
        <w:pageBreakBefore w:val="0"/>
        <w:widowControl/>
        <w:kinsoku/>
        <w:wordWrap/>
        <w:overflowPunct/>
        <w:topLinePunct w:val="0"/>
        <w:autoSpaceDE/>
        <w:autoSpaceDN/>
        <w:bidi w:val="0"/>
        <w:adjustRightInd/>
        <w:snapToGrid/>
        <w:spacing w:line="540" w:lineRule="exact"/>
        <w:ind w:firstLine="600"/>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sz w:val="32"/>
          <w:szCs w:val="32"/>
          <w:lang w:eastAsia="zh-CN"/>
        </w:rPr>
        <w:t>芒市妇幼保健计划生育服务中心</w:t>
      </w:r>
      <w:r>
        <w:rPr>
          <w:rFonts w:hint="eastAsia" w:ascii="仿宋_GB2312" w:hAnsi="仿宋_GB2312" w:eastAsia="仿宋_GB2312" w:cs="仿宋_GB2312"/>
          <w:color w:val="auto"/>
          <w:sz w:val="32"/>
          <w:szCs w:val="32"/>
        </w:rPr>
        <w:t>2019年末实有人员编制</w:t>
      </w:r>
      <w:r>
        <w:rPr>
          <w:rFonts w:hint="eastAsia" w:ascii="仿宋_GB2312" w:hAnsi="仿宋_GB2312" w:eastAsia="仿宋_GB2312" w:cs="仿宋_GB2312"/>
          <w:color w:val="auto"/>
          <w:sz w:val="32"/>
          <w:szCs w:val="32"/>
          <w:lang w:val="en-US" w:eastAsia="zh-CN"/>
        </w:rPr>
        <w:t>103</w:t>
      </w:r>
      <w:r>
        <w:rPr>
          <w:rFonts w:hint="eastAsia" w:ascii="仿宋_GB2312" w:hAnsi="仿宋_GB2312" w:eastAsia="仿宋_GB2312" w:cs="仿宋_GB2312"/>
          <w:color w:val="auto"/>
          <w:kern w:val="0"/>
          <w:sz w:val="32"/>
          <w:szCs w:val="32"/>
        </w:rPr>
        <w:t>人。其中：行政编制</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人（含行政工勤编制</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人），事业编制</w:t>
      </w:r>
      <w:r>
        <w:rPr>
          <w:rFonts w:hint="eastAsia" w:ascii="仿宋_GB2312" w:hAnsi="仿宋_GB2312" w:eastAsia="仿宋_GB2312" w:cs="仿宋_GB2312"/>
          <w:color w:val="auto"/>
          <w:kern w:val="0"/>
          <w:sz w:val="32"/>
          <w:szCs w:val="32"/>
          <w:lang w:val="en-US" w:eastAsia="zh-CN"/>
        </w:rPr>
        <w:t>103</w:t>
      </w:r>
      <w:r>
        <w:rPr>
          <w:rFonts w:hint="eastAsia" w:ascii="仿宋_GB2312" w:hAnsi="仿宋_GB2312" w:eastAsia="仿宋_GB2312" w:cs="仿宋_GB2312"/>
          <w:color w:val="auto"/>
          <w:kern w:val="0"/>
          <w:sz w:val="32"/>
          <w:szCs w:val="32"/>
        </w:rPr>
        <w:t>人（含参公管理事业编制</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人）；在职在编实有行政人员</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0"/>
          <w:sz w:val="32"/>
          <w:szCs w:val="32"/>
        </w:rPr>
        <w:t>人（含行政工勤人员</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人），事业人员</w:t>
      </w: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kern w:val="0"/>
          <w:sz w:val="32"/>
          <w:szCs w:val="32"/>
        </w:rPr>
        <w:t>人（含参公管理事业人员</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0"/>
          <w:sz w:val="32"/>
          <w:szCs w:val="32"/>
        </w:rPr>
        <w:t>人），其他人员</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0"/>
          <w:sz w:val="32"/>
          <w:szCs w:val="32"/>
        </w:rPr>
        <w:t>人</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40" w:lineRule="exact"/>
        <w:ind w:firstLine="6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离退休人员</w:t>
      </w:r>
      <w:r>
        <w:rPr>
          <w:rFonts w:hint="eastAsia" w:ascii="仿宋_GB2312" w:hAnsi="仿宋_GB2312" w:eastAsia="仿宋_GB2312" w:cs="仿宋_GB2312"/>
          <w:color w:val="auto"/>
          <w:kern w:val="0"/>
          <w:sz w:val="32"/>
          <w:szCs w:val="32"/>
          <w:lang w:val="en-US" w:eastAsia="zh-CN"/>
        </w:rPr>
        <w:t>32</w:t>
      </w:r>
      <w:r>
        <w:rPr>
          <w:rFonts w:hint="eastAsia" w:ascii="仿宋_GB2312" w:hAnsi="仿宋_GB2312" w:eastAsia="仿宋_GB2312" w:cs="仿宋_GB2312"/>
          <w:color w:val="auto"/>
          <w:kern w:val="0"/>
          <w:sz w:val="32"/>
          <w:szCs w:val="32"/>
        </w:rPr>
        <w:t>人。其中：离休</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0"/>
          <w:sz w:val="32"/>
          <w:szCs w:val="32"/>
        </w:rPr>
        <w:t>人，退休</w:t>
      </w:r>
      <w:r>
        <w:rPr>
          <w:rFonts w:hint="eastAsia" w:ascii="仿宋_GB2312" w:hAnsi="仿宋_GB2312" w:eastAsia="仿宋_GB2312" w:cs="仿宋_GB2312"/>
          <w:color w:val="auto"/>
          <w:kern w:val="0"/>
          <w:sz w:val="32"/>
          <w:szCs w:val="32"/>
          <w:lang w:val="en-US" w:eastAsia="zh-CN"/>
        </w:rPr>
        <w:t>32</w:t>
      </w:r>
      <w:r>
        <w:rPr>
          <w:rFonts w:hint="eastAsia" w:ascii="仿宋_GB2312" w:hAnsi="仿宋_GB2312" w:eastAsia="仿宋_GB2312" w:cs="仿宋_GB2312"/>
          <w:color w:val="auto"/>
          <w:kern w:val="0"/>
          <w:sz w:val="32"/>
          <w:szCs w:val="32"/>
        </w:rPr>
        <w:t>人。</w:t>
      </w:r>
      <w:r>
        <w:rPr>
          <w:rFonts w:hint="eastAsia" w:ascii="仿宋_GB2312" w:hAnsi="仿宋_GB2312" w:eastAsia="仿宋_GB2312" w:cs="仿宋_GB2312"/>
          <w:color w:val="auto"/>
          <w:kern w:val="0"/>
          <w:sz w:val="32"/>
          <w:szCs w:val="32"/>
          <w:lang w:val="en-US" w:eastAsia="zh-CN"/>
        </w:rPr>
        <w:t>2018年年末实有34人与2019年相比减少2人，原因：死亡2人。</w:t>
      </w:r>
    </w:p>
    <w:p>
      <w:pPr>
        <w:keepNext w:val="0"/>
        <w:keepLines w:val="0"/>
        <w:pageBreakBefore w:val="0"/>
        <w:widowControl/>
        <w:kinsoku/>
        <w:wordWrap/>
        <w:overflowPunct/>
        <w:topLinePunct w:val="0"/>
        <w:autoSpaceDE/>
        <w:autoSpaceDN/>
        <w:bidi w:val="0"/>
        <w:adjustRightInd/>
        <w:snapToGrid/>
        <w:spacing w:line="540" w:lineRule="exact"/>
        <w:ind w:firstLine="600"/>
        <w:textAlignment w:val="auto"/>
        <w:rPr>
          <w:rFonts w:hint="default" w:eastAsia="Times New Roman"/>
          <w:color w:val="auto"/>
          <w:kern w:val="0"/>
          <w:sz w:val="32"/>
          <w:szCs w:val="32"/>
        </w:rPr>
      </w:pPr>
      <w:r>
        <w:rPr>
          <w:rFonts w:hint="default" w:eastAsia="仿宋"/>
          <w:color w:val="auto"/>
          <w:kern w:val="0"/>
          <w:sz w:val="32"/>
          <w:szCs w:val="32"/>
          <w:lang w:val="en-US" w:eastAsia="zh-CN"/>
        </w:rPr>
        <w:drawing>
          <wp:anchor distT="0" distB="0" distL="114300" distR="114300" simplePos="0" relativeHeight="251664384" behindDoc="1" locked="0" layoutInCell="1" allowOverlap="1">
            <wp:simplePos x="0" y="0"/>
            <wp:positionH relativeFrom="column">
              <wp:posOffset>-14605</wp:posOffset>
            </wp:positionH>
            <wp:positionV relativeFrom="paragraph">
              <wp:posOffset>212725</wp:posOffset>
            </wp:positionV>
            <wp:extent cx="5575935" cy="2096135"/>
            <wp:effectExtent l="4445" t="5080" r="20320" b="70485"/>
            <wp:wrapTight wrapText="bothSides">
              <wp:wrapPolygon>
                <wp:start x="-17" y="-52"/>
                <wp:lineTo x="-17" y="21541"/>
                <wp:lineTo x="21531" y="21541"/>
                <wp:lineTo x="21531" y="-52"/>
                <wp:lineTo x="-17" y="-52"/>
              </wp:wrapPolygon>
            </wp:wrapTight>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仿宋" w:hAnsi="仿宋" w:eastAsia="仿宋"/>
          <w:color w:val="auto"/>
          <w:kern w:val="0"/>
          <w:sz w:val="32"/>
          <w:szCs w:val="32"/>
        </w:rPr>
        <w:t>实有车辆编制</w:t>
      </w:r>
      <w:r>
        <w:rPr>
          <w:rFonts w:hint="eastAsia" w:ascii="仿宋" w:hAnsi="仿宋" w:eastAsia="仿宋"/>
          <w:color w:val="auto"/>
          <w:kern w:val="0"/>
          <w:sz w:val="32"/>
          <w:szCs w:val="32"/>
          <w:lang w:val="en-US" w:eastAsia="zh-CN"/>
        </w:rPr>
        <w:t>5</w:t>
      </w:r>
      <w:r>
        <w:rPr>
          <w:rFonts w:hint="eastAsia" w:ascii="仿宋" w:hAnsi="仿宋" w:eastAsia="仿宋"/>
          <w:color w:val="auto"/>
          <w:kern w:val="0"/>
          <w:sz w:val="32"/>
          <w:szCs w:val="32"/>
        </w:rPr>
        <w:t>辆，在编实有车辆</w:t>
      </w:r>
      <w:r>
        <w:rPr>
          <w:rFonts w:hint="eastAsia" w:ascii="仿宋" w:hAnsi="仿宋" w:eastAsia="仿宋"/>
          <w:color w:val="auto"/>
          <w:sz w:val="32"/>
          <w:szCs w:val="32"/>
        </w:rPr>
        <w:t>5</w:t>
      </w:r>
      <w:r>
        <w:rPr>
          <w:rFonts w:hint="eastAsia" w:ascii="仿宋" w:hAnsi="仿宋" w:eastAsia="仿宋"/>
          <w:color w:val="auto"/>
          <w:kern w:val="0"/>
          <w:sz w:val="32"/>
          <w:szCs w:val="32"/>
        </w:rPr>
        <w:t>辆。</w:t>
      </w:r>
    </w:p>
    <w:p>
      <w:pPr>
        <w:keepNext w:val="0"/>
        <w:keepLines w:val="0"/>
        <w:pageBreakBefore w:val="0"/>
        <w:kinsoku/>
        <w:wordWrap/>
        <w:overflowPunct/>
        <w:topLinePunct w:val="0"/>
        <w:autoSpaceDE/>
        <w:autoSpaceDN/>
        <w:bidi w:val="0"/>
        <w:adjustRightInd/>
        <w:snapToGrid/>
        <w:spacing w:line="540" w:lineRule="exact"/>
        <w:jc w:val="left"/>
        <w:textAlignment w:val="auto"/>
        <w:rPr>
          <w:rFonts w:hint="eastAsia" w:ascii="仿宋" w:hAnsi="仿宋" w:eastAsia="仿宋"/>
          <w:color w:val="auto"/>
          <w:sz w:val="30"/>
        </w:rPr>
      </w:pPr>
      <w:r>
        <w:rPr>
          <w:rFonts w:hint="eastAsia" w:ascii="黑体" w:hAnsi="黑体" w:eastAsia="黑体"/>
          <w:color w:val="auto"/>
          <w:sz w:val="32"/>
        </w:rPr>
        <w:t>第二部分  2019年度部门决算表</w:t>
      </w:r>
      <w:r>
        <w:rPr>
          <w:rFonts w:hint="eastAsia" w:ascii="仿宋" w:hAnsi="仿宋" w:eastAsia="仿宋"/>
          <w:color w:val="auto"/>
          <w:sz w:val="30"/>
        </w:rPr>
        <w:t>（详见附件）</w:t>
      </w:r>
    </w:p>
    <w:p>
      <w:pPr>
        <w:keepNext w:val="0"/>
        <w:keepLines w:val="0"/>
        <w:pageBreakBefore w:val="0"/>
        <w:kinsoku/>
        <w:wordWrap/>
        <w:overflowPunct/>
        <w:topLinePunct w:val="0"/>
        <w:autoSpaceDE/>
        <w:autoSpaceDN/>
        <w:bidi w:val="0"/>
        <w:adjustRightInd/>
        <w:snapToGrid/>
        <w:spacing w:line="540" w:lineRule="exact"/>
        <w:jc w:val="both"/>
        <w:textAlignment w:val="auto"/>
        <w:rPr>
          <w:rFonts w:hint="default" w:eastAsia="Times New Roman"/>
          <w:color w:val="auto"/>
          <w:sz w:val="32"/>
        </w:rPr>
      </w:pPr>
      <w:r>
        <w:rPr>
          <w:rFonts w:hint="eastAsia" w:ascii="黑体" w:hAnsi="黑体" w:eastAsia="黑体"/>
          <w:color w:val="auto"/>
          <w:sz w:val="32"/>
        </w:rPr>
        <w:t>第三部分  2019年度部门决算情况说明</w:t>
      </w:r>
    </w:p>
    <w:p>
      <w:pPr>
        <w:keepNext w:val="0"/>
        <w:keepLines w:val="0"/>
        <w:pageBreakBefore w:val="0"/>
        <w:kinsoku/>
        <w:wordWrap/>
        <w:overflowPunct/>
        <w:topLinePunct w:val="0"/>
        <w:autoSpaceDE/>
        <w:autoSpaceDN/>
        <w:bidi w:val="0"/>
        <w:adjustRightInd/>
        <w:snapToGrid/>
        <w:spacing w:line="540" w:lineRule="exact"/>
        <w:ind w:firstLine="600"/>
        <w:jc w:val="left"/>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一、收入决算情况说明</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color w:val="auto"/>
          <w:sz w:val="32"/>
          <w:szCs w:val="32"/>
        </w:rPr>
        <w:t>芒市妇幼保健计划生育服务中心2019年度收入合计5,875.6万元。其中：财政拨款收入2,071.49万元，占总收入的35.26%；上级补助收入0万元，占总收入的0%；事业收入3,514.95万元，占总收入的59.82%；经营收入0万元，占总收入的0%；附属单位缴款收入0万元，占总收入的0%；其他收入289.16万元，占总收入的4.92%。与上年</w:t>
      </w:r>
      <w:r>
        <w:rPr>
          <w:rFonts w:hint="eastAsia" w:ascii="仿宋_GB2312" w:hAnsi="仿宋_GB2312" w:eastAsia="仿宋_GB2312" w:cs="仿宋_GB2312"/>
          <w:color w:val="auto"/>
          <w:sz w:val="32"/>
          <w:szCs w:val="32"/>
          <w:lang w:val="en-US" w:eastAsia="zh-CN"/>
        </w:rPr>
        <w:t>5093.23万元，</w:t>
      </w:r>
      <w:r>
        <w:rPr>
          <w:rFonts w:hint="eastAsia" w:ascii="仿宋_GB2312" w:hAnsi="仿宋_GB2312" w:eastAsia="仿宋_GB2312" w:cs="仿宋_GB2312"/>
          <w:color w:val="auto"/>
          <w:sz w:val="32"/>
          <w:szCs w:val="32"/>
        </w:rPr>
        <w:t>对比</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782.37万元，</w:t>
      </w:r>
      <w:r>
        <w:rPr>
          <w:rFonts w:hint="eastAsia" w:ascii="仿宋_GB2312" w:hAnsi="仿宋_GB2312" w:eastAsia="仿宋_GB2312" w:cs="仿宋_GB2312"/>
          <w:color w:val="auto"/>
          <w:sz w:val="32"/>
          <w:szCs w:val="32"/>
        </w:rPr>
        <w:t>其中：财政拨款收入2,071.49万元</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460.80万元，增长28.61%，主要原因是：项目支出基本建设（迁建项目）补助支出拨款增加</w:t>
      </w:r>
      <w:r>
        <w:rPr>
          <w:rFonts w:hint="eastAsia" w:ascii="仿宋_GB2312" w:hAnsi="仿宋_GB2312" w:eastAsia="仿宋_GB2312" w:cs="仿宋_GB2312"/>
          <w:color w:val="auto"/>
          <w:sz w:val="32"/>
          <w:szCs w:val="32"/>
        </w:rPr>
        <w:t>；事业收入3,514.95万元，</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34.73万元，增长1.00%，主要原因是：开展医疗服务业务</w:t>
      </w:r>
      <w:r>
        <w:rPr>
          <w:rFonts w:hint="eastAsia" w:ascii="仿宋_GB2312" w:hAnsi="仿宋_GB2312" w:eastAsia="仿宋_GB2312" w:cs="仿宋_GB2312"/>
          <w:color w:val="auto"/>
          <w:sz w:val="32"/>
          <w:szCs w:val="32"/>
        </w:rPr>
        <w:t>收入</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其他收入</w:t>
      </w:r>
      <w:r>
        <w:rPr>
          <w:rFonts w:hint="eastAsia" w:ascii="仿宋_GB2312" w:hAnsi="仿宋_GB2312" w:eastAsia="仿宋_GB2312" w:cs="仿宋_GB2312"/>
          <w:color w:val="auto"/>
          <w:sz w:val="32"/>
          <w:szCs w:val="32"/>
        </w:rPr>
        <w:t>289.16万元，</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286.84万元，增长12363.79%，原因是：其他资金拨款社会组织大地薪芽母婴健康关爱项目</w:t>
      </w:r>
      <w:r>
        <w:rPr>
          <w:rFonts w:hint="eastAsia" w:ascii="仿宋_GB2312" w:hAnsi="仿宋_GB2312" w:eastAsia="仿宋_GB2312" w:cs="仿宋_GB2312"/>
          <w:color w:val="auto"/>
          <w:sz w:val="32"/>
          <w:szCs w:val="32"/>
        </w:rPr>
        <w:t>收入</w:t>
      </w:r>
      <w:r>
        <w:rPr>
          <w:rFonts w:hint="eastAsia" w:ascii="仿宋_GB2312" w:hAnsi="仿宋_GB2312" w:eastAsia="仿宋_GB2312" w:cs="仿宋_GB2312"/>
          <w:color w:val="auto"/>
          <w:sz w:val="32"/>
          <w:szCs w:val="32"/>
          <w:lang w:eastAsia="zh-CN"/>
        </w:rPr>
        <w:t>增加。</w:t>
      </w:r>
    </w:p>
    <w:p>
      <w:pPr>
        <w:numPr>
          <w:ilvl w:val="0"/>
          <w:numId w:val="0"/>
        </w:numPr>
        <w:jc w:val="center"/>
        <w:rPr>
          <w:rFonts w:hint="default"/>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4189095</wp:posOffset>
                </wp:positionH>
                <wp:positionV relativeFrom="paragraph">
                  <wp:posOffset>241935</wp:posOffset>
                </wp:positionV>
                <wp:extent cx="924560" cy="276225"/>
                <wp:effectExtent l="0" t="0" r="8890" b="9525"/>
                <wp:wrapNone/>
                <wp:docPr id="20" name="文本框 20"/>
                <wp:cNvGraphicFramePr/>
                <a:graphic xmlns:a="http://schemas.openxmlformats.org/drawingml/2006/main">
                  <a:graphicData uri="http://schemas.microsoft.com/office/word/2010/wordprocessingShape">
                    <wps:wsp>
                      <wps:cNvSpPr txBox="1"/>
                      <wps:spPr>
                        <a:xfrm>
                          <a:off x="5290185" y="1496695"/>
                          <a:ext cx="924560" cy="2762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18"/>
                                <w:szCs w:val="18"/>
                                <w:lang w:val="en-US" w:eastAsia="zh-CN"/>
                              </w:rPr>
                            </w:pPr>
                            <w:r>
                              <w:rPr>
                                <w:rFonts w:hint="eastAsia"/>
                                <w:sz w:val="18"/>
                                <w:szCs w:val="18"/>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9.85pt;margin-top:19.05pt;height:21.75pt;width:72.8pt;z-index:251662336;mso-width-relative:page;mso-height-relative:page;" fillcolor="#FFFFFF [3201]" filled="t" stroked="f" coordsize="21600,21600" o:gfxdata="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vaH3W&#10;1QAAAAkBAAAPAAAAAAAAAAEAIAAAACIAAABkcnMvZG93bnJldi54bWxQSwECFAAUAAAACACHTuJA&#10;0ze4YV0CAACcBAAADgAAAAAAAAABACAAAAAkAQAAZHJzL2Uyb0RvYy54bWxQSwUGAAAAAAYABgBZ&#10;AQAA8wUAAAAA&#10;">
                <v:fill on="t" focussize="0,0"/>
                <v:stroke on="f" weight="0.5pt"/>
                <v:imagedata o:title=""/>
                <o:lock v:ext="edit" aspectratio="f"/>
                <v:textbox>
                  <w:txbxContent>
                    <w:p>
                      <w:pPr>
                        <w:rPr>
                          <w:rFonts w:hint="default" w:eastAsiaTheme="minorEastAsia"/>
                          <w:sz w:val="18"/>
                          <w:szCs w:val="18"/>
                          <w:lang w:val="en-US" w:eastAsia="zh-CN"/>
                        </w:rPr>
                      </w:pPr>
                      <w:r>
                        <w:rPr>
                          <w:rFonts w:hint="eastAsia"/>
                          <w:sz w:val="18"/>
                          <w:szCs w:val="18"/>
                          <w:lang w:val="en-US" w:eastAsia="zh-CN"/>
                        </w:rPr>
                        <w:t>单位：万元</w:t>
                      </w:r>
                    </w:p>
                  </w:txbxContent>
                </v:textbox>
              </v:shape>
            </w:pict>
          </mc:Fallback>
        </mc:AlternateContent>
      </w:r>
      <w:r>
        <w:drawing>
          <wp:inline distT="0" distB="0" distL="114300" distR="114300">
            <wp:extent cx="5504180" cy="2562225"/>
            <wp:effectExtent l="4445" t="4445" r="15875" b="508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numPr>
          <w:ilvl w:val="0"/>
          <w:numId w:val="0"/>
        </w:numPr>
        <w:jc w:val="center"/>
        <w:rPr>
          <w:rFonts w:hint="default"/>
          <w:lang w:val="en-US" w:eastAsia="zh-CN"/>
        </w:rPr>
      </w:pPr>
    </w:p>
    <w:p>
      <w:pPr>
        <w:numPr>
          <w:ilvl w:val="0"/>
          <w:numId w:val="0"/>
        </w:numPr>
        <w:jc w:val="center"/>
        <w:rPr>
          <w:rFonts w:hint="default"/>
          <w:lang w:val="en-US" w:eastAsia="zh-CN"/>
        </w:rPr>
      </w:pPr>
      <w:r>
        <w:drawing>
          <wp:inline distT="0" distB="0" distL="114300" distR="114300">
            <wp:extent cx="5723890" cy="2971800"/>
            <wp:effectExtent l="4445" t="4445" r="5715"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00"/>
        <w:jc w:val="left"/>
        <w:rPr>
          <w:rFonts w:hint="default" w:eastAsia="Times New Roman"/>
          <w:color w:val="auto"/>
          <w:sz w:val="30"/>
        </w:rPr>
      </w:pPr>
      <w:r>
        <w:rPr>
          <w:rFonts w:hint="eastAsia" w:ascii="黑体" w:hAnsi="黑体" w:eastAsia="黑体"/>
          <w:color w:val="auto"/>
          <w:sz w:val="30"/>
        </w:rPr>
        <w:t>二、支出决算情况说明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auto"/>
          <w:sz w:val="32"/>
          <w:szCs w:val="32"/>
          <w:lang w:eastAsia="zh-CN"/>
        </w:rPr>
        <w:t>芒市妇幼保健计划生育服务中心</w:t>
      </w:r>
      <w:r>
        <w:rPr>
          <w:rFonts w:hint="eastAsia" w:ascii="仿宋_GB2312" w:hAnsi="仿宋_GB2312" w:eastAsia="仿宋_GB2312" w:cs="仿宋_GB2312"/>
          <w:color w:val="auto"/>
          <w:sz w:val="32"/>
          <w:szCs w:val="32"/>
        </w:rPr>
        <w:t>2019年度支出合计5,241.1万元。其中：</w:t>
      </w:r>
      <w:r>
        <w:rPr>
          <w:rFonts w:hint="eastAsia" w:ascii="仿宋_GB2312" w:hAnsi="仿宋_GB2312" w:eastAsia="仿宋_GB2312" w:cs="仿宋_GB2312"/>
          <w:color w:val="auto"/>
          <w:kern w:val="0"/>
          <w:sz w:val="32"/>
          <w:szCs w:val="32"/>
        </w:rPr>
        <w:t>基本支出</w:t>
      </w:r>
      <w:r>
        <w:rPr>
          <w:rFonts w:hint="eastAsia" w:ascii="仿宋_GB2312" w:hAnsi="仿宋_GB2312" w:eastAsia="仿宋_GB2312" w:cs="仿宋_GB2312"/>
          <w:color w:val="auto"/>
          <w:sz w:val="32"/>
          <w:szCs w:val="32"/>
        </w:rPr>
        <w:t>4,274.68万</w:t>
      </w:r>
      <w:r>
        <w:rPr>
          <w:rFonts w:hint="eastAsia" w:ascii="仿宋_GB2312" w:hAnsi="仿宋_GB2312" w:eastAsia="仿宋_GB2312" w:cs="仿宋_GB2312"/>
          <w:color w:val="auto"/>
          <w:kern w:val="0"/>
          <w:sz w:val="32"/>
          <w:szCs w:val="32"/>
        </w:rPr>
        <w:t>元，占总支出的</w:t>
      </w:r>
      <w:r>
        <w:rPr>
          <w:rFonts w:hint="eastAsia" w:ascii="仿宋_GB2312" w:hAnsi="仿宋_GB2312" w:eastAsia="仿宋_GB2312" w:cs="仿宋_GB2312"/>
          <w:color w:val="auto"/>
          <w:sz w:val="32"/>
          <w:szCs w:val="32"/>
        </w:rPr>
        <w:t>81.56%</w:t>
      </w:r>
      <w:r>
        <w:rPr>
          <w:rFonts w:hint="eastAsia" w:ascii="仿宋_GB2312" w:hAnsi="仿宋_GB2312" w:eastAsia="仿宋_GB2312" w:cs="仿宋_GB2312"/>
          <w:color w:val="auto"/>
          <w:kern w:val="0"/>
          <w:sz w:val="32"/>
          <w:szCs w:val="32"/>
        </w:rPr>
        <w:t>；项目支出</w:t>
      </w:r>
      <w:r>
        <w:rPr>
          <w:rFonts w:hint="eastAsia" w:ascii="仿宋_GB2312" w:hAnsi="仿宋_GB2312" w:eastAsia="仿宋_GB2312" w:cs="仿宋_GB2312"/>
          <w:color w:val="auto"/>
          <w:sz w:val="32"/>
          <w:szCs w:val="32"/>
        </w:rPr>
        <w:t>966.42万</w:t>
      </w:r>
      <w:r>
        <w:rPr>
          <w:rFonts w:hint="eastAsia" w:ascii="仿宋_GB2312" w:hAnsi="仿宋_GB2312" w:eastAsia="仿宋_GB2312" w:cs="仿宋_GB2312"/>
          <w:color w:val="auto"/>
          <w:kern w:val="0"/>
          <w:sz w:val="32"/>
          <w:szCs w:val="32"/>
        </w:rPr>
        <w:t>元，占总支出的</w:t>
      </w:r>
      <w:r>
        <w:rPr>
          <w:rFonts w:hint="eastAsia" w:ascii="仿宋_GB2312" w:hAnsi="仿宋_GB2312" w:eastAsia="仿宋_GB2312" w:cs="仿宋_GB2312"/>
          <w:color w:val="auto"/>
          <w:sz w:val="32"/>
          <w:szCs w:val="32"/>
        </w:rPr>
        <w:t>18.44%</w:t>
      </w:r>
      <w:r>
        <w:rPr>
          <w:rFonts w:hint="eastAsia" w:ascii="仿宋_GB2312" w:hAnsi="仿宋_GB2312" w:eastAsia="仿宋_GB2312" w:cs="仿宋_GB2312"/>
          <w:color w:val="auto"/>
          <w:kern w:val="0"/>
          <w:sz w:val="32"/>
          <w:szCs w:val="32"/>
        </w:rPr>
        <w:t>；上缴上级支出、经营支出、对附属单位补助支出共</w:t>
      </w:r>
      <w:r>
        <w:rPr>
          <w:rFonts w:hint="eastAsia" w:ascii="仿宋_GB2312" w:hAnsi="仿宋_GB2312" w:eastAsia="仿宋_GB2312" w:cs="仿宋_GB2312"/>
          <w:color w:val="auto"/>
          <w:sz w:val="32"/>
          <w:szCs w:val="32"/>
        </w:rPr>
        <w:t>0万</w:t>
      </w:r>
      <w:r>
        <w:rPr>
          <w:rFonts w:hint="eastAsia" w:ascii="仿宋_GB2312" w:hAnsi="仿宋_GB2312" w:eastAsia="仿宋_GB2312" w:cs="仿宋_GB2312"/>
          <w:color w:val="auto"/>
          <w:kern w:val="0"/>
          <w:sz w:val="32"/>
          <w:szCs w:val="32"/>
        </w:rPr>
        <w:t>元，占总支出的</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与上年</w:t>
      </w:r>
      <w:r>
        <w:rPr>
          <w:rFonts w:hint="eastAsia" w:ascii="仿宋_GB2312" w:hAnsi="仿宋_GB2312" w:eastAsia="仿宋_GB2312" w:cs="仿宋_GB2312"/>
          <w:color w:val="auto"/>
          <w:sz w:val="32"/>
          <w:szCs w:val="32"/>
          <w:lang w:val="en-US" w:eastAsia="zh-CN"/>
        </w:rPr>
        <w:t>5142.81万元，</w:t>
      </w:r>
      <w:r>
        <w:rPr>
          <w:rFonts w:hint="eastAsia" w:ascii="仿宋_GB2312" w:hAnsi="仿宋_GB2312" w:eastAsia="仿宋_GB2312" w:cs="仿宋_GB2312"/>
          <w:color w:val="auto"/>
          <w:sz w:val="32"/>
          <w:szCs w:val="32"/>
        </w:rPr>
        <w:t>对比</w:t>
      </w:r>
      <w:r>
        <w:rPr>
          <w:rFonts w:hint="eastAsia" w:ascii="仿宋_GB2312" w:hAnsi="仿宋_GB2312" w:eastAsia="仿宋_GB2312" w:cs="仿宋_GB2312"/>
          <w:color w:val="auto"/>
          <w:sz w:val="32"/>
          <w:szCs w:val="32"/>
          <w:lang w:eastAsia="zh-CN"/>
        </w:rPr>
        <w:t>增加</w:t>
      </w:r>
      <w:r>
        <w:rPr>
          <w:rFonts w:hint="eastAsia" w:ascii="仿宋_GB2312" w:hAnsi="仿宋_GB2312" w:eastAsia="仿宋_GB2312" w:cs="仿宋_GB2312"/>
          <w:color w:val="auto"/>
          <w:sz w:val="32"/>
          <w:szCs w:val="32"/>
          <w:lang w:val="en-US" w:eastAsia="zh-CN"/>
        </w:rPr>
        <w:t>98.29万元，增加1.91%，</w:t>
      </w:r>
      <w:r>
        <w:rPr>
          <w:rFonts w:hint="eastAsia" w:ascii="仿宋_GB2312" w:hAnsi="仿宋_GB2312" w:eastAsia="仿宋_GB2312" w:cs="仿宋_GB2312"/>
          <w:color w:val="auto"/>
          <w:kern w:val="0"/>
          <w:sz w:val="32"/>
          <w:szCs w:val="32"/>
          <w:lang w:eastAsia="zh-CN"/>
        </w:rPr>
        <w:t>主要原因</w:t>
      </w:r>
      <w:r>
        <w:rPr>
          <w:rFonts w:hint="eastAsia" w:ascii="仿宋_GB2312" w:hAnsi="仿宋_GB2312" w:eastAsia="仿宋_GB2312" w:cs="仿宋_GB2312"/>
          <w:color w:val="auto"/>
          <w:kern w:val="0"/>
          <w:sz w:val="32"/>
          <w:szCs w:val="32"/>
          <w:lang w:val="en-US" w:eastAsia="zh-CN"/>
        </w:rPr>
        <w:t>是：项目支出</w:t>
      </w:r>
      <w:r>
        <w:rPr>
          <w:rFonts w:hint="eastAsia" w:ascii="仿宋_GB2312" w:hAnsi="仿宋_GB2312" w:eastAsia="仿宋_GB2312" w:cs="仿宋_GB2312"/>
          <w:color w:val="auto"/>
          <w:sz w:val="32"/>
          <w:szCs w:val="32"/>
          <w:lang w:eastAsia="zh-CN"/>
        </w:rPr>
        <w:t>资本性支出（迁建项目）财政拨</w:t>
      </w:r>
      <w:r>
        <w:rPr>
          <w:rFonts w:hint="eastAsia" w:ascii="仿宋_GB2312" w:hAnsi="仿宋_GB2312" w:eastAsia="仿宋_GB2312" w:cs="仿宋_GB2312"/>
          <w:color w:val="auto"/>
          <w:sz w:val="32"/>
          <w:szCs w:val="32"/>
          <w:lang w:val="en-US" w:eastAsia="zh-CN"/>
        </w:rPr>
        <w:t>款</w:t>
      </w:r>
      <w:r>
        <w:rPr>
          <w:rFonts w:hint="eastAsia" w:ascii="仿宋_GB2312" w:hAnsi="仿宋_GB2312" w:eastAsia="仿宋_GB2312" w:cs="仿宋_GB2312"/>
          <w:color w:val="auto"/>
          <w:sz w:val="32"/>
          <w:szCs w:val="32"/>
          <w:lang w:eastAsia="zh-CN"/>
        </w:rPr>
        <w:t>支出增加。</w:t>
      </w:r>
    </w:p>
    <w:p>
      <w:pPr>
        <w:numPr>
          <w:ilvl w:val="0"/>
          <w:numId w:val="0"/>
        </w:numPr>
        <w:jc w:val="center"/>
        <w:rPr>
          <w:rFonts w:hint="default"/>
          <w:lang w:val="en-US" w:eastAsia="zh-CN"/>
        </w:rPr>
      </w:pPr>
      <w:r>
        <w:rPr>
          <w:rFonts w:hint="default"/>
          <w:lang w:val="en-US" w:eastAsia="zh-CN"/>
        </w:rPr>
        <w:drawing>
          <wp:inline distT="0" distB="0" distL="114300" distR="114300">
            <wp:extent cx="5556250" cy="2315845"/>
            <wp:effectExtent l="4445" t="4445" r="20955" b="2286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sz w:val="21"/>
        </w:rPr>
        <mc:AlternateContent>
          <mc:Choice Requires="wps">
            <w:drawing>
              <wp:anchor distT="0" distB="0" distL="114300" distR="114300" simplePos="0" relativeHeight="251663360" behindDoc="0" locked="0" layoutInCell="1" allowOverlap="1">
                <wp:simplePos x="0" y="0"/>
                <wp:positionH relativeFrom="column">
                  <wp:posOffset>4408170</wp:posOffset>
                </wp:positionH>
                <wp:positionV relativeFrom="paragraph">
                  <wp:posOffset>394335</wp:posOffset>
                </wp:positionV>
                <wp:extent cx="942975" cy="324485"/>
                <wp:effectExtent l="0" t="0" r="9525" b="18415"/>
                <wp:wrapNone/>
                <wp:docPr id="21" name="文本框 21"/>
                <wp:cNvGraphicFramePr/>
                <a:graphic xmlns:a="http://schemas.openxmlformats.org/drawingml/2006/main">
                  <a:graphicData uri="http://schemas.microsoft.com/office/word/2010/wordprocessingShape">
                    <wps:wsp>
                      <wps:cNvSpPr txBox="1"/>
                      <wps:spPr>
                        <a:xfrm>
                          <a:off x="5290185" y="1562100"/>
                          <a:ext cx="942975" cy="32448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21"/>
                                <w:szCs w:val="21"/>
                                <w:lang w:val="en-US" w:eastAsia="zh-CN"/>
                              </w:rPr>
                            </w:pPr>
                            <w:r>
                              <w:rPr>
                                <w:rFonts w:hint="eastAsia"/>
                                <w:sz w:val="21"/>
                                <w:szCs w:val="21"/>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1pt;margin-top:31.05pt;height:25.55pt;width:74.25pt;z-index:251663360;mso-width-relative:page;mso-height-relative:page;" fillcolor="#FFFFFF [3201]" filled="t" stroked="f" coordsize="21600,21600" o:gfxdata="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321U1NUA&#10;AAAKAQAADwAAAAAAAAABACAAAAAiAAAAZHJzL2Rvd25yZXYueG1sUEsBAhQAFAAAAAgAh07iQDCG&#10;65ZbAgAAnAQAAA4AAAAAAAAAAQAgAAAAJAEAAGRycy9lMm9Eb2MueG1sUEsFBgAAAAAGAAYAWQEA&#10;APEFAAAAAA==&#10;">
                <v:fill on="t" focussize="0,0"/>
                <v:stroke on="f" weight="0.5pt"/>
                <v:imagedata o:title=""/>
                <o:lock v:ext="edit" aspectratio="f"/>
                <v:textbox>
                  <w:txbxContent>
                    <w:p>
                      <w:pPr>
                        <w:rPr>
                          <w:rFonts w:hint="default" w:eastAsiaTheme="minorEastAsia"/>
                          <w:sz w:val="21"/>
                          <w:szCs w:val="21"/>
                          <w:lang w:val="en-US" w:eastAsia="zh-CN"/>
                        </w:rPr>
                      </w:pPr>
                      <w:r>
                        <w:rPr>
                          <w:rFonts w:hint="eastAsia"/>
                          <w:sz w:val="21"/>
                          <w:szCs w:val="21"/>
                          <w:lang w:val="en-US" w:eastAsia="zh-CN"/>
                        </w:rPr>
                        <w:t>单位：万元</w:t>
                      </w:r>
                    </w:p>
                  </w:txbxContent>
                </v:textbox>
              </v:shape>
            </w:pict>
          </mc:Fallback>
        </mc:AlternateContent>
      </w:r>
    </w:p>
    <w:p>
      <w:pPr>
        <w:numPr>
          <w:ilvl w:val="0"/>
          <w:numId w:val="0"/>
        </w:numPr>
        <w:jc w:val="center"/>
        <w:rPr>
          <w:rFonts w:hint="default"/>
          <w:lang w:val="en-US" w:eastAsia="zh-CN"/>
        </w:rPr>
      </w:pPr>
    </w:p>
    <w:p>
      <w:pPr>
        <w:numPr>
          <w:ilvl w:val="0"/>
          <w:numId w:val="0"/>
        </w:numPr>
        <w:jc w:val="center"/>
        <w:rPr>
          <w:rFonts w:hint="default"/>
          <w:sz w:val="32"/>
          <w:szCs w:val="32"/>
          <w:lang w:val="en-US" w:eastAsia="zh-CN"/>
        </w:rPr>
      </w:pPr>
      <w:r>
        <w:rPr>
          <w:rFonts w:hint="default"/>
          <w:lang w:val="en-US" w:eastAsia="zh-CN"/>
        </w:rPr>
        <w:drawing>
          <wp:inline distT="0" distB="0" distL="114300" distR="114300">
            <wp:extent cx="5622290" cy="2809875"/>
            <wp:effectExtent l="4445" t="4445" r="12065" b="508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before="100" w:after="100" w:line="600" w:lineRule="exact"/>
        <w:ind w:firstLine="600"/>
        <w:jc w:val="left"/>
        <w:rPr>
          <w:rFonts w:hint="default" w:eastAsia="Times New Roman"/>
          <w:color w:val="auto"/>
          <w:sz w:val="32"/>
          <w:szCs w:val="32"/>
        </w:rPr>
      </w:pPr>
      <w:r>
        <w:rPr>
          <w:rFonts w:hint="eastAsia" w:ascii="楷体" w:hAnsi="楷体" w:eastAsia="楷体"/>
          <w:color w:val="auto"/>
          <w:sz w:val="32"/>
          <w:szCs w:val="32"/>
        </w:rPr>
        <w:t>（一）基本支出情况</w:t>
      </w:r>
    </w:p>
    <w:p>
      <w:pPr>
        <w:spacing w:before="100" w:after="100" w:line="600" w:lineRule="exact"/>
        <w:ind w:firstLine="538"/>
        <w:jc w:val="left"/>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2019年度单位正常运转的日常支出4,274.68万元。与上年</w:t>
      </w:r>
      <w:r>
        <w:rPr>
          <w:rFonts w:hint="eastAsia" w:ascii="仿宋_GB2312" w:hAnsi="仿宋_GB2312" w:eastAsia="仿宋_GB2312" w:cs="仿宋_GB2312"/>
          <w:color w:val="auto"/>
          <w:sz w:val="32"/>
          <w:szCs w:val="32"/>
          <w:lang w:val="en-US" w:eastAsia="zh-CN"/>
        </w:rPr>
        <w:t>4630.49万元，</w:t>
      </w:r>
      <w:r>
        <w:rPr>
          <w:rFonts w:hint="eastAsia" w:ascii="仿宋_GB2312" w:hAnsi="仿宋_GB2312" w:eastAsia="仿宋_GB2312" w:cs="仿宋_GB2312"/>
          <w:color w:val="auto"/>
          <w:sz w:val="32"/>
          <w:szCs w:val="32"/>
        </w:rPr>
        <w:t>对比</w:t>
      </w:r>
      <w:r>
        <w:rPr>
          <w:rFonts w:hint="eastAsia" w:ascii="仿宋_GB2312" w:hAnsi="仿宋_GB2312" w:eastAsia="仿宋_GB2312" w:cs="仿宋_GB2312"/>
          <w:color w:val="auto"/>
          <w:sz w:val="32"/>
          <w:szCs w:val="32"/>
          <w:lang w:eastAsia="zh-CN"/>
        </w:rPr>
        <w:t>减少</w:t>
      </w:r>
      <w:r>
        <w:rPr>
          <w:rFonts w:hint="eastAsia" w:ascii="仿宋_GB2312" w:hAnsi="仿宋_GB2312" w:eastAsia="仿宋_GB2312" w:cs="仿宋_GB2312"/>
          <w:color w:val="auto"/>
          <w:sz w:val="32"/>
          <w:szCs w:val="32"/>
          <w:lang w:val="en-US" w:eastAsia="zh-CN"/>
        </w:rPr>
        <w:t>355.81万元，减少7.68%，主要原因是</w:t>
      </w:r>
      <w:r>
        <w:rPr>
          <w:rFonts w:hint="eastAsia" w:ascii="仿宋_GB2312" w:hAnsi="仿宋_GB2312" w:eastAsia="仿宋_GB2312" w:cs="仿宋_GB2312"/>
          <w:color w:val="auto"/>
          <w:kern w:val="0"/>
          <w:sz w:val="32"/>
          <w:szCs w:val="32"/>
          <w:lang w:eastAsia="zh-CN"/>
        </w:rPr>
        <w:t>单位资金周转困难，</w:t>
      </w:r>
      <w:r>
        <w:rPr>
          <w:rFonts w:hint="eastAsia" w:ascii="仿宋_GB2312" w:hAnsi="仿宋_GB2312" w:eastAsia="仿宋_GB2312" w:cs="仿宋_GB2312"/>
          <w:color w:val="auto"/>
          <w:sz w:val="32"/>
          <w:szCs w:val="32"/>
        </w:rPr>
        <w:t>日常</w:t>
      </w:r>
      <w:r>
        <w:rPr>
          <w:rFonts w:hint="eastAsia" w:ascii="仿宋_GB2312" w:hAnsi="仿宋_GB2312" w:eastAsia="仿宋_GB2312" w:cs="仿宋_GB2312"/>
          <w:color w:val="auto"/>
          <w:sz w:val="32"/>
          <w:szCs w:val="32"/>
          <w:lang w:eastAsia="zh-CN"/>
        </w:rPr>
        <w:t>公用商品服务支出和</w:t>
      </w:r>
      <w:r>
        <w:rPr>
          <w:rFonts w:hint="eastAsia" w:ascii="仿宋_GB2312" w:hAnsi="仿宋_GB2312" w:eastAsia="仿宋_GB2312" w:cs="仿宋_GB2312"/>
          <w:color w:val="auto"/>
          <w:kern w:val="0"/>
          <w:sz w:val="32"/>
          <w:szCs w:val="32"/>
          <w:lang w:val="en-US" w:eastAsia="zh-CN"/>
        </w:rPr>
        <w:t>资本性支出（医疗办公设购置）支出减少。</w:t>
      </w:r>
    </w:p>
    <w:p>
      <w:pPr>
        <w:numPr>
          <w:ilvl w:val="0"/>
          <w:numId w:val="0"/>
        </w:numPr>
        <w:jc w:val="center"/>
        <w:rPr>
          <w:rFonts w:hint="default"/>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4417695</wp:posOffset>
                </wp:positionH>
                <wp:positionV relativeFrom="paragraph">
                  <wp:posOffset>165100</wp:posOffset>
                </wp:positionV>
                <wp:extent cx="914400" cy="295275"/>
                <wp:effectExtent l="0" t="0" r="0" b="9525"/>
                <wp:wrapNone/>
                <wp:docPr id="19" name="文本框 19"/>
                <wp:cNvGraphicFramePr/>
                <a:graphic xmlns:a="http://schemas.openxmlformats.org/drawingml/2006/main">
                  <a:graphicData uri="http://schemas.microsoft.com/office/word/2010/wordprocessingShape">
                    <wps:wsp>
                      <wps:cNvSpPr txBox="1"/>
                      <wps:spPr>
                        <a:xfrm>
                          <a:off x="5537835" y="1391920"/>
                          <a:ext cx="914400" cy="2952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85pt;margin-top:13pt;height:23.25pt;width:72pt;z-index:251661312;mso-width-relative:page;mso-height-relative:page;" fillcolor="#FFFFFF [3201]" filled="t" stroked="f" coordsize="21600,21600" o:gfxdata="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diO661QAA&#10;AAkBAAAPAAAAAAAAAAEAIAAAACIAAABkcnMvZG93bnJldi54bWxQSwECFAAUAAAACACHTuJAeoAP&#10;C1oCAACcBAAADgAAAAAAAAABACAAAAAkAQAAZHJzL2Uyb0RvYy54bWxQSwUGAAAAAAYABgBZAQAA&#10;8AUAAAAA&#10;">
                <v:fill on="t" focussize="0,0"/>
                <v:stroke on="f" weight="0.5pt"/>
                <v:imagedata o:title=""/>
                <o:lock v:ext="edit" aspectratio="f"/>
                <v:textbox>
                  <w:txbxContent>
                    <w:p>
                      <w:pPr>
                        <w:rPr>
                          <w:rFonts w:hint="default" w:eastAsiaTheme="minorEastAsia"/>
                          <w:lang w:val="en-US" w:eastAsia="zh-CN"/>
                        </w:rPr>
                      </w:pPr>
                      <w:r>
                        <w:rPr>
                          <w:rFonts w:hint="eastAsia"/>
                          <w:lang w:val="en-US" w:eastAsia="zh-CN"/>
                        </w:rPr>
                        <w:t>单位：万元</w:t>
                      </w:r>
                    </w:p>
                  </w:txbxContent>
                </v:textbox>
              </v:shape>
            </w:pict>
          </mc:Fallback>
        </mc:AlternateContent>
      </w:r>
      <w:r>
        <w:drawing>
          <wp:inline distT="0" distB="0" distL="114300" distR="114300">
            <wp:extent cx="5923280" cy="3151505"/>
            <wp:effectExtent l="4445" t="4445" r="15875" b="6350"/>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numPr>
          <w:ilvl w:val="0"/>
          <w:numId w:val="0"/>
        </w:numPr>
        <w:jc w:val="center"/>
        <w:rPr>
          <w:rFonts w:hint="default"/>
          <w:lang w:val="en-US" w:eastAsia="zh-CN"/>
        </w:rPr>
      </w:pPr>
    </w:p>
    <w:p>
      <w:pPr>
        <w:numPr>
          <w:ilvl w:val="0"/>
          <w:numId w:val="0"/>
        </w:numPr>
        <w:jc w:val="center"/>
        <w:rPr>
          <w:rFonts w:hint="default"/>
          <w:lang w:val="en-US" w:eastAsia="zh-CN"/>
        </w:rPr>
      </w:pPr>
      <w:r>
        <w:rPr>
          <w:sz w:val="21"/>
        </w:rPr>
        <mc:AlternateContent>
          <mc:Choice Requires="wps">
            <w:drawing>
              <wp:anchor distT="0" distB="0" distL="114300" distR="114300" simplePos="0" relativeHeight="251665408" behindDoc="0" locked="0" layoutInCell="1" allowOverlap="1">
                <wp:simplePos x="0" y="0"/>
                <wp:positionH relativeFrom="column">
                  <wp:posOffset>4469765</wp:posOffset>
                </wp:positionH>
                <wp:positionV relativeFrom="paragraph">
                  <wp:posOffset>168910</wp:posOffset>
                </wp:positionV>
                <wp:extent cx="828040" cy="275590"/>
                <wp:effectExtent l="0" t="0" r="10160" b="10160"/>
                <wp:wrapNone/>
                <wp:docPr id="15" name="文本框 15"/>
                <wp:cNvGraphicFramePr/>
                <a:graphic xmlns:a="http://schemas.openxmlformats.org/drawingml/2006/main">
                  <a:graphicData uri="http://schemas.microsoft.com/office/word/2010/wordprocessingShape">
                    <wps:wsp>
                      <wps:cNvSpPr txBox="1"/>
                      <wps:spPr>
                        <a:xfrm>
                          <a:off x="5394960" y="1083310"/>
                          <a:ext cx="828040" cy="2755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1.95pt;margin-top:13.3pt;height:21.7pt;width:65.2pt;z-index:251665408;mso-width-relative:page;mso-height-relative:page;" fillcolor="#FFFFFF [3201]" filled="t" stroked="f" coordsize="21600,21600" o:gfxdata="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jnrrvV&#10;AAAACQEAAA8AAAAAAAAAAQAgAAAAIgAAAGRycy9kb3ducmV2LnhtbFBLAQIUABQAAAAIAIdO4kAR&#10;6eJkXAIAAJwEAAAOAAAAAAAAAAEAIAAAACQBAABkcnMvZTJvRG9jLnhtbFBLBQYAAAAABgAGAFkB&#10;AADyBQAAAAA=&#10;">
                <v:fill on="t" focussize="0,0"/>
                <v:stroke on="f" weight="0.5pt"/>
                <v:imagedata o:title=""/>
                <o:lock v:ext="edit" aspectratio="f"/>
                <v:textbox>
                  <w:txbxContent>
                    <w:p>
                      <w:pPr>
                        <w:rPr>
                          <w:rFonts w:hint="default" w:eastAsiaTheme="minorEastAsia"/>
                          <w:lang w:val="en-US" w:eastAsia="zh-CN"/>
                        </w:rPr>
                      </w:pPr>
                      <w:r>
                        <w:rPr>
                          <w:rFonts w:hint="eastAsia"/>
                          <w:lang w:eastAsia="zh-CN"/>
                        </w:rPr>
                        <w:t>单位：万元</w:t>
                      </w:r>
                    </w:p>
                  </w:txbxContent>
                </v:textbox>
              </v:shape>
            </w:pict>
          </mc:Fallback>
        </mc:AlternateContent>
      </w:r>
      <w:r>
        <w:rPr>
          <w:rFonts w:hint="default"/>
          <w:lang w:val="en-US" w:eastAsia="zh-CN"/>
        </w:rPr>
        <w:drawing>
          <wp:inline distT="0" distB="0" distL="114300" distR="114300">
            <wp:extent cx="5479415" cy="2925445"/>
            <wp:effectExtent l="4445" t="4445" r="21590" b="2286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pageBreakBefore w:val="0"/>
        <w:widowControl w:val="0"/>
        <w:kinsoku/>
        <w:wordWrap/>
        <w:overflowPunct/>
        <w:topLinePunct w:val="0"/>
        <w:autoSpaceDE/>
        <w:autoSpaceDN/>
        <w:bidi w:val="0"/>
        <w:adjustRightInd/>
        <w:snapToGrid/>
        <w:spacing w:before="100" w:after="100" w:line="56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人均</w:t>
      </w:r>
      <w:r>
        <w:rPr>
          <w:rFonts w:hint="eastAsia" w:ascii="仿宋_GB2312" w:hAnsi="仿宋_GB2312" w:eastAsia="仿宋_GB2312" w:cs="仿宋_GB2312"/>
          <w:color w:val="auto"/>
          <w:sz w:val="32"/>
          <w:szCs w:val="32"/>
          <w:lang w:eastAsia="zh-CN"/>
        </w:rPr>
        <w:t>支出</w:t>
      </w:r>
      <w:r>
        <w:rPr>
          <w:rFonts w:hint="eastAsia" w:ascii="仿宋_GB2312" w:hAnsi="仿宋_GB2312" w:eastAsia="仿宋_GB2312" w:cs="仿宋_GB2312"/>
          <w:color w:val="auto"/>
          <w:sz w:val="32"/>
          <w:szCs w:val="32"/>
        </w:rPr>
        <w:t>情况</w:t>
      </w:r>
      <w:r>
        <w:rPr>
          <w:rFonts w:hint="eastAsia" w:ascii="仿宋_GB2312" w:hAnsi="仿宋_GB2312" w:eastAsia="仿宋_GB2312" w:cs="仿宋_GB2312"/>
          <w:color w:val="auto"/>
          <w:sz w:val="32"/>
          <w:szCs w:val="32"/>
          <w:lang w:eastAsia="zh-CN"/>
        </w:rPr>
        <w:t>：年末总人数</w:t>
      </w:r>
      <w:r>
        <w:rPr>
          <w:rFonts w:hint="eastAsia" w:ascii="仿宋_GB2312" w:hAnsi="仿宋_GB2312" w:eastAsia="仿宋_GB2312" w:cs="仿宋_GB2312"/>
          <w:color w:val="auto"/>
          <w:sz w:val="32"/>
          <w:szCs w:val="32"/>
          <w:lang w:val="en-US" w:eastAsia="zh-CN"/>
        </w:rPr>
        <w:t>250人，</w:t>
      </w:r>
      <w:r>
        <w:rPr>
          <w:rFonts w:hint="eastAsia" w:ascii="仿宋_GB2312" w:hAnsi="仿宋_GB2312" w:eastAsia="仿宋_GB2312" w:cs="仿宋_GB2312"/>
          <w:color w:val="auto"/>
          <w:sz w:val="32"/>
          <w:szCs w:val="32"/>
        </w:rPr>
        <w:t>人均</w:t>
      </w:r>
      <w:r>
        <w:rPr>
          <w:rFonts w:hint="eastAsia" w:ascii="仿宋_GB2312" w:hAnsi="仿宋_GB2312" w:eastAsia="仿宋_GB2312" w:cs="仿宋_GB2312"/>
          <w:color w:val="auto"/>
          <w:sz w:val="32"/>
          <w:szCs w:val="32"/>
          <w:lang w:eastAsia="zh-CN"/>
        </w:rPr>
        <w:t>支出</w:t>
      </w:r>
      <w:r>
        <w:rPr>
          <w:rFonts w:hint="eastAsia" w:ascii="仿宋_GB2312" w:hAnsi="仿宋_GB2312" w:eastAsia="仿宋_GB2312" w:cs="仿宋_GB2312"/>
          <w:color w:val="auto"/>
          <w:sz w:val="32"/>
          <w:szCs w:val="32"/>
          <w:lang w:val="en-US" w:eastAsia="zh-CN"/>
        </w:rPr>
        <w:t>17.09万元。</w:t>
      </w:r>
    </w:p>
    <w:p>
      <w:pPr>
        <w:keepNext w:val="0"/>
        <w:keepLines w:val="0"/>
        <w:pageBreakBefore w:val="0"/>
        <w:widowControl w:val="0"/>
        <w:kinsoku/>
        <w:wordWrap/>
        <w:overflowPunct/>
        <w:topLinePunct w:val="0"/>
        <w:autoSpaceDE/>
        <w:autoSpaceDN/>
        <w:bidi w:val="0"/>
        <w:adjustRightInd/>
        <w:snapToGrid/>
        <w:spacing w:before="100" w:after="100" w:line="560" w:lineRule="exact"/>
        <w:ind w:firstLine="600"/>
        <w:jc w:val="left"/>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（二）项目支出情况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32"/>
          <w:szCs w:val="32"/>
        </w:rPr>
        <w:t>2019年度</w:t>
      </w:r>
      <w:r>
        <w:rPr>
          <w:rFonts w:hint="eastAsia" w:ascii="仿宋_GB2312" w:hAnsi="仿宋_GB2312" w:eastAsia="仿宋_GB2312" w:cs="仿宋_GB2312"/>
          <w:color w:val="auto"/>
          <w:sz w:val="32"/>
          <w:szCs w:val="32"/>
          <w:lang w:eastAsia="zh-CN"/>
        </w:rPr>
        <w:t>芒市妇幼保健计划生育服务中心</w:t>
      </w:r>
      <w:r>
        <w:rPr>
          <w:rFonts w:hint="eastAsia" w:ascii="仿宋_GB2312" w:hAnsi="仿宋_GB2312" w:eastAsia="仿宋_GB2312" w:cs="仿宋_GB2312"/>
          <w:color w:val="auto"/>
          <w:sz w:val="32"/>
          <w:szCs w:val="32"/>
        </w:rPr>
        <w:t>为完成特定事业发展目标，用于专项业务工作的经费支出966.42万元。与上年</w:t>
      </w:r>
      <w:r>
        <w:rPr>
          <w:rFonts w:hint="eastAsia" w:ascii="仿宋_GB2312" w:hAnsi="仿宋_GB2312" w:eastAsia="仿宋_GB2312" w:cs="仿宋_GB2312"/>
          <w:color w:val="auto"/>
          <w:sz w:val="32"/>
          <w:szCs w:val="32"/>
          <w:lang w:val="en-US" w:eastAsia="zh-CN"/>
        </w:rPr>
        <w:t>512.32万元，</w:t>
      </w:r>
      <w:r>
        <w:rPr>
          <w:rFonts w:hint="eastAsia" w:ascii="仿宋_GB2312" w:hAnsi="仿宋_GB2312" w:eastAsia="仿宋_GB2312" w:cs="仿宋_GB2312"/>
          <w:color w:val="auto"/>
          <w:sz w:val="32"/>
          <w:szCs w:val="32"/>
        </w:rPr>
        <w:t>对比</w:t>
      </w:r>
      <w:r>
        <w:rPr>
          <w:rFonts w:hint="eastAsia" w:ascii="仿宋_GB2312" w:hAnsi="仿宋_GB2312" w:eastAsia="仿宋_GB2312" w:cs="仿宋_GB2312"/>
          <w:color w:val="auto"/>
          <w:sz w:val="32"/>
          <w:szCs w:val="32"/>
          <w:lang w:eastAsia="zh-CN"/>
        </w:rPr>
        <w:t>支出增加</w:t>
      </w:r>
      <w:r>
        <w:rPr>
          <w:rFonts w:hint="eastAsia" w:ascii="仿宋_GB2312" w:hAnsi="仿宋_GB2312" w:eastAsia="仿宋_GB2312" w:cs="仿宋_GB2312"/>
          <w:color w:val="auto"/>
          <w:sz w:val="32"/>
          <w:szCs w:val="32"/>
          <w:lang w:val="en-US" w:eastAsia="zh-CN"/>
        </w:rPr>
        <w:t>454.10万元，增加88.64%，</w:t>
      </w:r>
      <w:r>
        <w:rPr>
          <w:rFonts w:hint="eastAsia" w:ascii="仿宋_GB2312" w:hAnsi="仿宋_GB2312" w:eastAsia="仿宋_GB2312" w:cs="仿宋_GB2312"/>
          <w:color w:val="auto"/>
          <w:sz w:val="32"/>
          <w:szCs w:val="32"/>
        </w:rPr>
        <w:t>主要原因</w:t>
      </w:r>
      <w:r>
        <w:rPr>
          <w:rFonts w:hint="eastAsia" w:ascii="仿宋_GB2312" w:hAnsi="仿宋_GB2312" w:eastAsia="仿宋_GB2312" w:cs="仿宋_GB2312"/>
          <w:color w:val="auto"/>
          <w:sz w:val="32"/>
          <w:szCs w:val="32"/>
          <w:lang w:eastAsia="zh-CN"/>
        </w:rPr>
        <w:t>是：</w:t>
      </w:r>
      <w:r>
        <w:rPr>
          <w:rFonts w:hint="eastAsia" w:ascii="仿宋_GB2312" w:hAnsi="仿宋_GB2312" w:eastAsia="仿宋_GB2312" w:cs="仿宋_GB2312"/>
          <w:color w:val="auto"/>
          <w:kern w:val="0"/>
          <w:sz w:val="32"/>
          <w:szCs w:val="32"/>
          <w:lang w:val="en-US" w:eastAsia="zh-CN"/>
        </w:rPr>
        <w:t>项目支出</w:t>
      </w:r>
      <w:r>
        <w:rPr>
          <w:rFonts w:hint="eastAsia" w:ascii="仿宋_GB2312" w:hAnsi="仿宋_GB2312" w:eastAsia="仿宋_GB2312" w:cs="仿宋_GB2312"/>
          <w:color w:val="auto"/>
          <w:sz w:val="32"/>
          <w:szCs w:val="32"/>
          <w:lang w:eastAsia="zh-CN"/>
        </w:rPr>
        <w:t>资本性支出（迁建项目）财政拨</w:t>
      </w:r>
      <w:r>
        <w:rPr>
          <w:rFonts w:hint="eastAsia" w:ascii="仿宋_GB2312" w:hAnsi="仿宋_GB2312" w:eastAsia="仿宋_GB2312" w:cs="仿宋_GB2312"/>
          <w:color w:val="auto"/>
          <w:sz w:val="32"/>
          <w:szCs w:val="32"/>
          <w:lang w:val="en-US" w:eastAsia="zh-CN"/>
        </w:rPr>
        <w:t>款</w:t>
      </w:r>
      <w:r>
        <w:rPr>
          <w:rFonts w:hint="eastAsia" w:ascii="仿宋_GB2312" w:hAnsi="仿宋_GB2312" w:eastAsia="仿宋_GB2312" w:cs="仿宋_GB2312"/>
          <w:color w:val="auto"/>
          <w:sz w:val="32"/>
          <w:szCs w:val="32"/>
          <w:lang w:eastAsia="zh-CN"/>
        </w:rPr>
        <w:t>支出增加。</w:t>
      </w:r>
    </w:p>
    <w:p>
      <w:pPr>
        <w:numPr>
          <w:ilvl w:val="0"/>
          <w:numId w:val="0"/>
        </w:numPr>
        <w:jc w:val="left"/>
        <w:rPr>
          <w:rFonts w:hint="default"/>
          <w:lang w:val="en-US" w:eastAsia="zh-CN"/>
        </w:rPr>
      </w:pPr>
      <w:r>
        <w:drawing>
          <wp:inline distT="0" distB="0" distL="114300" distR="114300">
            <wp:extent cx="5554345" cy="2970530"/>
            <wp:effectExtent l="4445" t="4445" r="22860" b="1587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numPr>
          <w:ilvl w:val="0"/>
          <w:numId w:val="0"/>
        </w:numPr>
        <w:jc w:val="center"/>
        <w:rPr>
          <w:rFonts w:hint="default"/>
          <w:lang w:val="en-US" w:eastAsia="zh-CN"/>
        </w:rPr>
      </w:pPr>
    </w:p>
    <w:p>
      <w:pPr>
        <w:numPr>
          <w:ilvl w:val="0"/>
          <w:numId w:val="0"/>
        </w:numPr>
        <w:jc w:val="both"/>
      </w:pPr>
      <w:r>
        <w:drawing>
          <wp:inline distT="0" distB="0" distL="114300" distR="114300">
            <wp:extent cx="5400675" cy="2800350"/>
            <wp:effectExtent l="4445" t="4445" r="5080"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before="100" w:after="100" w:line="600" w:lineRule="exact"/>
        <w:ind w:firstLine="600"/>
        <w:jc w:val="left"/>
        <w:rPr>
          <w:rFonts w:hint="default" w:eastAsia="Times New Roman"/>
          <w:color w:val="auto"/>
          <w:sz w:val="32"/>
          <w:szCs w:val="32"/>
        </w:rPr>
      </w:pPr>
      <w:r>
        <w:rPr>
          <w:rFonts w:hint="eastAsia" w:ascii="黑体" w:hAnsi="黑体" w:eastAsia="黑体"/>
          <w:color w:val="auto"/>
          <w:sz w:val="32"/>
          <w:szCs w:val="32"/>
        </w:rPr>
        <w:t>三、一般公共预算财政拨款支出决算情况说明</w:t>
      </w:r>
    </w:p>
    <w:p>
      <w:pPr>
        <w:spacing w:before="100" w:after="100" w:line="600" w:lineRule="exact"/>
        <w:ind w:firstLine="600"/>
        <w:jc w:val="left"/>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（一）一般公共预算财政拨款支出决算总体情况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芒市妇幼保健计划生育服务中心部门2019年度一般公共预算财政拨款支出</w:t>
      </w:r>
      <w:r>
        <w:rPr>
          <w:rFonts w:hint="eastAsia" w:ascii="仿宋" w:hAnsi="仿宋" w:eastAsia="仿宋"/>
          <w:color w:val="auto"/>
          <w:kern w:val="0"/>
          <w:sz w:val="32"/>
          <w:szCs w:val="32"/>
        </w:rPr>
        <w:t>2,071.49万元</w:t>
      </w:r>
      <w:r>
        <w:rPr>
          <w:rFonts w:hint="default" w:eastAsia="Times New Roman"/>
          <w:color w:val="auto"/>
          <w:kern w:val="0"/>
          <w:sz w:val="32"/>
          <w:szCs w:val="32"/>
        </w:rPr>
        <w:t>,</w:t>
      </w:r>
      <w:r>
        <w:rPr>
          <w:rFonts w:hint="eastAsia" w:ascii="仿宋" w:hAnsi="仿宋" w:eastAsia="仿宋"/>
          <w:color w:val="auto"/>
          <w:kern w:val="0"/>
          <w:sz w:val="32"/>
          <w:szCs w:val="32"/>
        </w:rPr>
        <w:t>占本年支出合计的</w:t>
      </w:r>
      <w:r>
        <w:rPr>
          <w:rFonts w:hint="eastAsia" w:ascii="仿宋" w:hAnsi="仿宋" w:eastAsia="仿宋"/>
          <w:color w:val="auto"/>
          <w:sz w:val="32"/>
          <w:szCs w:val="32"/>
        </w:rPr>
        <w:t>39.52%</w:t>
      </w:r>
      <w:r>
        <w:rPr>
          <w:rFonts w:hint="eastAsia" w:ascii="仿宋" w:hAnsi="仿宋" w:eastAsia="仿宋"/>
          <w:color w:val="auto"/>
          <w:kern w:val="0"/>
          <w:sz w:val="32"/>
          <w:szCs w:val="32"/>
        </w:rPr>
        <w:t>。与上年</w:t>
      </w:r>
      <w:r>
        <w:rPr>
          <w:rFonts w:hint="eastAsia" w:ascii="仿宋" w:hAnsi="仿宋" w:eastAsia="仿宋"/>
          <w:color w:val="auto"/>
          <w:kern w:val="0"/>
          <w:sz w:val="32"/>
          <w:szCs w:val="32"/>
          <w:lang w:val="en-US" w:eastAsia="zh-CN"/>
        </w:rPr>
        <w:t>1610.69万元，</w:t>
      </w:r>
      <w:r>
        <w:rPr>
          <w:rFonts w:hint="eastAsia" w:ascii="仿宋" w:hAnsi="仿宋" w:eastAsia="仿宋"/>
          <w:color w:val="auto"/>
          <w:kern w:val="0"/>
          <w:sz w:val="32"/>
          <w:szCs w:val="32"/>
        </w:rPr>
        <w:t>对比</w:t>
      </w:r>
      <w:r>
        <w:rPr>
          <w:rFonts w:hint="eastAsia" w:ascii="仿宋" w:hAnsi="仿宋" w:eastAsia="仿宋"/>
          <w:color w:val="auto"/>
          <w:kern w:val="0"/>
          <w:sz w:val="32"/>
          <w:szCs w:val="32"/>
          <w:lang w:eastAsia="zh-CN"/>
        </w:rPr>
        <w:t>支出增加</w:t>
      </w:r>
      <w:r>
        <w:rPr>
          <w:rFonts w:hint="eastAsia" w:ascii="仿宋" w:hAnsi="仿宋" w:eastAsia="仿宋"/>
          <w:color w:val="auto"/>
          <w:kern w:val="0"/>
          <w:sz w:val="32"/>
          <w:szCs w:val="32"/>
          <w:lang w:val="en-US" w:eastAsia="zh-CN"/>
        </w:rPr>
        <w:t>460.80万元，</w:t>
      </w:r>
      <w:r>
        <w:rPr>
          <w:rFonts w:hint="eastAsia"/>
          <w:color w:val="auto"/>
          <w:sz w:val="32"/>
          <w:szCs w:val="32"/>
          <w:lang w:eastAsia="zh-CN"/>
        </w:rPr>
        <w:t>增加</w:t>
      </w:r>
      <w:r>
        <w:rPr>
          <w:rFonts w:hint="eastAsia"/>
          <w:color w:val="auto"/>
          <w:sz w:val="32"/>
          <w:szCs w:val="32"/>
          <w:lang w:val="en-US" w:eastAsia="zh-CN"/>
        </w:rPr>
        <w:t>28.61%，</w:t>
      </w:r>
      <w:r>
        <w:rPr>
          <w:rFonts w:hint="eastAsia" w:ascii="仿宋" w:hAnsi="仿宋" w:eastAsia="仿宋"/>
          <w:color w:val="auto"/>
          <w:sz w:val="32"/>
          <w:szCs w:val="32"/>
        </w:rPr>
        <w:t>主要</w:t>
      </w:r>
      <w:r>
        <w:rPr>
          <w:rFonts w:hint="eastAsia" w:ascii="仿宋" w:hAnsi="仿宋" w:eastAsia="仿宋"/>
          <w:color w:val="auto"/>
          <w:kern w:val="0"/>
          <w:sz w:val="32"/>
          <w:szCs w:val="32"/>
        </w:rPr>
        <w:t>原因</w:t>
      </w:r>
      <w:r>
        <w:rPr>
          <w:rFonts w:hint="eastAsia" w:ascii="仿宋" w:hAnsi="仿宋" w:eastAsia="仿宋"/>
          <w:color w:val="auto"/>
          <w:kern w:val="0"/>
          <w:sz w:val="32"/>
          <w:szCs w:val="32"/>
          <w:lang w:eastAsia="zh-CN"/>
        </w:rPr>
        <w:t>是</w:t>
      </w:r>
      <w:r>
        <w:rPr>
          <w:rFonts w:hint="eastAsia" w:ascii="仿宋" w:hAnsi="仿宋" w:eastAsia="仿宋"/>
          <w:color w:val="auto"/>
          <w:kern w:val="0"/>
          <w:sz w:val="32"/>
          <w:szCs w:val="32"/>
          <w:lang w:val="en-US" w:eastAsia="zh-CN"/>
        </w:rPr>
        <w:t>项目支出</w:t>
      </w:r>
      <w:r>
        <w:rPr>
          <w:rFonts w:hint="eastAsia" w:ascii="仿宋" w:hAnsi="仿宋" w:eastAsia="仿宋"/>
          <w:color w:val="auto"/>
          <w:sz w:val="32"/>
          <w:szCs w:val="32"/>
          <w:lang w:eastAsia="zh-CN"/>
        </w:rPr>
        <w:t>资本性支出（迁建项目）财政拨</w:t>
      </w:r>
      <w:r>
        <w:rPr>
          <w:rFonts w:hint="eastAsia" w:ascii="仿宋" w:hAnsi="仿宋" w:eastAsia="仿宋"/>
          <w:color w:val="auto"/>
          <w:sz w:val="32"/>
          <w:szCs w:val="32"/>
          <w:lang w:val="en-US" w:eastAsia="zh-CN"/>
        </w:rPr>
        <w:t>款</w:t>
      </w:r>
      <w:r>
        <w:rPr>
          <w:rFonts w:hint="eastAsia" w:ascii="仿宋" w:hAnsi="仿宋" w:eastAsia="仿宋"/>
          <w:color w:val="auto"/>
          <w:sz w:val="32"/>
          <w:szCs w:val="32"/>
          <w:lang w:eastAsia="zh-CN"/>
        </w:rPr>
        <w:t>支出增加。</w:t>
      </w:r>
    </w:p>
    <w:p>
      <w:pPr>
        <w:spacing w:before="100" w:after="100" w:line="600" w:lineRule="exact"/>
        <w:jc w:val="left"/>
        <w:rPr>
          <w:rFonts w:hint="default"/>
          <w:lang w:val="en-US" w:eastAsia="zh-CN"/>
        </w:rPr>
      </w:pPr>
      <w:r>
        <w:drawing>
          <wp:anchor distT="0" distB="0" distL="114300" distR="114300" simplePos="0" relativeHeight="251667456" behindDoc="0" locked="0" layoutInCell="1" allowOverlap="1">
            <wp:simplePos x="0" y="0"/>
            <wp:positionH relativeFrom="column">
              <wp:posOffset>182880</wp:posOffset>
            </wp:positionH>
            <wp:positionV relativeFrom="paragraph">
              <wp:posOffset>2286000</wp:posOffset>
            </wp:positionV>
            <wp:extent cx="5380990" cy="1845945"/>
            <wp:effectExtent l="4445" t="4445" r="5715" b="16510"/>
            <wp:wrapSquare wrapText="bothSides"/>
            <wp:docPr id="2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default"/>
          <w:lang w:val="en-US" w:eastAsia="zh-CN"/>
        </w:rPr>
        <w:drawing>
          <wp:anchor distT="0" distB="0" distL="114300" distR="114300" simplePos="0" relativeHeight="251666432" behindDoc="0" locked="0" layoutInCell="1" allowOverlap="1">
            <wp:simplePos x="0" y="0"/>
            <wp:positionH relativeFrom="column">
              <wp:posOffset>144780</wp:posOffset>
            </wp:positionH>
            <wp:positionV relativeFrom="paragraph">
              <wp:posOffset>160020</wp:posOffset>
            </wp:positionV>
            <wp:extent cx="5356225" cy="1754505"/>
            <wp:effectExtent l="4445" t="4445" r="11430" b="12700"/>
            <wp:wrapSquare wrapText="bothSides"/>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sz w:val="21"/>
        </w:rPr>
        <mc:AlternateContent>
          <mc:Choice Requires="wps">
            <w:drawing>
              <wp:anchor distT="0" distB="0" distL="114300" distR="114300" simplePos="0" relativeHeight="251660288" behindDoc="0" locked="0" layoutInCell="1" allowOverlap="1">
                <wp:simplePos x="0" y="0"/>
                <wp:positionH relativeFrom="column">
                  <wp:posOffset>4446905</wp:posOffset>
                </wp:positionH>
                <wp:positionV relativeFrom="paragraph">
                  <wp:posOffset>352425</wp:posOffset>
                </wp:positionV>
                <wp:extent cx="989965" cy="333375"/>
                <wp:effectExtent l="0" t="0" r="635" b="9525"/>
                <wp:wrapNone/>
                <wp:docPr id="18" name="文本框 18"/>
                <wp:cNvGraphicFramePr/>
                <a:graphic xmlns:a="http://schemas.openxmlformats.org/drawingml/2006/main">
                  <a:graphicData uri="http://schemas.microsoft.com/office/word/2010/wordprocessingShape">
                    <wps:wsp>
                      <wps:cNvSpPr txBox="1"/>
                      <wps:spPr>
                        <a:xfrm>
                          <a:off x="5442585" y="1663065"/>
                          <a:ext cx="989965" cy="3333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18"/>
                                <w:szCs w:val="18"/>
                                <w:lang w:val="en-US" w:eastAsia="zh-CN"/>
                              </w:rPr>
                            </w:pPr>
                            <w:r>
                              <w:rPr>
                                <w:rFonts w:hint="eastAsia"/>
                                <w:sz w:val="18"/>
                                <w:szCs w:val="18"/>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50.15pt;margin-top:27.75pt;height:26.25pt;width:77.95pt;z-index:251660288;mso-width-relative:page;mso-height-relative:page;" fillcolor="#FFFFFF [3201]" filled="t" stroked="f" coordsize="21600,21600" o:gfxdata="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EK8l+TV&#10;AAAACgEAAA8AAAAAAAAAAQAgAAAAIgAAAGRycy9kb3ducmV2LnhtbFBLAQIUABQAAAAIAIdO4kAG&#10;EzyiXAIAAJwEAAAOAAAAAAAAAAEAIAAAACQBAABkcnMvZTJvRG9jLnhtbFBLBQYAAAAABgAGAFkB&#10;AADyBQAAAAA=&#10;">
                <v:fill on="t" focussize="0,0"/>
                <v:stroke on="f" weight="0.5pt"/>
                <v:imagedata o:title=""/>
                <o:lock v:ext="edit" aspectratio="f"/>
                <v:textbox>
                  <w:txbxContent>
                    <w:p>
                      <w:pPr>
                        <w:rPr>
                          <w:rFonts w:hint="default" w:eastAsiaTheme="minorEastAsia"/>
                          <w:sz w:val="18"/>
                          <w:szCs w:val="18"/>
                          <w:lang w:val="en-US" w:eastAsia="zh-CN"/>
                        </w:rPr>
                      </w:pPr>
                      <w:r>
                        <w:rPr>
                          <w:rFonts w:hint="eastAsia"/>
                          <w:sz w:val="18"/>
                          <w:szCs w:val="18"/>
                          <w:lang w:val="en-US" w:eastAsia="zh-CN"/>
                        </w:rPr>
                        <w:t>单位：万元</w:t>
                      </w:r>
                    </w:p>
                  </w:txbxContent>
                </v:textbox>
              </v:shape>
            </w:pict>
          </mc:Fallback>
        </mc:AlternateContent>
      </w:r>
    </w:p>
    <w:p>
      <w:pPr>
        <w:numPr>
          <w:ilvl w:val="0"/>
          <w:numId w:val="0"/>
        </w:numPr>
        <w:jc w:val="center"/>
      </w:pPr>
      <w:r>
        <w:rPr>
          <w:sz w:val="21"/>
        </w:rPr>
        <mc:AlternateContent>
          <mc:Choice Requires="wps">
            <w:drawing>
              <wp:anchor distT="0" distB="0" distL="114300" distR="114300" simplePos="0" relativeHeight="251659264" behindDoc="0" locked="0" layoutInCell="1" allowOverlap="1">
                <wp:simplePos x="0" y="0"/>
                <wp:positionH relativeFrom="column">
                  <wp:posOffset>4846955</wp:posOffset>
                </wp:positionH>
                <wp:positionV relativeFrom="paragraph">
                  <wp:posOffset>211455</wp:posOffset>
                </wp:positionV>
                <wp:extent cx="856615" cy="333375"/>
                <wp:effectExtent l="0" t="0" r="0" b="0"/>
                <wp:wrapNone/>
                <wp:docPr id="17" name="文本框 17"/>
                <wp:cNvGraphicFramePr/>
                <a:graphic xmlns:a="http://schemas.openxmlformats.org/drawingml/2006/main">
                  <a:graphicData uri="http://schemas.microsoft.com/office/word/2010/wordprocessingShape">
                    <wps:wsp>
                      <wps:cNvSpPr txBox="1"/>
                      <wps:spPr>
                        <a:xfrm>
                          <a:off x="6004560" y="1670050"/>
                          <a:ext cx="856615" cy="3333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sz w:val="18"/>
                                <w:szCs w:val="18"/>
                                <w:lang w:val="en-US" w:eastAsia="zh-CN"/>
                              </w:rPr>
                            </w:pPr>
                            <w:r>
                              <w:rPr>
                                <w:rFonts w:hint="eastAsia"/>
                                <w:sz w:val="18"/>
                                <w:szCs w:val="18"/>
                                <w:lang w:val="en-US" w:eastAsia="zh-CN"/>
                              </w:rPr>
                              <w:t>单位：万元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1.65pt;margin-top:16.65pt;height:26.25pt;width:67.45pt;z-index:251659264;mso-width-relative:page;mso-height-relative:page;" filled="f" stroked="f" coordsize="21600,21600" o:gfxdata="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EGt9toAAAAJAQAADwAAAAAAAAABACAA&#10;AAAiAAAAZHJzL2Rvd25yZXYueG1sUEsBAhQAFAAAAAgAh07iQILVmb9EAgAAcwQAAA4AAAAAAAAA&#10;AQAgAAAAKQEAAGRycy9lMm9Eb2MueG1sUEsFBgAAAAAGAAYAWQEAAN8FAAAAAA==&#10;">
                <v:fill on="f" focussize="0,0"/>
                <v:stroke on="f" weight="0.5pt"/>
                <v:imagedata o:title=""/>
                <o:lock v:ext="edit" aspectratio="f"/>
                <v:textbox>
                  <w:txbxContent>
                    <w:p>
                      <w:pPr>
                        <w:rPr>
                          <w:rFonts w:hint="default" w:eastAsiaTheme="minorEastAsia"/>
                          <w:sz w:val="18"/>
                          <w:szCs w:val="18"/>
                          <w:lang w:val="en-US" w:eastAsia="zh-CN"/>
                        </w:rPr>
                      </w:pPr>
                      <w:r>
                        <w:rPr>
                          <w:rFonts w:hint="eastAsia"/>
                          <w:sz w:val="18"/>
                          <w:szCs w:val="18"/>
                          <w:lang w:val="en-US" w:eastAsia="zh-CN"/>
                        </w:rPr>
                        <w:t>单位：万元</w:t>
                      </w:r>
                    </w:p>
                  </w:txbxContent>
                </v:textbox>
              </v:shape>
            </w:pict>
          </mc:Fallback>
        </mc:AlternateContent>
      </w:r>
      <w:r>
        <w:drawing>
          <wp:inline distT="0" distB="0" distL="114300" distR="114300">
            <wp:extent cx="5486400" cy="2695575"/>
            <wp:effectExtent l="4445" t="4445" r="14605" b="508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numPr>
          <w:ilvl w:val="0"/>
          <w:numId w:val="0"/>
        </w:numPr>
        <w:jc w:val="center"/>
        <w:rPr>
          <w:rFonts w:hint="eastAsia"/>
          <w:lang w:val="en-US" w:eastAsia="zh-CN"/>
        </w:rPr>
      </w:pPr>
      <w:r>
        <w:drawing>
          <wp:inline distT="0" distB="0" distL="114300" distR="114300">
            <wp:extent cx="5638800" cy="3705225"/>
            <wp:effectExtent l="4445" t="4445" r="14605" b="5080"/>
            <wp:docPr id="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楷体_GB2312" w:hAnsi="楷体_GB2312" w:eastAsia="楷体_GB2312" w:cs="楷体_GB2312"/>
          <w:color w:val="FF0000"/>
          <w:kern w:val="0"/>
          <w:sz w:val="32"/>
          <w:szCs w:val="32"/>
        </w:rPr>
      </w:pPr>
      <w:r>
        <w:rPr>
          <w:rFonts w:hint="eastAsia" w:ascii="楷体_GB2312" w:hAnsi="楷体_GB2312" w:eastAsia="楷体_GB2312" w:cs="楷体_GB2312"/>
          <w:color w:val="auto"/>
          <w:sz w:val="32"/>
          <w:szCs w:val="32"/>
        </w:rPr>
        <w:t>（二）一般公共预算财政拨款支出决算具体情况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rPr>
        <w:t>.社会保障和就业（类）支出48.31万元，占一般公共预算财政拨款总支出的2.33%。主要用于</w:t>
      </w:r>
      <w:r>
        <w:rPr>
          <w:rFonts w:hint="eastAsia" w:ascii="仿宋_GB2312" w:hAnsi="仿宋_GB2312" w:eastAsia="仿宋_GB2312" w:cs="仿宋_GB2312"/>
          <w:color w:val="auto"/>
          <w:kern w:val="0"/>
          <w:sz w:val="32"/>
          <w:szCs w:val="32"/>
          <w:lang w:eastAsia="zh-CN"/>
        </w:rPr>
        <w:t>：一是事业单位退休人员费</w:t>
      </w:r>
      <w:r>
        <w:rPr>
          <w:rFonts w:hint="eastAsia" w:ascii="仿宋_GB2312" w:hAnsi="仿宋_GB2312" w:eastAsia="仿宋_GB2312" w:cs="仿宋_GB2312"/>
          <w:color w:val="auto"/>
          <w:kern w:val="0"/>
          <w:sz w:val="32"/>
          <w:szCs w:val="32"/>
          <w:lang w:val="en-US" w:eastAsia="zh-CN"/>
        </w:rPr>
        <w:t>31.10万元；二</w:t>
      </w:r>
      <w:r>
        <w:rPr>
          <w:rFonts w:hint="eastAsia" w:ascii="仿宋_GB2312" w:hAnsi="仿宋_GB2312" w:eastAsia="仿宋_GB2312" w:cs="仿宋_GB2312"/>
          <w:color w:val="auto"/>
          <w:kern w:val="0"/>
          <w:sz w:val="32"/>
          <w:szCs w:val="32"/>
          <w:lang w:eastAsia="zh-CN"/>
        </w:rPr>
        <w:t>是</w:t>
      </w:r>
      <w:r>
        <w:rPr>
          <w:rFonts w:hint="eastAsia" w:ascii="仿宋_GB2312" w:hAnsi="仿宋_GB2312" w:eastAsia="仿宋_GB2312" w:cs="仿宋_GB2312"/>
          <w:color w:val="auto"/>
          <w:kern w:val="0"/>
          <w:sz w:val="32"/>
          <w:szCs w:val="32"/>
          <w:lang w:val="en-US" w:eastAsia="zh-CN"/>
        </w:rPr>
        <w:t>事业单位职工养老保险缴费13.84万元；三是事业单位职业年金缴费3.37万元。</w:t>
      </w:r>
    </w:p>
    <w:p>
      <w:pPr>
        <w:numPr>
          <w:ilvl w:val="0"/>
          <w:numId w:val="0"/>
        </w:numPr>
        <w:jc w:val="center"/>
        <w:rPr>
          <w:rFonts w:hint="eastAsia"/>
          <w:lang w:val="en-US" w:eastAsia="zh-CN"/>
        </w:rPr>
      </w:pPr>
      <w:r>
        <w:drawing>
          <wp:inline distT="0" distB="0" distL="114300" distR="114300">
            <wp:extent cx="5046980" cy="2296795"/>
            <wp:effectExtent l="5080" t="4445" r="15240" b="22860"/>
            <wp:docPr id="1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pageBreakBefore w:val="0"/>
        <w:widowControl w:val="0"/>
        <w:numPr>
          <w:ilvl w:val="0"/>
          <w:numId w:val="1"/>
        </w:numPr>
        <w:kinsoku/>
        <w:wordWrap/>
        <w:overflowPunct/>
        <w:topLinePunct w:val="0"/>
        <w:autoSpaceDE/>
        <w:autoSpaceDN/>
        <w:bidi w:val="0"/>
        <w:adjustRightInd/>
        <w:snapToGrid/>
        <w:spacing w:before="40" w:after="40" w:line="540" w:lineRule="exact"/>
        <w:ind w:firstLine="1134"/>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rPr>
        <w:t>卫生健康（类）支</w:t>
      </w:r>
      <w:r>
        <w:rPr>
          <w:rFonts w:hint="eastAsia" w:ascii="仿宋_GB2312" w:hAnsi="仿宋_GB2312" w:eastAsia="仿宋_GB2312" w:cs="仿宋_GB2312"/>
          <w:color w:val="auto"/>
          <w:kern w:val="0"/>
          <w:sz w:val="32"/>
          <w:szCs w:val="32"/>
          <w:highlight w:val="none"/>
        </w:rPr>
        <w:t>出</w:t>
      </w:r>
      <w:r>
        <w:rPr>
          <w:rFonts w:hint="eastAsia" w:ascii="仿宋_GB2312" w:hAnsi="仿宋_GB2312" w:eastAsia="仿宋_GB2312" w:cs="仿宋_GB2312"/>
          <w:color w:val="auto"/>
          <w:kern w:val="0"/>
          <w:sz w:val="32"/>
          <w:szCs w:val="32"/>
          <w:highlight w:val="none"/>
          <w:lang w:val="en-US" w:eastAsia="zh-CN"/>
        </w:rPr>
        <w:t>2023.18</w:t>
      </w:r>
      <w:r>
        <w:rPr>
          <w:rFonts w:hint="eastAsia" w:ascii="仿宋_GB2312" w:hAnsi="仿宋_GB2312" w:eastAsia="仿宋_GB2312" w:cs="仿宋_GB2312"/>
          <w:color w:val="auto"/>
          <w:kern w:val="0"/>
          <w:sz w:val="32"/>
          <w:szCs w:val="32"/>
        </w:rPr>
        <w:t>万元，占一般公共预算财政拨款总支出的97.67%</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主要用于</w:t>
      </w:r>
      <w:r>
        <w:rPr>
          <w:rFonts w:hint="eastAsia" w:ascii="仿宋_GB2312" w:hAnsi="仿宋_GB2312" w:eastAsia="仿宋_GB2312" w:cs="仿宋_GB2312"/>
          <w:color w:val="auto"/>
          <w:kern w:val="0"/>
          <w:sz w:val="32"/>
          <w:szCs w:val="32"/>
          <w:lang w:eastAsia="zh-CN"/>
        </w:rPr>
        <w:t>：一是妇幼保健机构职工工资福利支出</w:t>
      </w:r>
      <w:r>
        <w:rPr>
          <w:rFonts w:hint="eastAsia" w:ascii="仿宋_GB2312" w:hAnsi="仿宋_GB2312" w:eastAsia="仿宋_GB2312" w:cs="仿宋_GB2312"/>
          <w:color w:val="auto"/>
          <w:kern w:val="0"/>
          <w:sz w:val="32"/>
          <w:szCs w:val="32"/>
          <w:lang w:val="en-US" w:eastAsia="zh-CN"/>
        </w:rPr>
        <w:t>1097.13万元；二是商品服务支出和对个人家庭补助支出医疗公共卫生项目相关工作经费支出168.05万元；三是资本性支出（迁建项目工程款）</w:t>
      </w:r>
      <w:r>
        <w:rPr>
          <w:rFonts w:hint="eastAsia" w:ascii="仿宋_GB2312" w:hAnsi="仿宋_GB2312" w:eastAsia="仿宋_GB2312" w:cs="仿宋_GB2312"/>
          <w:color w:val="auto"/>
          <w:kern w:val="0"/>
          <w:sz w:val="32"/>
          <w:szCs w:val="32"/>
        </w:rPr>
        <w:t xml:space="preserve"> </w:t>
      </w:r>
      <w:r>
        <w:rPr>
          <w:rFonts w:hint="eastAsia" w:ascii="仿宋_GB2312" w:hAnsi="仿宋_GB2312" w:eastAsia="仿宋_GB2312" w:cs="仿宋_GB2312"/>
          <w:color w:val="auto"/>
          <w:kern w:val="0"/>
          <w:sz w:val="32"/>
          <w:szCs w:val="32"/>
          <w:lang w:val="en-US" w:eastAsia="zh-CN"/>
        </w:rPr>
        <w:t>758.00万元。</w:t>
      </w:r>
    </w:p>
    <w:p>
      <w:pPr>
        <w:numPr>
          <w:ilvl w:val="0"/>
          <w:numId w:val="0"/>
        </w:numPr>
        <w:jc w:val="left"/>
      </w:pPr>
    </w:p>
    <w:p>
      <w:pPr>
        <w:numPr>
          <w:ilvl w:val="0"/>
          <w:numId w:val="0"/>
        </w:numPr>
        <w:jc w:val="left"/>
      </w:pPr>
      <w:r>
        <w:drawing>
          <wp:inline distT="0" distB="0" distL="114300" distR="114300">
            <wp:extent cx="5657850" cy="2637790"/>
            <wp:effectExtent l="4445" t="4445" r="14605" b="571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pageBreakBefore w:val="0"/>
        <w:widowControl w:val="0"/>
        <w:kinsoku/>
        <w:wordWrap/>
        <w:overflowPunct/>
        <w:topLinePunct w:val="0"/>
        <w:autoSpaceDE/>
        <w:autoSpaceDN/>
        <w:bidi w:val="0"/>
        <w:adjustRightInd/>
        <w:snapToGrid/>
        <w:spacing w:before="100" w:after="100" w:line="520" w:lineRule="exact"/>
        <w:ind w:firstLine="600"/>
        <w:jc w:val="left"/>
        <w:textAlignment w:val="auto"/>
        <w:rPr>
          <w:rFonts w:hint="default" w:eastAsia="Times New Roman"/>
          <w:color w:val="auto"/>
          <w:sz w:val="32"/>
          <w:szCs w:val="32"/>
        </w:rPr>
      </w:pPr>
      <w:r>
        <w:rPr>
          <w:rFonts w:hint="eastAsia" w:ascii="黑体" w:hAnsi="黑体" w:eastAsia="黑体"/>
          <w:color w:val="auto"/>
          <w:sz w:val="32"/>
          <w:szCs w:val="32"/>
        </w:rPr>
        <w:t>四、一般公共预算财政拨款</w:t>
      </w:r>
      <w:r>
        <w:rPr>
          <w:rFonts w:hint="default" w:eastAsia="Times New Roman"/>
          <w:color w:val="auto"/>
          <w:sz w:val="32"/>
          <w:szCs w:val="32"/>
        </w:rPr>
        <w:t>“</w:t>
      </w:r>
      <w:r>
        <w:rPr>
          <w:rFonts w:hint="eastAsia" w:ascii="黑体" w:hAnsi="黑体" w:eastAsia="黑体"/>
          <w:color w:val="auto"/>
          <w:sz w:val="32"/>
          <w:szCs w:val="32"/>
        </w:rPr>
        <w:t>三公</w:t>
      </w:r>
      <w:r>
        <w:rPr>
          <w:rFonts w:hint="default" w:eastAsia="Times New Roman"/>
          <w:color w:val="auto"/>
          <w:sz w:val="32"/>
          <w:szCs w:val="32"/>
        </w:rPr>
        <w:t>”</w:t>
      </w:r>
      <w:r>
        <w:rPr>
          <w:rFonts w:hint="eastAsia" w:ascii="黑体" w:hAnsi="黑体" w:eastAsia="黑体"/>
          <w:color w:val="auto"/>
          <w:sz w:val="32"/>
          <w:szCs w:val="32"/>
        </w:rPr>
        <w:t>经费支出决算情况说明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一般公共预算财政拨款“三公”经费支出决算总体情况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auto"/>
          <w:sz w:val="32"/>
          <w:szCs w:val="32"/>
        </w:rPr>
        <w:t>芒市妇幼保健计划生育服务中心部门2019年度一般公共预算财政拨款“三公”经费支出预算为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万元，支出决算为0万元</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2019年度一般公共预算财政拨款“三公”经费支出决算数比2018年减少1.1万元，下降-100%。其中：因公出国（境）费支出决算减少0万元，下降0%；公务用车购置及运行费支出决算减少1.1万元，下降100%；</w:t>
      </w:r>
      <w:r>
        <w:rPr>
          <w:rFonts w:hint="eastAsia" w:ascii="仿宋_GB2312" w:hAnsi="仿宋_GB2312" w:eastAsia="仿宋_GB2312" w:cs="仿宋_GB2312"/>
          <w:color w:val="auto"/>
          <w:sz w:val="32"/>
          <w:szCs w:val="32"/>
          <w:lang w:eastAsia="zh-CN"/>
        </w:rPr>
        <w:t>原因：</w:t>
      </w:r>
      <w:r>
        <w:rPr>
          <w:rFonts w:hint="eastAsia" w:ascii="仿宋_GB2312" w:hAnsi="仿宋_GB2312" w:eastAsia="仿宋_GB2312" w:cs="仿宋_GB2312"/>
          <w:color w:val="auto"/>
          <w:sz w:val="32"/>
          <w:szCs w:val="32"/>
        </w:rPr>
        <w:t>2019年度一般公共预算财政拨款“三公”经费支出</w:t>
      </w:r>
      <w:r>
        <w:rPr>
          <w:rFonts w:hint="eastAsia" w:ascii="仿宋_GB2312" w:hAnsi="仿宋_GB2312" w:eastAsia="仿宋_GB2312" w:cs="仿宋_GB2312"/>
          <w:color w:val="auto"/>
          <w:sz w:val="32"/>
          <w:szCs w:val="32"/>
          <w:lang w:val="en-US" w:eastAsia="zh-CN"/>
        </w:rPr>
        <w:t>0万元</w:t>
      </w:r>
      <w:r>
        <w:rPr>
          <w:rFonts w:hint="eastAsia" w:ascii="仿宋_GB2312" w:hAnsi="仿宋_GB2312" w:eastAsia="仿宋_GB2312" w:cs="仿宋_GB2312"/>
          <w:color w:val="auto"/>
          <w:sz w:val="32"/>
          <w:szCs w:val="32"/>
          <w:lang w:eastAsia="zh-CN"/>
        </w:rPr>
        <w:t>，按财政决算口径统一要求是：财政拨款支出安排的公用经费，当年本部门没有相关工作经费支出。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eastAsia="Times New Roman"/>
          <w:color w:val="auto"/>
          <w:sz w:val="32"/>
          <w:szCs w:val="32"/>
        </w:rPr>
      </w:pPr>
      <w:r>
        <w:rPr>
          <w:rFonts w:hint="eastAsia" w:ascii="黑体" w:hAnsi="黑体" w:eastAsia="黑体"/>
          <w:color w:val="auto"/>
          <w:sz w:val="32"/>
          <w:szCs w:val="32"/>
        </w:rPr>
        <w:t>第四部分  其他重要事项及相关口径情况说明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olor w:val="auto"/>
          <w:sz w:val="32"/>
          <w:szCs w:val="32"/>
        </w:rPr>
      </w:pPr>
      <w:r>
        <w:rPr>
          <w:rFonts w:hint="eastAsia" w:ascii="黑体" w:hAnsi="黑体" w:eastAsia="黑体"/>
          <w:color w:val="auto"/>
          <w:sz w:val="32"/>
          <w:szCs w:val="32"/>
        </w:rPr>
        <w:t>一、机关运行经费支出情况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
          <w:color w:val="FF0000"/>
          <w:sz w:val="32"/>
          <w:szCs w:val="32"/>
          <w:lang w:eastAsia="zh-CN"/>
        </w:rPr>
      </w:pPr>
      <w:r>
        <w:rPr>
          <w:rFonts w:hint="eastAsia" w:ascii="仿宋" w:hAnsi="仿宋" w:eastAsia="仿宋"/>
          <w:color w:val="auto"/>
          <w:sz w:val="32"/>
          <w:szCs w:val="32"/>
        </w:rPr>
        <w:t>芒市妇幼保健计划生育服务中心部门2019年度一般公共预算财政拨款</w:t>
      </w:r>
      <w:r>
        <w:rPr>
          <w:rFonts w:hint="default" w:eastAsia="Times New Roman"/>
          <w:color w:val="auto"/>
          <w:sz w:val="32"/>
          <w:szCs w:val="32"/>
        </w:rPr>
        <w:t>“</w:t>
      </w:r>
      <w:r>
        <w:rPr>
          <w:rFonts w:hint="eastAsia" w:ascii="仿宋" w:hAnsi="仿宋" w:eastAsia="仿宋"/>
          <w:color w:val="auto"/>
          <w:sz w:val="32"/>
          <w:szCs w:val="32"/>
        </w:rPr>
        <w:t>三公</w:t>
      </w:r>
      <w:r>
        <w:rPr>
          <w:rFonts w:hint="default" w:eastAsia="Times New Roman"/>
          <w:color w:val="auto"/>
          <w:sz w:val="32"/>
          <w:szCs w:val="32"/>
        </w:rPr>
        <w:t>”</w:t>
      </w:r>
      <w:r>
        <w:rPr>
          <w:rFonts w:hint="eastAsia" w:ascii="仿宋" w:hAnsi="仿宋" w:eastAsia="仿宋"/>
          <w:color w:val="auto"/>
          <w:sz w:val="32"/>
          <w:szCs w:val="32"/>
        </w:rPr>
        <w:t>经费支出预算为</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万元，支出决算为0万元</w:t>
      </w:r>
      <w:r>
        <w:rPr>
          <w:rFonts w:hint="eastAsia" w:ascii="仿宋" w:hAnsi="仿宋" w:eastAsia="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eastAsia="Times New Roman"/>
          <w:color w:val="auto"/>
          <w:sz w:val="32"/>
          <w:szCs w:val="32"/>
        </w:rPr>
      </w:pPr>
      <w:r>
        <w:rPr>
          <w:rFonts w:hint="eastAsia" w:ascii="仿宋" w:hAnsi="仿宋" w:eastAsia="仿宋"/>
          <w:color w:val="auto"/>
          <w:sz w:val="32"/>
          <w:szCs w:val="32"/>
        </w:rPr>
        <w:t>2019年度一般公共预算财政拨款</w:t>
      </w:r>
      <w:r>
        <w:rPr>
          <w:rFonts w:hint="default" w:eastAsia="Times New Roman"/>
          <w:color w:val="auto"/>
          <w:sz w:val="32"/>
          <w:szCs w:val="32"/>
        </w:rPr>
        <w:t>“</w:t>
      </w:r>
      <w:r>
        <w:rPr>
          <w:rFonts w:hint="eastAsia" w:ascii="仿宋" w:hAnsi="仿宋" w:eastAsia="仿宋"/>
          <w:color w:val="auto"/>
          <w:sz w:val="32"/>
          <w:szCs w:val="32"/>
        </w:rPr>
        <w:t>三公</w:t>
      </w:r>
      <w:r>
        <w:rPr>
          <w:rFonts w:hint="default" w:eastAsia="Times New Roman"/>
          <w:color w:val="auto"/>
          <w:sz w:val="32"/>
          <w:szCs w:val="32"/>
        </w:rPr>
        <w:t>”</w:t>
      </w:r>
      <w:r>
        <w:rPr>
          <w:rFonts w:hint="eastAsia" w:ascii="仿宋" w:hAnsi="仿宋" w:eastAsia="仿宋"/>
          <w:color w:val="auto"/>
          <w:sz w:val="32"/>
          <w:szCs w:val="32"/>
        </w:rPr>
        <w:t>经费支出决算数比2018年减少1.1万元，下降100%。其中：因公出国（境）费支出决算减少0万元，下降0%；公务用车购置及运行费支出决算减少1.1万元，下降100%；</w:t>
      </w:r>
      <w:r>
        <w:rPr>
          <w:rFonts w:hint="eastAsia" w:ascii="仿宋" w:hAnsi="仿宋" w:eastAsia="仿宋"/>
          <w:color w:val="auto"/>
          <w:sz w:val="32"/>
          <w:szCs w:val="32"/>
          <w:lang w:eastAsia="zh-CN"/>
        </w:rPr>
        <w:t>原因是</w:t>
      </w:r>
      <w:r>
        <w:rPr>
          <w:rFonts w:hint="eastAsia" w:ascii="仿宋" w:hAnsi="仿宋" w:eastAsia="仿宋"/>
          <w:color w:val="auto"/>
          <w:sz w:val="32"/>
          <w:szCs w:val="32"/>
        </w:rPr>
        <w:t>2019年度一般公共预算财政拨款</w:t>
      </w:r>
      <w:r>
        <w:rPr>
          <w:rFonts w:hint="default" w:eastAsia="Times New Roman"/>
          <w:color w:val="auto"/>
          <w:sz w:val="32"/>
          <w:szCs w:val="32"/>
        </w:rPr>
        <w:t>“</w:t>
      </w:r>
      <w:r>
        <w:rPr>
          <w:rFonts w:hint="eastAsia" w:ascii="仿宋" w:hAnsi="仿宋" w:eastAsia="仿宋"/>
          <w:color w:val="auto"/>
          <w:sz w:val="32"/>
          <w:szCs w:val="32"/>
        </w:rPr>
        <w:t>三公</w:t>
      </w:r>
      <w:r>
        <w:rPr>
          <w:rFonts w:hint="default" w:eastAsia="Times New Roman"/>
          <w:color w:val="auto"/>
          <w:sz w:val="32"/>
          <w:szCs w:val="32"/>
        </w:rPr>
        <w:t>”</w:t>
      </w:r>
      <w:r>
        <w:rPr>
          <w:rFonts w:hint="eastAsia" w:ascii="仿宋" w:hAnsi="仿宋" w:eastAsia="仿宋"/>
          <w:color w:val="auto"/>
          <w:sz w:val="32"/>
          <w:szCs w:val="32"/>
        </w:rPr>
        <w:t>经费支出</w:t>
      </w:r>
      <w:r>
        <w:rPr>
          <w:rFonts w:hint="eastAsia" w:ascii="仿宋" w:hAnsi="仿宋" w:eastAsia="仿宋"/>
          <w:color w:val="auto"/>
          <w:sz w:val="32"/>
          <w:szCs w:val="32"/>
          <w:lang w:val="en-US" w:eastAsia="zh-CN"/>
        </w:rPr>
        <w:t>0万元</w:t>
      </w:r>
      <w:r>
        <w:rPr>
          <w:rFonts w:hint="eastAsia" w:ascii="仿宋" w:hAnsi="仿宋" w:eastAsia="仿宋"/>
          <w:color w:val="auto"/>
          <w:sz w:val="32"/>
          <w:szCs w:val="32"/>
          <w:lang w:eastAsia="zh-CN"/>
        </w:rPr>
        <w:t>，按财政决算口径统一要求是：财政拨款支出安排的公用经费，当年本部门没有相关工作经费支出。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eastAsia="Times New Roman"/>
          <w:color w:val="auto"/>
          <w:sz w:val="32"/>
          <w:szCs w:val="32"/>
        </w:rPr>
      </w:pPr>
      <w:r>
        <w:rPr>
          <w:rFonts w:hint="eastAsia" w:ascii="黑体" w:hAnsi="黑体" w:eastAsia="黑体"/>
          <w:color w:val="auto"/>
          <w:sz w:val="32"/>
          <w:szCs w:val="32"/>
        </w:rPr>
        <w:t>二、国有资产占用情况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截至2019年12月31日，芒市妇幼保健计划生育服务中心部门资产总额</w:t>
      </w:r>
      <w:r>
        <w:rPr>
          <w:rFonts w:hint="eastAsia" w:ascii="仿宋_GB2312" w:hAnsi="仿宋_GB2312" w:eastAsia="仿宋_GB2312" w:cs="仿宋_GB2312"/>
          <w:color w:val="auto"/>
          <w:sz w:val="32"/>
          <w:szCs w:val="32"/>
          <w:lang w:val="en-US" w:eastAsia="zh-CN"/>
        </w:rPr>
        <w:t xml:space="preserve">  8940.73</w:t>
      </w:r>
      <w:r>
        <w:rPr>
          <w:rFonts w:hint="eastAsia" w:ascii="仿宋_GB2312" w:hAnsi="仿宋_GB2312" w:eastAsia="仿宋_GB2312" w:cs="仿宋_GB2312"/>
          <w:color w:val="auto"/>
          <w:kern w:val="0"/>
          <w:sz w:val="32"/>
          <w:szCs w:val="32"/>
        </w:rPr>
        <w:t>万</w:t>
      </w:r>
      <w:r>
        <w:rPr>
          <w:rFonts w:hint="eastAsia" w:ascii="仿宋_GB2312" w:hAnsi="仿宋_GB2312" w:eastAsia="仿宋_GB2312" w:cs="仿宋_GB2312"/>
          <w:color w:val="auto"/>
          <w:sz w:val="32"/>
          <w:szCs w:val="32"/>
        </w:rPr>
        <w:t>元，其中，流动资产</w:t>
      </w:r>
      <w:r>
        <w:rPr>
          <w:rFonts w:hint="eastAsia" w:ascii="仿宋_GB2312" w:hAnsi="仿宋_GB2312" w:eastAsia="仿宋_GB2312" w:cs="仿宋_GB2312"/>
          <w:color w:val="auto"/>
          <w:sz w:val="32"/>
          <w:szCs w:val="32"/>
          <w:lang w:val="en-US" w:eastAsia="zh-CN"/>
        </w:rPr>
        <w:t>3541.79</w:t>
      </w:r>
      <w:r>
        <w:rPr>
          <w:rFonts w:hint="eastAsia" w:ascii="仿宋_GB2312" w:hAnsi="仿宋_GB2312" w:eastAsia="仿宋_GB2312" w:cs="仿宋_GB2312"/>
          <w:color w:val="auto"/>
          <w:kern w:val="0"/>
          <w:sz w:val="32"/>
          <w:szCs w:val="32"/>
        </w:rPr>
        <w:t>万</w:t>
      </w:r>
      <w:r>
        <w:rPr>
          <w:rFonts w:hint="eastAsia" w:ascii="仿宋_GB2312" w:hAnsi="仿宋_GB2312" w:eastAsia="仿宋_GB2312" w:cs="仿宋_GB2312"/>
          <w:color w:val="auto"/>
          <w:sz w:val="32"/>
          <w:szCs w:val="32"/>
        </w:rPr>
        <w:t>元，固定资产</w:t>
      </w:r>
      <w:r>
        <w:rPr>
          <w:rFonts w:hint="eastAsia" w:ascii="仿宋_GB2312" w:hAnsi="仿宋_GB2312" w:eastAsia="仿宋_GB2312" w:cs="仿宋_GB2312"/>
          <w:color w:val="auto"/>
          <w:sz w:val="32"/>
          <w:szCs w:val="32"/>
          <w:lang w:val="en-US" w:eastAsia="zh-CN"/>
        </w:rPr>
        <w:t>3820.19</w:t>
      </w:r>
      <w:r>
        <w:rPr>
          <w:rFonts w:hint="eastAsia" w:ascii="仿宋_GB2312" w:hAnsi="仿宋_GB2312" w:eastAsia="仿宋_GB2312" w:cs="仿宋_GB2312"/>
          <w:color w:val="auto"/>
          <w:kern w:val="0"/>
          <w:sz w:val="32"/>
          <w:szCs w:val="32"/>
        </w:rPr>
        <w:t>万</w:t>
      </w:r>
      <w:r>
        <w:rPr>
          <w:rFonts w:hint="eastAsia" w:ascii="仿宋_GB2312" w:hAnsi="仿宋_GB2312" w:eastAsia="仿宋_GB2312" w:cs="仿宋_GB2312"/>
          <w:color w:val="auto"/>
          <w:sz w:val="32"/>
          <w:szCs w:val="32"/>
        </w:rPr>
        <w:t>元，对外投资及有价证券</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kern w:val="0"/>
          <w:sz w:val="32"/>
          <w:szCs w:val="32"/>
        </w:rPr>
        <w:t>万</w:t>
      </w:r>
      <w:r>
        <w:rPr>
          <w:rFonts w:hint="eastAsia" w:ascii="仿宋_GB2312" w:hAnsi="仿宋_GB2312" w:eastAsia="仿宋_GB2312" w:cs="仿宋_GB2312"/>
          <w:color w:val="auto"/>
          <w:sz w:val="32"/>
          <w:szCs w:val="32"/>
        </w:rPr>
        <w:t>元，在建工程</w:t>
      </w:r>
      <w:r>
        <w:rPr>
          <w:rFonts w:hint="eastAsia" w:ascii="仿宋_GB2312" w:hAnsi="仿宋_GB2312" w:eastAsia="仿宋_GB2312" w:cs="仿宋_GB2312"/>
          <w:color w:val="auto"/>
          <w:sz w:val="32"/>
          <w:szCs w:val="32"/>
          <w:lang w:val="en-US" w:eastAsia="zh-CN"/>
        </w:rPr>
        <w:t>1486.31</w:t>
      </w:r>
      <w:r>
        <w:rPr>
          <w:rFonts w:hint="eastAsia" w:ascii="仿宋_GB2312" w:hAnsi="仿宋_GB2312" w:eastAsia="仿宋_GB2312" w:cs="仿宋_GB2312"/>
          <w:color w:val="auto"/>
          <w:kern w:val="0"/>
          <w:sz w:val="32"/>
          <w:szCs w:val="32"/>
        </w:rPr>
        <w:t>万</w:t>
      </w:r>
      <w:r>
        <w:rPr>
          <w:rFonts w:hint="eastAsia" w:ascii="仿宋_GB2312" w:hAnsi="仿宋_GB2312" w:eastAsia="仿宋_GB2312" w:cs="仿宋_GB2312"/>
          <w:color w:val="auto"/>
          <w:sz w:val="32"/>
          <w:szCs w:val="32"/>
        </w:rPr>
        <w:t>元，无形资产</w:t>
      </w:r>
      <w:r>
        <w:rPr>
          <w:rFonts w:hint="eastAsia" w:ascii="仿宋_GB2312" w:hAnsi="仿宋_GB2312" w:eastAsia="仿宋_GB2312" w:cs="仿宋_GB2312"/>
          <w:color w:val="auto"/>
          <w:sz w:val="32"/>
          <w:szCs w:val="32"/>
          <w:lang w:val="en-US" w:eastAsia="zh-CN"/>
        </w:rPr>
        <w:t>92.44</w:t>
      </w:r>
      <w:r>
        <w:rPr>
          <w:rFonts w:hint="eastAsia" w:ascii="仿宋_GB2312" w:hAnsi="仿宋_GB2312" w:eastAsia="仿宋_GB2312" w:cs="仿宋_GB2312"/>
          <w:color w:val="auto"/>
          <w:kern w:val="0"/>
          <w:sz w:val="32"/>
          <w:szCs w:val="32"/>
        </w:rPr>
        <w:t>万</w:t>
      </w:r>
      <w:r>
        <w:rPr>
          <w:rFonts w:hint="eastAsia" w:ascii="仿宋_GB2312" w:hAnsi="仿宋_GB2312" w:eastAsia="仿宋_GB2312" w:cs="仿宋_GB2312"/>
          <w:color w:val="auto"/>
          <w:sz w:val="32"/>
          <w:szCs w:val="32"/>
        </w:rPr>
        <w:t>元，其他资产</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kern w:val="0"/>
          <w:sz w:val="32"/>
          <w:szCs w:val="32"/>
        </w:rPr>
        <w:t>万</w:t>
      </w:r>
      <w:r>
        <w:rPr>
          <w:rFonts w:hint="eastAsia" w:ascii="仿宋_GB2312" w:hAnsi="仿宋_GB2312" w:eastAsia="仿宋_GB2312" w:cs="仿宋_GB2312"/>
          <w:color w:val="auto"/>
          <w:sz w:val="32"/>
          <w:szCs w:val="32"/>
        </w:rPr>
        <w:t>元（具体内容详见附表）。与上年相比，本年资产总额增加</w:t>
      </w:r>
      <w:r>
        <w:rPr>
          <w:rFonts w:hint="eastAsia" w:ascii="仿宋_GB2312" w:hAnsi="仿宋_GB2312" w:eastAsia="仿宋_GB2312" w:cs="仿宋_GB2312"/>
          <w:color w:val="auto"/>
          <w:sz w:val="32"/>
          <w:szCs w:val="32"/>
          <w:lang w:val="en-US" w:eastAsia="zh-CN"/>
        </w:rPr>
        <w:t>2370.83</w:t>
      </w:r>
      <w:r>
        <w:rPr>
          <w:rFonts w:hint="eastAsia" w:ascii="仿宋_GB2312" w:hAnsi="仿宋_GB2312" w:eastAsia="仿宋_GB2312" w:cs="仿宋_GB2312"/>
          <w:color w:val="auto"/>
          <w:sz w:val="32"/>
          <w:szCs w:val="32"/>
        </w:rPr>
        <w:t>万元，其中;流动资产增加</w:t>
      </w:r>
      <w:r>
        <w:rPr>
          <w:rFonts w:hint="eastAsia" w:ascii="仿宋_GB2312" w:hAnsi="仿宋_GB2312" w:eastAsia="仿宋_GB2312" w:cs="仿宋_GB2312"/>
          <w:color w:val="auto"/>
          <w:sz w:val="32"/>
          <w:szCs w:val="32"/>
          <w:lang w:val="en-US" w:eastAsia="zh-CN"/>
        </w:rPr>
        <w:t>628.45</w:t>
      </w:r>
      <w:r>
        <w:rPr>
          <w:rFonts w:hint="eastAsia" w:ascii="仿宋_GB2312" w:hAnsi="仿宋_GB2312" w:eastAsia="仿宋_GB2312" w:cs="仿宋_GB2312"/>
          <w:color w:val="auto"/>
          <w:sz w:val="32"/>
          <w:szCs w:val="32"/>
        </w:rPr>
        <w:t>万元，固定资产增加</w:t>
      </w:r>
      <w:r>
        <w:rPr>
          <w:rFonts w:hint="eastAsia" w:ascii="仿宋_GB2312" w:hAnsi="仿宋_GB2312" w:eastAsia="仿宋_GB2312" w:cs="仿宋_GB2312"/>
          <w:color w:val="auto"/>
          <w:sz w:val="32"/>
          <w:szCs w:val="32"/>
          <w:lang w:val="en-US" w:eastAsia="zh-CN"/>
        </w:rPr>
        <w:t>455.17</w:t>
      </w:r>
      <w:r>
        <w:rPr>
          <w:rFonts w:hint="eastAsia" w:ascii="仿宋_GB2312" w:hAnsi="仿宋_GB2312" w:eastAsia="仿宋_GB2312" w:cs="仿宋_GB2312"/>
          <w:color w:val="auto"/>
          <w:sz w:val="32"/>
          <w:szCs w:val="32"/>
        </w:rPr>
        <w:t>万元,对外投资及有价证券增加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万元，在建工程增加</w:t>
      </w:r>
      <w:r>
        <w:rPr>
          <w:rFonts w:hint="eastAsia" w:ascii="仿宋_GB2312" w:hAnsi="仿宋_GB2312" w:eastAsia="仿宋_GB2312" w:cs="仿宋_GB2312"/>
          <w:color w:val="auto"/>
          <w:sz w:val="32"/>
          <w:szCs w:val="32"/>
          <w:lang w:val="en-US" w:eastAsia="zh-CN"/>
        </w:rPr>
        <w:t>1286.31</w:t>
      </w:r>
      <w:r>
        <w:rPr>
          <w:rFonts w:hint="eastAsia" w:ascii="仿宋_GB2312" w:hAnsi="仿宋_GB2312" w:eastAsia="仿宋_GB2312" w:cs="仿宋_GB2312"/>
          <w:color w:val="auto"/>
          <w:sz w:val="32"/>
          <w:szCs w:val="32"/>
        </w:rPr>
        <w:t>万元，无形资产增加</w:t>
      </w:r>
      <w:r>
        <w:rPr>
          <w:rFonts w:hint="eastAsia" w:ascii="仿宋_GB2312" w:hAnsi="仿宋_GB2312" w:eastAsia="仿宋_GB2312" w:cs="仿宋_GB2312"/>
          <w:color w:val="auto"/>
          <w:sz w:val="32"/>
          <w:szCs w:val="32"/>
          <w:lang w:val="en-US" w:eastAsia="zh-CN"/>
        </w:rPr>
        <w:t>0.9</w:t>
      </w:r>
      <w:r>
        <w:rPr>
          <w:rFonts w:hint="eastAsia" w:ascii="仿宋_GB2312" w:hAnsi="仿宋_GB2312" w:eastAsia="仿宋_GB2312" w:cs="仿宋_GB2312"/>
          <w:color w:val="auto"/>
          <w:sz w:val="32"/>
          <w:szCs w:val="32"/>
        </w:rPr>
        <w:t>万元，其他资产增加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万元。处置房屋建筑物</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平方米；处置车辆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辆；报废报损资产</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项，账面原值</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万元，实现资产处置收入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万元；出租房屋</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平方米，实现资产使用收入</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w:t>
      </w:r>
    </w:p>
    <w:tbl>
      <w:tblPr>
        <w:tblStyle w:val="3"/>
        <w:tblpPr w:leftFromText="180" w:rightFromText="180" w:topFromText="100" w:bottomFromText="100" w:vertAnchor="text" w:horzAnchor="page" w:tblpXSpec="center" w:tblpY="490"/>
        <w:tblOverlap w:val="never"/>
        <w:tblW w:w="99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0"/>
        <w:gridCol w:w="447"/>
        <w:gridCol w:w="765"/>
        <w:gridCol w:w="735"/>
        <w:gridCol w:w="272"/>
        <w:gridCol w:w="853"/>
        <w:gridCol w:w="595"/>
        <w:gridCol w:w="95"/>
        <w:gridCol w:w="704"/>
        <w:gridCol w:w="301"/>
        <w:gridCol w:w="599"/>
        <w:gridCol w:w="180"/>
        <w:gridCol w:w="904"/>
        <w:gridCol w:w="905"/>
        <w:gridCol w:w="332"/>
        <w:gridCol w:w="572"/>
        <w:gridCol w:w="332"/>
        <w:gridCol w:w="130"/>
        <w:gridCol w:w="448"/>
        <w:gridCol w:w="1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4" w:hRule="atLeast"/>
          <w:jc w:val="center"/>
        </w:trPr>
        <w:tc>
          <w:tcPr>
            <w:tcW w:w="9829" w:type="dxa"/>
            <w:gridSpan w:val="19"/>
            <w:tcBorders>
              <w:top w:val="nil"/>
              <w:left w:val="nil"/>
              <w:bottom w:val="nil"/>
              <w:right w:val="nil"/>
              <w:tl2br w:val="nil"/>
              <w:tr2bl w:val="nil"/>
            </w:tcBorders>
            <w:shd w:val="clear" w:color="auto" w:fill="FFFFFF"/>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center"/>
              <w:rPr>
                <w:rFonts w:hint="eastAsia" w:ascii="宋体" w:hAnsi="宋体"/>
                <w:color w:val="auto"/>
                <w:kern w:val="0"/>
                <w:sz w:val="24"/>
              </w:rPr>
            </w:pPr>
            <w:r>
              <w:rPr>
                <w:rFonts w:hint="eastAsia" w:ascii="仿宋_GB2312" w:hAnsi="方正小标宋_GBK" w:eastAsia="仿宋_GB2312"/>
                <w:b/>
                <w:color w:val="auto"/>
                <w:kern w:val="0"/>
                <w:sz w:val="30"/>
              </w:rPr>
              <w:t>国有资产占有使用情况表</w:t>
            </w:r>
          </w:p>
        </w:tc>
        <w:tc>
          <w:tcPr>
            <w:tcW w:w="130" w:type="dxa"/>
            <w:tcBorders>
              <w:top w:val="nil"/>
              <w:left w:val="nil"/>
              <w:bottom w:val="nil"/>
              <w:right w:val="nil"/>
              <w:tl2br w:val="nil"/>
              <w:tr2bl w:val="nil"/>
            </w:tcBorders>
            <w:noWrap w:val="0"/>
            <w:vAlign w:val="center"/>
          </w:tcPr>
          <w:p>
            <w:pPr>
              <w:jc w:val="left"/>
              <w:rPr>
                <w:rFonts w:hint="eastAsia" w:ascii="宋体" w:hAnsi="宋体"/>
                <w:color w:val="auto"/>
                <w:kern w:val="0"/>
                <w:sz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 w:hRule="atLeast"/>
          <w:jc w:val="center"/>
        </w:trPr>
        <w:tc>
          <w:tcPr>
            <w:tcW w:w="4327" w:type="dxa"/>
            <w:gridSpan w:val="7"/>
            <w:tcBorders>
              <w:top w:val="nil"/>
              <w:left w:val="nil"/>
              <w:bottom w:val="single" w:color="808080" w:sz="4" w:space="0"/>
              <w:right w:val="nil"/>
              <w:tl2br w:val="nil"/>
              <w:tr2bl w:val="nil"/>
            </w:tcBorders>
            <w:shd w:val="clear" w:color="auto" w:fill="FFFFFF"/>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center"/>
              <w:rPr>
                <w:rFonts w:hint="eastAsia" w:ascii="宋体" w:hAnsi="宋体"/>
                <w:color w:val="auto"/>
                <w:kern w:val="0"/>
                <w:sz w:val="24"/>
              </w:rPr>
            </w:pPr>
            <w:r>
              <w:rPr>
                <w:rFonts w:hint="eastAsia" w:ascii="宋体" w:hAnsi="宋体"/>
                <w:color w:val="auto"/>
                <w:kern w:val="0"/>
                <w:sz w:val="20"/>
              </w:rPr>
              <w:t> </w:t>
            </w:r>
          </w:p>
        </w:tc>
        <w:tc>
          <w:tcPr>
            <w:tcW w:w="799" w:type="dxa"/>
            <w:gridSpan w:val="2"/>
            <w:tcBorders>
              <w:top w:val="nil"/>
              <w:left w:val="nil"/>
              <w:bottom w:val="single" w:color="808080" w:sz="4" w:space="0"/>
              <w:right w:val="nil"/>
              <w:tl2br w:val="nil"/>
              <w:tr2bl w:val="nil"/>
            </w:tcBorders>
            <w:shd w:val="clear" w:color="auto" w:fill="FFFFFF"/>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color w:val="auto"/>
                <w:kern w:val="0"/>
                <w:sz w:val="24"/>
              </w:rPr>
            </w:pPr>
            <w:r>
              <w:rPr>
                <w:rFonts w:hint="eastAsia" w:ascii="宋体" w:hAnsi="宋体"/>
                <w:color w:val="auto"/>
                <w:kern w:val="0"/>
                <w:sz w:val="20"/>
              </w:rPr>
              <w:t> </w:t>
            </w:r>
          </w:p>
        </w:tc>
        <w:tc>
          <w:tcPr>
            <w:tcW w:w="900" w:type="dxa"/>
            <w:gridSpan w:val="2"/>
            <w:tcBorders>
              <w:top w:val="nil"/>
              <w:left w:val="nil"/>
              <w:bottom w:val="single" w:color="808080" w:sz="4" w:space="0"/>
              <w:right w:val="nil"/>
              <w:tl2br w:val="nil"/>
              <w:tr2bl w:val="nil"/>
            </w:tcBorders>
            <w:shd w:val="clear" w:color="auto" w:fill="FFFFFF"/>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color w:val="auto"/>
                <w:kern w:val="0"/>
                <w:sz w:val="24"/>
              </w:rPr>
            </w:pPr>
            <w:r>
              <w:rPr>
                <w:rFonts w:hint="eastAsia" w:ascii="宋体" w:hAnsi="宋体"/>
                <w:color w:val="auto"/>
                <w:kern w:val="0"/>
                <w:sz w:val="20"/>
              </w:rPr>
              <w:t> </w:t>
            </w:r>
          </w:p>
        </w:tc>
        <w:tc>
          <w:tcPr>
            <w:tcW w:w="180" w:type="dxa"/>
            <w:tcBorders>
              <w:top w:val="nil"/>
              <w:left w:val="nil"/>
              <w:bottom w:val="single" w:color="808080" w:sz="4" w:space="0"/>
              <w:right w:val="nil"/>
              <w:tl2br w:val="nil"/>
              <w:tr2bl w:val="nil"/>
            </w:tcBorders>
            <w:shd w:val="clear" w:color="auto" w:fill="FFFFFF"/>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color w:val="auto"/>
                <w:kern w:val="0"/>
                <w:sz w:val="24"/>
              </w:rPr>
            </w:pPr>
            <w:r>
              <w:rPr>
                <w:rFonts w:hint="eastAsia" w:ascii="宋体" w:hAnsi="宋体"/>
                <w:color w:val="auto"/>
                <w:kern w:val="0"/>
                <w:sz w:val="20"/>
              </w:rPr>
              <w:t> </w:t>
            </w:r>
          </w:p>
        </w:tc>
        <w:tc>
          <w:tcPr>
            <w:tcW w:w="904" w:type="dxa"/>
            <w:tcBorders>
              <w:top w:val="nil"/>
              <w:left w:val="nil"/>
              <w:bottom w:val="single" w:color="808080" w:sz="4" w:space="0"/>
              <w:right w:val="nil"/>
              <w:tl2br w:val="nil"/>
              <w:tr2bl w:val="nil"/>
            </w:tcBorders>
            <w:shd w:val="clear" w:color="auto" w:fill="FFFFFF"/>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color w:val="auto"/>
                <w:kern w:val="0"/>
                <w:sz w:val="24"/>
              </w:rPr>
            </w:pPr>
            <w:r>
              <w:rPr>
                <w:rFonts w:hint="eastAsia" w:ascii="宋体" w:hAnsi="宋体"/>
                <w:color w:val="auto"/>
                <w:kern w:val="0"/>
                <w:sz w:val="20"/>
              </w:rPr>
              <w:t> </w:t>
            </w:r>
          </w:p>
        </w:tc>
        <w:tc>
          <w:tcPr>
            <w:tcW w:w="905" w:type="dxa"/>
            <w:tcBorders>
              <w:top w:val="nil"/>
              <w:left w:val="nil"/>
              <w:bottom w:val="single" w:color="808080" w:sz="4" w:space="0"/>
              <w:right w:val="nil"/>
              <w:tl2br w:val="nil"/>
              <w:tr2bl w:val="nil"/>
            </w:tcBorders>
            <w:shd w:val="clear" w:color="auto" w:fill="FFFFFF"/>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left"/>
              <w:rPr>
                <w:rFonts w:hint="eastAsia" w:ascii="宋体" w:hAnsi="宋体"/>
                <w:color w:val="auto"/>
                <w:kern w:val="0"/>
                <w:sz w:val="24"/>
              </w:rPr>
            </w:pPr>
            <w:r>
              <w:rPr>
                <w:rFonts w:hint="eastAsia" w:ascii="宋体" w:hAnsi="宋体"/>
                <w:color w:val="auto"/>
                <w:kern w:val="0"/>
                <w:sz w:val="20"/>
              </w:rPr>
              <w:t> </w:t>
            </w:r>
          </w:p>
        </w:tc>
        <w:tc>
          <w:tcPr>
            <w:tcW w:w="1814" w:type="dxa"/>
            <w:gridSpan w:val="5"/>
            <w:tcBorders>
              <w:top w:val="nil"/>
              <w:left w:val="nil"/>
              <w:bottom w:val="single" w:color="808080" w:sz="4" w:space="0"/>
              <w:right w:val="nil"/>
              <w:tl2br w:val="nil"/>
              <w:tr2bl w:val="nil"/>
            </w:tcBorders>
            <w:shd w:val="clear" w:color="auto" w:fill="FFFFFF"/>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40" w:lineRule="exact"/>
              <w:jc w:val="right"/>
              <w:textAlignment w:val="center"/>
              <w:rPr>
                <w:rFonts w:hint="eastAsia" w:ascii="宋体" w:hAnsi="宋体"/>
                <w:color w:val="auto"/>
                <w:kern w:val="0"/>
                <w:sz w:val="24"/>
              </w:rPr>
            </w:pPr>
            <w:r>
              <w:rPr>
                <w:rFonts w:hint="eastAsia" w:ascii="宋体" w:hAnsi="宋体"/>
                <w:color w:val="auto"/>
                <w:kern w:val="0"/>
                <w:sz w:val="20"/>
              </w:rPr>
              <w:t>单位：万元</w:t>
            </w:r>
          </w:p>
        </w:tc>
        <w:tc>
          <w:tcPr>
            <w:tcW w:w="130" w:type="dxa"/>
            <w:tcBorders>
              <w:top w:val="nil"/>
              <w:left w:val="nil"/>
              <w:bottom w:val="nil"/>
              <w:right w:val="nil"/>
              <w:tl2br w:val="nil"/>
              <w:tr2bl w:val="nil"/>
            </w:tcBorders>
            <w:noWrap w:val="0"/>
            <w:vAlign w:val="center"/>
          </w:tcPr>
          <w:p>
            <w:pPr>
              <w:jc w:val="left"/>
              <w:rPr>
                <w:rFonts w:hint="eastAsia" w:ascii="宋体" w:hAnsi="宋体"/>
                <w:color w:val="auto"/>
                <w:kern w:val="0"/>
                <w:sz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3" w:hRule="atLeast"/>
          <w:jc w:val="center"/>
        </w:trPr>
        <w:tc>
          <w:tcPr>
            <w:tcW w:w="660"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项目</w:t>
            </w:r>
          </w:p>
        </w:tc>
        <w:tc>
          <w:tcPr>
            <w:tcW w:w="447"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行次</w:t>
            </w:r>
          </w:p>
        </w:tc>
        <w:tc>
          <w:tcPr>
            <w:tcW w:w="765"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资产总额</w:t>
            </w:r>
          </w:p>
        </w:tc>
        <w:tc>
          <w:tcPr>
            <w:tcW w:w="735"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流动资产</w:t>
            </w:r>
          </w:p>
        </w:tc>
        <w:tc>
          <w:tcPr>
            <w:tcW w:w="3599" w:type="dxa"/>
            <w:gridSpan w:val="8"/>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固定资产</w:t>
            </w:r>
          </w:p>
        </w:tc>
        <w:tc>
          <w:tcPr>
            <w:tcW w:w="904"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对外投资/有价证券</w:t>
            </w:r>
          </w:p>
        </w:tc>
        <w:tc>
          <w:tcPr>
            <w:tcW w:w="905"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在建工程</w:t>
            </w:r>
          </w:p>
        </w:tc>
        <w:tc>
          <w:tcPr>
            <w:tcW w:w="904" w:type="dxa"/>
            <w:gridSpan w:val="2"/>
            <w:vMerge w:val="restart"/>
            <w:tcBorders>
              <w:top w:val="nil"/>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无形资产</w:t>
            </w:r>
          </w:p>
        </w:tc>
        <w:tc>
          <w:tcPr>
            <w:tcW w:w="910" w:type="dxa"/>
            <w:gridSpan w:val="3"/>
            <w:vMerge w:val="restart"/>
            <w:tcBorders>
              <w:top w:val="nil"/>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其他资产</w:t>
            </w:r>
          </w:p>
        </w:tc>
        <w:tc>
          <w:tcPr>
            <w:tcW w:w="130" w:type="dxa"/>
            <w:tcBorders>
              <w:top w:val="nil"/>
              <w:left w:val="nil"/>
              <w:bottom w:val="nil"/>
              <w:right w:val="nil"/>
              <w:tl2br w:val="nil"/>
              <w:tr2bl w:val="nil"/>
            </w:tcBorders>
            <w:noWrap w:val="0"/>
            <w:vAlign w:val="center"/>
          </w:tcPr>
          <w:p>
            <w:pPr>
              <w:jc w:val="left"/>
              <w:rPr>
                <w:rFonts w:hint="eastAsia" w:ascii="宋体" w:hAnsi="宋体"/>
                <w:color w:val="auto"/>
                <w:kern w:val="0"/>
                <w:sz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jc w:val="center"/>
        </w:trPr>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4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7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7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272"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小计</w:t>
            </w:r>
          </w:p>
        </w:tc>
        <w:tc>
          <w:tcPr>
            <w:tcW w:w="853" w:type="dxa"/>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房屋构筑物</w:t>
            </w:r>
          </w:p>
        </w:tc>
        <w:tc>
          <w:tcPr>
            <w:tcW w:w="690"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车辆</w:t>
            </w:r>
          </w:p>
        </w:tc>
        <w:tc>
          <w:tcPr>
            <w:tcW w:w="1005"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单价200万以上大型设备</w:t>
            </w:r>
          </w:p>
        </w:tc>
        <w:tc>
          <w:tcPr>
            <w:tcW w:w="779"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其他固定资产</w:t>
            </w:r>
          </w:p>
        </w:tc>
        <w:tc>
          <w:tcPr>
            <w:tcW w:w="9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9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904" w:type="dxa"/>
            <w:gridSpan w:val="2"/>
            <w:vMerge w:val="continue"/>
            <w:tcBorders>
              <w:top w:val="nil"/>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910" w:type="dxa"/>
            <w:gridSpan w:val="3"/>
            <w:vMerge w:val="continue"/>
            <w:tcBorders>
              <w:top w:val="nil"/>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130" w:type="dxa"/>
            <w:tcBorders>
              <w:top w:val="nil"/>
              <w:left w:val="nil"/>
              <w:bottom w:val="nil"/>
              <w:right w:val="nil"/>
              <w:tl2br w:val="nil"/>
              <w:tr2bl w:val="nil"/>
            </w:tcBorders>
            <w:noWrap w:val="0"/>
            <w:vAlign w:val="center"/>
          </w:tcPr>
          <w:p>
            <w:pPr>
              <w:jc w:val="left"/>
              <w:rPr>
                <w:rFonts w:hint="eastAsia" w:ascii="宋体" w:hAnsi="宋体"/>
                <w:color w:val="auto"/>
                <w:kern w:val="0"/>
                <w:sz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 w:hRule="atLeast"/>
          <w:jc w:val="center"/>
        </w:trPr>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4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7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73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27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85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690"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1005"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779"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9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9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904" w:type="dxa"/>
            <w:gridSpan w:val="2"/>
            <w:vMerge w:val="continue"/>
            <w:tcBorders>
              <w:top w:val="nil"/>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910" w:type="dxa"/>
            <w:gridSpan w:val="3"/>
            <w:vMerge w:val="continue"/>
            <w:tcBorders>
              <w:top w:val="nil"/>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130" w:type="dxa"/>
            <w:tcBorders>
              <w:top w:val="nil"/>
              <w:left w:val="nil"/>
              <w:bottom w:val="nil"/>
              <w:right w:val="nil"/>
              <w:tl2br w:val="nil"/>
              <w:tr2bl w:val="nil"/>
            </w:tcBorders>
            <w:noWrap w:val="0"/>
            <w:vAlign w:val="center"/>
          </w:tcPr>
          <w:p>
            <w:pPr>
              <w:jc w:val="left"/>
              <w:rPr>
                <w:rFonts w:hint="eastAsia" w:ascii="宋体" w:hAnsi="宋体"/>
                <w:color w:val="auto"/>
                <w:kern w:val="0"/>
                <w:sz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1"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栏次</w:t>
            </w:r>
          </w:p>
        </w:tc>
        <w:tc>
          <w:tcPr>
            <w:tcW w:w="44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1</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2</w:t>
            </w:r>
          </w:p>
        </w:tc>
        <w:tc>
          <w:tcPr>
            <w:tcW w:w="27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3</w:t>
            </w: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4</w:t>
            </w:r>
          </w:p>
        </w:tc>
        <w:tc>
          <w:tcPr>
            <w:tcW w:w="69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5</w:t>
            </w:r>
          </w:p>
        </w:tc>
        <w:tc>
          <w:tcPr>
            <w:tcW w:w="100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6</w:t>
            </w:r>
          </w:p>
        </w:tc>
        <w:tc>
          <w:tcPr>
            <w:tcW w:w="779"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7</w:t>
            </w:r>
          </w:p>
        </w:tc>
        <w:tc>
          <w:tcPr>
            <w:tcW w:w="904"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8</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9</w:t>
            </w:r>
          </w:p>
        </w:tc>
        <w:tc>
          <w:tcPr>
            <w:tcW w:w="90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10</w:t>
            </w:r>
          </w:p>
        </w:tc>
        <w:tc>
          <w:tcPr>
            <w:tcW w:w="91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11</w:t>
            </w:r>
          </w:p>
        </w:tc>
        <w:tc>
          <w:tcPr>
            <w:tcW w:w="130" w:type="dxa"/>
            <w:tcBorders>
              <w:top w:val="nil"/>
              <w:left w:val="nil"/>
              <w:bottom w:val="nil"/>
              <w:right w:val="nil"/>
              <w:tl2br w:val="nil"/>
              <w:tr2bl w:val="nil"/>
            </w:tcBorders>
            <w:noWrap w:val="0"/>
            <w:vAlign w:val="center"/>
          </w:tcPr>
          <w:p>
            <w:pPr>
              <w:jc w:val="left"/>
              <w:rPr>
                <w:rFonts w:hint="eastAsia" w:ascii="宋体" w:hAnsi="宋体"/>
                <w:color w:val="auto"/>
                <w:kern w:val="0"/>
                <w:sz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合计</w:t>
            </w:r>
          </w:p>
        </w:tc>
        <w:tc>
          <w:tcPr>
            <w:tcW w:w="447"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center"/>
              <w:rPr>
                <w:rFonts w:hint="eastAsia" w:ascii="宋体" w:hAnsi="宋体"/>
                <w:color w:val="auto"/>
                <w:kern w:val="0"/>
                <w:sz w:val="24"/>
              </w:rPr>
            </w:pPr>
            <w:r>
              <w:rPr>
                <w:rFonts w:hint="eastAsia" w:ascii="宋体" w:hAnsi="宋体"/>
                <w:color w:val="auto"/>
                <w:kern w:val="0"/>
                <w:sz w:val="20"/>
              </w:rPr>
              <w:t>1</w:t>
            </w: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r>
              <w:rPr>
                <w:rFonts w:hint="eastAsia" w:ascii="宋体" w:hAnsi="宋体"/>
                <w:color w:val="auto"/>
                <w:kern w:val="0"/>
                <w:sz w:val="20"/>
                <w:lang w:val="en-US" w:eastAsia="zh-CN"/>
              </w:rPr>
              <w:t>8940.73</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r>
              <w:rPr>
                <w:rFonts w:hint="eastAsia" w:ascii="宋体" w:hAnsi="宋体"/>
                <w:color w:val="auto"/>
                <w:kern w:val="0"/>
                <w:sz w:val="20"/>
                <w:lang w:val="en-US" w:eastAsia="zh-CN"/>
              </w:rPr>
              <w:t>3541.79</w:t>
            </w:r>
          </w:p>
        </w:tc>
        <w:tc>
          <w:tcPr>
            <w:tcW w:w="272"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p>
        </w:tc>
        <w:tc>
          <w:tcPr>
            <w:tcW w:w="853"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r>
              <w:rPr>
                <w:rFonts w:hint="eastAsia" w:ascii="宋体" w:hAnsi="宋体"/>
                <w:color w:val="auto"/>
                <w:kern w:val="0"/>
                <w:sz w:val="20"/>
                <w:lang w:val="en-US" w:eastAsia="zh-CN"/>
              </w:rPr>
              <w:t>756.65</w:t>
            </w:r>
          </w:p>
        </w:tc>
        <w:tc>
          <w:tcPr>
            <w:tcW w:w="690"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r>
              <w:rPr>
                <w:rFonts w:hint="eastAsia" w:ascii="宋体" w:hAnsi="宋体"/>
                <w:color w:val="auto"/>
                <w:kern w:val="0"/>
                <w:sz w:val="20"/>
                <w:lang w:val="en-US" w:eastAsia="zh-CN"/>
              </w:rPr>
              <w:t>82.82</w:t>
            </w:r>
          </w:p>
        </w:tc>
        <w:tc>
          <w:tcPr>
            <w:tcW w:w="1005"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r>
              <w:rPr>
                <w:rFonts w:hint="eastAsia" w:ascii="宋体" w:hAnsi="宋体"/>
                <w:color w:val="auto"/>
                <w:kern w:val="0"/>
                <w:sz w:val="20"/>
                <w:lang w:val="en-US" w:eastAsia="zh-CN"/>
              </w:rPr>
              <w:t>1006.6</w:t>
            </w:r>
          </w:p>
        </w:tc>
        <w:tc>
          <w:tcPr>
            <w:tcW w:w="779"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r>
              <w:rPr>
                <w:rFonts w:hint="eastAsia" w:ascii="宋体" w:hAnsi="宋体"/>
                <w:color w:val="auto"/>
                <w:kern w:val="0"/>
                <w:sz w:val="20"/>
                <w:lang w:val="en-US" w:eastAsia="zh-CN"/>
              </w:rPr>
              <w:t>1974.12</w:t>
            </w:r>
          </w:p>
        </w:tc>
        <w:tc>
          <w:tcPr>
            <w:tcW w:w="904"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r>
              <w:rPr>
                <w:rFonts w:hint="eastAsia" w:ascii="宋体" w:hAnsi="宋体"/>
                <w:color w:val="auto"/>
                <w:kern w:val="0"/>
                <w:sz w:val="20"/>
                <w:lang w:val="en-US" w:eastAsia="zh-CN"/>
              </w:rPr>
              <w:t>0</w:t>
            </w:r>
          </w:p>
        </w:tc>
        <w:tc>
          <w:tcPr>
            <w:tcW w:w="905" w:type="dxa"/>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r>
              <w:rPr>
                <w:rFonts w:hint="eastAsia" w:ascii="宋体" w:hAnsi="宋体"/>
                <w:color w:val="auto"/>
                <w:kern w:val="0"/>
                <w:sz w:val="20"/>
                <w:lang w:val="en-US" w:eastAsia="zh-CN"/>
              </w:rPr>
              <w:t>1486.31</w:t>
            </w:r>
          </w:p>
        </w:tc>
        <w:tc>
          <w:tcPr>
            <w:tcW w:w="904" w:type="dxa"/>
            <w:gridSpan w:val="2"/>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r>
              <w:rPr>
                <w:rFonts w:hint="eastAsia" w:ascii="宋体" w:hAnsi="宋体"/>
                <w:color w:val="auto"/>
                <w:kern w:val="0"/>
                <w:sz w:val="20"/>
                <w:lang w:val="en-US" w:eastAsia="zh-CN"/>
              </w:rPr>
              <w:t>92.44</w:t>
            </w:r>
          </w:p>
        </w:tc>
        <w:tc>
          <w:tcPr>
            <w:tcW w:w="910" w:type="dxa"/>
            <w:gridSpan w:val="3"/>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200" w:lineRule="exact"/>
              <w:jc w:val="center"/>
              <w:rPr>
                <w:rFonts w:hint="eastAsia" w:ascii="宋体" w:hAnsi="宋体"/>
                <w:color w:val="auto"/>
                <w:kern w:val="0"/>
                <w:sz w:val="24"/>
              </w:rPr>
            </w:pPr>
            <w:r>
              <w:rPr>
                <w:rFonts w:hint="eastAsia" w:ascii="宋体" w:hAnsi="宋体"/>
                <w:color w:val="auto"/>
                <w:kern w:val="0"/>
                <w:sz w:val="20"/>
                <w:lang w:val="en-US" w:eastAsia="zh-CN"/>
              </w:rPr>
              <w:t>0</w:t>
            </w:r>
          </w:p>
        </w:tc>
        <w:tc>
          <w:tcPr>
            <w:tcW w:w="130" w:type="dxa"/>
            <w:tcBorders>
              <w:top w:val="nil"/>
              <w:left w:val="nil"/>
              <w:bottom w:val="nil"/>
              <w:right w:val="nil"/>
              <w:tl2br w:val="nil"/>
              <w:tr2bl w:val="nil"/>
            </w:tcBorders>
            <w:noWrap w:val="0"/>
            <w:vAlign w:val="center"/>
          </w:tcPr>
          <w:p>
            <w:pPr>
              <w:jc w:val="left"/>
              <w:rPr>
                <w:rFonts w:hint="eastAsia" w:ascii="宋体" w:hAnsi="宋体"/>
                <w:color w:val="auto"/>
                <w:kern w:val="0"/>
                <w:sz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2"/>
          <w:wAfter w:w="578" w:type="dxa"/>
          <w:trHeight w:val="308" w:hRule="atLeast"/>
          <w:jc w:val="center"/>
        </w:trPr>
        <w:tc>
          <w:tcPr>
            <w:tcW w:w="8015" w:type="dxa"/>
            <w:gridSpan w:val="14"/>
            <w:tcBorders>
              <w:top w:val="nil"/>
              <w:left w:val="nil"/>
              <w:bottom w:val="nil"/>
              <w:right w:val="nil"/>
              <w:tl2br w:val="nil"/>
              <w:tr2bl w:val="nil"/>
            </w:tcBorders>
            <w:noWrap w:val="0"/>
            <w:tcMar>
              <w:top w:w="15" w:type="dxa"/>
              <w:left w:w="15" w:type="dxa"/>
              <w:bottom w:w="15" w:type="dxa"/>
              <w:right w:w="15" w:type="dxa"/>
            </w:tcMar>
            <w:vAlign w:val="bottom"/>
          </w:tcPr>
          <w:p>
            <w:pPr>
              <w:rPr>
                <w:rFonts w:hint="eastAsia" w:ascii="宋体" w:hAnsi="宋体"/>
                <w:color w:val="auto"/>
                <w:kern w:val="0"/>
                <w:sz w:val="24"/>
              </w:rPr>
            </w:pPr>
          </w:p>
        </w:tc>
        <w:tc>
          <w:tcPr>
            <w:tcW w:w="332" w:type="dxa"/>
            <w:tcBorders>
              <w:top w:val="nil"/>
              <w:left w:val="nil"/>
              <w:bottom w:val="nil"/>
              <w:right w:val="nil"/>
              <w:tl2br w:val="nil"/>
              <w:tr2bl w:val="nil"/>
            </w:tcBorders>
            <w:noWrap w:val="0"/>
            <w:tcMar>
              <w:top w:w="15" w:type="dxa"/>
              <w:left w:w="15" w:type="dxa"/>
              <w:bottom w:w="15" w:type="dxa"/>
              <w:right w:w="15" w:type="dxa"/>
            </w:tcMar>
            <w:vAlign w:val="bottom"/>
          </w:tcPr>
          <w:p>
            <w:pPr>
              <w:rPr>
                <w:rFonts w:hint="eastAsia" w:ascii="宋体" w:hAnsi="宋体"/>
                <w:color w:val="auto"/>
                <w:kern w:val="0"/>
                <w:sz w:val="20"/>
              </w:rPr>
            </w:pPr>
          </w:p>
        </w:tc>
        <w:tc>
          <w:tcPr>
            <w:tcW w:w="904" w:type="dxa"/>
            <w:gridSpan w:val="2"/>
            <w:tcBorders>
              <w:top w:val="nil"/>
              <w:left w:val="nil"/>
              <w:bottom w:val="nil"/>
              <w:right w:val="nil"/>
              <w:tl2br w:val="nil"/>
              <w:tr2bl w:val="nil"/>
            </w:tcBorders>
            <w:noWrap w:val="0"/>
            <w:tcMar>
              <w:top w:w="15" w:type="dxa"/>
              <w:left w:w="15" w:type="dxa"/>
              <w:bottom w:w="15" w:type="dxa"/>
              <w:right w:w="15" w:type="dxa"/>
            </w:tcMar>
            <w:vAlign w:val="bottom"/>
          </w:tcPr>
          <w:p>
            <w:pPr>
              <w:jc w:val="left"/>
              <w:rPr>
                <w:rFonts w:hint="eastAsia" w:ascii="宋体" w:hAnsi="宋体"/>
                <w:color w:val="auto"/>
                <w:kern w:val="0"/>
                <w:sz w:val="24"/>
              </w:rPr>
            </w:pPr>
          </w:p>
        </w:tc>
        <w:tc>
          <w:tcPr>
            <w:tcW w:w="130" w:type="dxa"/>
            <w:tcBorders>
              <w:top w:val="nil"/>
              <w:left w:val="nil"/>
              <w:bottom w:val="nil"/>
              <w:right w:val="nil"/>
              <w:tl2br w:val="nil"/>
              <w:tr2bl w:val="nil"/>
            </w:tcBorders>
            <w:noWrap w:val="0"/>
            <w:vAlign w:val="center"/>
          </w:tcPr>
          <w:p>
            <w:pPr>
              <w:jc w:val="left"/>
              <w:rPr>
                <w:rFonts w:hint="eastAsia" w:ascii="宋体" w:hAnsi="宋体"/>
                <w:color w:val="auto"/>
                <w:kern w:val="0"/>
                <w:sz w:val="1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jc w:val="center"/>
        </w:trPr>
        <w:tc>
          <w:tcPr>
            <w:tcW w:w="8919" w:type="dxa"/>
            <w:gridSpan w:val="16"/>
            <w:tcBorders>
              <w:top w:val="nil"/>
              <w:left w:val="nil"/>
              <w:bottom w:val="nil"/>
              <w:right w:val="nil"/>
              <w:tl2br w:val="nil"/>
              <w:tr2bl w:val="nil"/>
            </w:tcBorders>
            <w:noWrap w:val="0"/>
            <w:tcMar>
              <w:top w:w="15" w:type="dxa"/>
              <w:left w:w="15" w:type="dxa"/>
              <w:bottom w:w="15" w:type="dxa"/>
              <w:right w:w="15" w:type="dxa"/>
            </w:tcMar>
            <w:vAlign w:val="bottom"/>
          </w:tcPr>
          <w:p>
            <w:pPr>
              <w:rPr>
                <w:rFonts w:hint="eastAsia" w:ascii="宋体" w:hAnsi="宋体"/>
                <w:color w:val="auto"/>
                <w:kern w:val="0"/>
                <w:sz w:val="20"/>
              </w:rPr>
            </w:pPr>
            <w:r>
              <w:rPr>
                <w:rFonts w:hint="eastAsia" w:ascii="宋体" w:hAnsi="宋体"/>
                <w:color w:val="auto"/>
                <w:kern w:val="0"/>
                <w:sz w:val="20"/>
              </w:rPr>
              <w:t>填报说明：1.资产总额＝流动资产＋固定资产＋对外投资</w:t>
            </w:r>
            <w:r>
              <w:rPr>
                <w:rFonts w:hint="eastAsia" w:ascii="宋体" w:hAnsi="宋体"/>
                <w:color w:val="auto"/>
                <w:kern w:val="0"/>
                <w:sz w:val="20"/>
                <w:lang w:val="en-US" w:eastAsia="zh-CN"/>
              </w:rPr>
              <w:t>+</w:t>
            </w:r>
            <w:r>
              <w:rPr>
                <w:rFonts w:hint="eastAsia" w:ascii="宋体" w:hAnsi="宋体"/>
                <w:color w:val="auto"/>
                <w:kern w:val="0"/>
                <w:sz w:val="20"/>
              </w:rPr>
              <w:t>有价证券＋在建工程＋无形资产＋其他资产</w:t>
            </w:r>
          </w:p>
          <w:p>
            <w:pPr>
              <w:ind w:firstLine="1000" w:firstLineChars="500"/>
              <w:rPr>
                <w:rFonts w:hint="eastAsia" w:ascii="宋体" w:hAnsi="宋体"/>
                <w:color w:val="auto"/>
                <w:kern w:val="0"/>
                <w:sz w:val="20"/>
              </w:rPr>
            </w:pPr>
            <w:r>
              <w:rPr>
                <w:rFonts w:hint="eastAsia" w:ascii="宋体" w:hAnsi="宋体"/>
                <w:color w:val="auto"/>
                <w:kern w:val="0"/>
                <w:sz w:val="20"/>
              </w:rPr>
              <w:t>2.固定资产＝房屋构筑物＋车辆＋单价200万元以上大型设备＋其他固定资产</w:t>
            </w:r>
          </w:p>
        </w:tc>
        <w:tc>
          <w:tcPr>
            <w:tcW w:w="910" w:type="dxa"/>
            <w:gridSpan w:val="3"/>
            <w:tcBorders>
              <w:top w:val="nil"/>
              <w:left w:val="nil"/>
              <w:bottom w:val="nil"/>
              <w:right w:val="nil"/>
              <w:tl2br w:val="nil"/>
              <w:tr2bl w:val="nil"/>
            </w:tcBorders>
            <w:noWrap w:val="0"/>
            <w:tcMar>
              <w:top w:w="15" w:type="dxa"/>
              <w:left w:w="15" w:type="dxa"/>
              <w:bottom w:w="15" w:type="dxa"/>
              <w:right w:w="15" w:type="dxa"/>
            </w:tcMar>
            <w:vAlign w:val="bottom"/>
          </w:tcPr>
          <w:p>
            <w:pPr>
              <w:jc w:val="left"/>
              <w:rPr>
                <w:rFonts w:hint="eastAsia" w:ascii="宋体" w:hAnsi="宋体"/>
                <w:color w:val="auto"/>
                <w:kern w:val="0"/>
                <w:sz w:val="24"/>
              </w:rPr>
            </w:pPr>
            <w:r>
              <w:rPr>
                <w:rFonts w:hint="default" w:ascii="Arial" w:hAnsi="Arial"/>
                <w:color w:val="auto"/>
                <w:kern w:val="0"/>
                <w:sz w:val="20"/>
              </w:rPr>
              <w:t> </w:t>
            </w:r>
          </w:p>
        </w:tc>
        <w:tc>
          <w:tcPr>
            <w:tcW w:w="130" w:type="dxa"/>
            <w:tcBorders>
              <w:top w:val="nil"/>
              <w:left w:val="nil"/>
              <w:bottom w:val="nil"/>
              <w:right w:val="nil"/>
              <w:tl2br w:val="nil"/>
              <w:tr2bl w:val="nil"/>
            </w:tcBorders>
            <w:noWrap w:val="0"/>
            <w:vAlign w:val="center"/>
          </w:tcPr>
          <w:p>
            <w:pPr>
              <w:jc w:val="left"/>
              <w:rPr>
                <w:rFonts w:hint="default" w:eastAsia="Times New Roman"/>
                <w:color w:val="auto"/>
                <w:kern w:val="0"/>
                <w:sz w:val="20"/>
              </w:rPr>
            </w:pPr>
          </w:p>
        </w:tc>
      </w:tr>
    </w:tbl>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pPr>
      <w:r>
        <w:drawing>
          <wp:inline distT="0" distB="0" distL="114300" distR="114300">
            <wp:extent cx="5353685" cy="3123565"/>
            <wp:effectExtent l="4445" t="4445" r="13970" b="15240"/>
            <wp:docPr id="2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jc w:val="both"/>
        <w:textAlignment w:val="auto"/>
        <w:rPr>
          <w:rFonts w:hint="default" w:eastAsia="Times New Roman"/>
          <w:color w:val="auto"/>
          <w:sz w:val="30"/>
          <w:lang w:val="en-US"/>
        </w:rPr>
      </w:pPr>
      <w:r>
        <w:rPr>
          <w:rFonts w:hint="eastAsia" w:ascii="黑体" w:hAnsi="黑体" w:eastAsia="黑体"/>
          <w:color w:val="auto"/>
          <w:sz w:val="30"/>
          <w:lang w:val="en-US"/>
        </w:rPr>
        <w:t>三、政府采购支出情况</w:t>
      </w:r>
    </w:p>
    <w:p>
      <w:pPr>
        <w:keepNext w:val="0"/>
        <w:keepLines w:val="0"/>
        <w:pageBreakBefore w:val="0"/>
        <w:widowControl w:val="0"/>
        <w:kinsoku/>
        <w:overflowPunct/>
        <w:topLinePunct w:val="0"/>
        <w:autoSpaceDE/>
        <w:autoSpaceDN/>
        <w:bidi w:val="0"/>
        <w:adjustRightInd/>
        <w:snapToGrid/>
        <w:spacing w:line="540" w:lineRule="exact"/>
        <w:ind w:firstLine="600" w:firstLineChars="200"/>
        <w:jc w:val="left"/>
        <w:textAlignment w:val="auto"/>
        <w:rPr>
          <w:rFonts w:hint="eastAsia" w:ascii="仿宋" w:hAnsi="仿宋" w:eastAsia="仿宋" w:cs="仿宋"/>
          <w:color w:val="auto"/>
          <w:sz w:val="30"/>
          <w:lang w:val="en-US" w:eastAsia="zh-CN"/>
        </w:rPr>
      </w:pPr>
      <w:r>
        <w:rPr>
          <w:rFonts w:hint="eastAsia" w:ascii="仿宋" w:hAnsi="仿宋" w:eastAsia="仿宋" w:cs="仿宋"/>
          <w:color w:val="auto"/>
          <w:sz w:val="30"/>
          <w:lang w:val="en-US"/>
        </w:rPr>
        <w:t>2019年度，部门政府采购支出总额</w:t>
      </w:r>
      <w:r>
        <w:rPr>
          <w:rFonts w:hint="eastAsia" w:ascii="仿宋" w:hAnsi="仿宋" w:eastAsia="仿宋" w:cs="仿宋"/>
          <w:color w:val="auto"/>
          <w:sz w:val="30"/>
          <w:lang w:val="en-US" w:eastAsia="zh-CN"/>
        </w:rPr>
        <w:t>0</w:t>
      </w:r>
      <w:r>
        <w:rPr>
          <w:rFonts w:hint="eastAsia" w:ascii="仿宋" w:hAnsi="仿宋" w:eastAsia="仿宋" w:cs="仿宋"/>
          <w:color w:val="auto"/>
          <w:sz w:val="30"/>
          <w:lang w:val="en-US"/>
        </w:rPr>
        <w:t>万元</w:t>
      </w:r>
      <w:r>
        <w:rPr>
          <w:rFonts w:hint="eastAsia" w:ascii="仿宋" w:hAnsi="仿宋" w:eastAsia="仿宋" w:cs="仿宋"/>
          <w:color w:val="auto"/>
          <w:sz w:val="30"/>
          <w:lang w:val="en-US" w:eastAsia="zh-CN"/>
        </w:rPr>
        <w:t>。</w:t>
      </w:r>
    </w:p>
    <w:p>
      <w:pPr>
        <w:keepNext w:val="0"/>
        <w:keepLines w:val="0"/>
        <w:pageBreakBefore w:val="0"/>
        <w:widowControl w:val="0"/>
        <w:kinsoku/>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28"/>
          <w:lang w:val="en-US" w:eastAsia="zh-CN"/>
        </w:rPr>
      </w:pPr>
      <w:r>
        <w:rPr>
          <w:rFonts w:hint="eastAsia" w:ascii="仿宋" w:hAnsi="仿宋" w:eastAsia="仿宋" w:cs="仿宋"/>
          <w:color w:val="000000"/>
          <w:kern w:val="0"/>
          <w:sz w:val="32"/>
          <w:lang w:val="en-US" w:eastAsia="zh-CN"/>
        </w:rPr>
        <w:t>本年度我单位无</w:t>
      </w:r>
      <w:r>
        <w:rPr>
          <w:rFonts w:hint="eastAsia" w:ascii="仿宋" w:hAnsi="仿宋" w:eastAsia="仿宋" w:cs="仿宋"/>
          <w:color w:val="auto"/>
          <w:sz w:val="30"/>
          <w:lang w:val="en-US"/>
        </w:rPr>
        <w:t>政府采购支出</w:t>
      </w:r>
      <w:r>
        <w:rPr>
          <w:rFonts w:hint="eastAsia" w:ascii="仿宋" w:hAnsi="仿宋" w:eastAsia="仿宋" w:cs="仿宋"/>
          <w:color w:val="auto"/>
          <w:sz w:val="30"/>
          <w:lang w:val="en-US" w:eastAsia="zh-CN"/>
        </w:rPr>
        <w:t>。</w:t>
      </w:r>
    </w:p>
    <w:p>
      <w:pPr>
        <w:keepNext w:val="0"/>
        <w:keepLines w:val="0"/>
        <w:pageBreakBefore w:val="0"/>
        <w:widowControl w:val="0"/>
        <w:numPr>
          <w:ilvl w:val="0"/>
          <w:numId w:val="2"/>
        </w:numPr>
        <w:kinsoku/>
        <w:overflowPunct/>
        <w:topLinePunct w:val="0"/>
        <w:autoSpaceDE/>
        <w:autoSpaceDN/>
        <w:bidi w:val="0"/>
        <w:adjustRightInd/>
        <w:snapToGrid/>
        <w:spacing w:line="540" w:lineRule="exact"/>
        <w:ind w:firstLine="600" w:firstLineChars="200"/>
        <w:jc w:val="left"/>
        <w:textAlignment w:val="auto"/>
        <w:rPr>
          <w:rFonts w:hint="eastAsia" w:ascii="黑体" w:hAnsi="黑体" w:eastAsia="黑体"/>
          <w:color w:val="000000"/>
          <w:sz w:val="30"/>
          <w:lang w:val="en-US" w:eastAsia="zh-CN"/>
        </w:rPr>
      </w:pPr>
      <w:r>
        <w:rPr>
          <w:rFonts w:hint="eastAsia" w:ascii="黑体" w:hAnsi="黑体" w:eastAsia="黑体"/>
          <w:color w:val="000000"/>
          <w:sz w:val="30"/>
          <w:lang w:val="en-US"/>
        </w:rPr>
        <w:t>部门绩效自评情况</w:t>
      </w: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FF"/>
          <w:sz w:val="30"/>
          <w:highlight w:val="none"/>
          <w:lang w:val="en-US"/>
        </w:rPr>
      </w:pPr>
      <w:r>
        <w:rPr>
          <w:rFonts w:hint="eastAsia" w:ascii="仿宋" w:hAnsi="仿宋" w:eastAsia="仿宋" w:cs="仿宋"/>
          <w:color w:val="000000"/>
          <w:kern w:val="0"/>
          <w:sz w:val="32"/>
          <w:highlight w:val="none"/>
          <w:lang w:val="en-US" w:eastAsia="zh-CN"/>
        </w:rPr>
        <w:t>本年度我单位没有开展过相关绩效自评工作，故公开空表。</w:t>
      </w:r>
    </w:p>
    <w:p>
      <w:pPr>
        <w:keepNext w:val="0"/>
        <w:keepLines w:val="0"/>
        <w:pageBreakBefore w:val="0"/>
        <w:widowControl w:val="0"/>
        <w:kinsoku/>
        <w:overflowPunct/>
        <w:topLinePunct w:val="0"/>
        <w:autoSpaceDE/>
        <w:autoSpaceDN/>
        <w:bidi w:val="0"/>
        <w:adjustRightInd/>
        <w:snapToGrid/>
        <w:spacing w:line="540" w:lineRule="exact"/>
        <w:ind w:firstLine="600" w:firstLineChars="200"/>
        <w:jc w:val="left"/>
        <w:textAlignment w:val="auto"/>
        <w:rPr>
          <w:rFonts w:hint="default" w:eastAsia="Times New Roman"/>
          <w:color w:val="auto"/>
          <w:sz w:val="30"/>
          <w:highlight w:val="none"/>
          <w:lang w:val="en-US"/>
        </w:rPr>
      </w:pPr>
      <w:r>
        <w:rPr>
          <w:rFonts w:hint="eastAsia" w:ascii="黑体" w:hAnsi="黑体" w:eastAsia="黑体"/>
          <w:color w:val="auto"/>
          <w:sz w:val="30"/>
          <w:highlight w:val="none"/>
          <w:lang w:val="en-US"/>
        </w:rPr>
        <w:t>五、其他重要事项情况说明</w:t>
      </w: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0"/>
          <w:sz w:val="32"/>
          <w:lang w:val="en-US" w:eastAsia="zh-CN"/>
        </w:rPr>
      </w:pPr>
      <w:r>
        <w:rPr>
          <w:rFonts w:hint="eastAsia" w:ascii="仿宋" w:hAnsi="仿宋" w:eastAsia="仿宋" w:cs="仿宋"/>
          <w:color w:val="000000"/>
          <w:kern w:val="0"/>
          <w:sz w:val="32"/>
          <w:lang w:val="en-US" w:eastAsia="zh-CN"/>
        </w:rPr>
        <w:t>本年度我单位无其他重要事项情况说明。</w:t>
      </w:r>
    </w:p>
    <w:p>
      <w:pPr>
        <w:keepNext w:val="0"/>
        <w:keepLines w:val="0"/>
        <w:pageBreakBefore w:val="0"/>
        <w:widowControl w:val="0"/>
        <w:kinsoku/>
        <w:overflowPunct/>
        <w:topLinePunct w:val="0"/>
        <w:autoSpaceDE/>
        <w:autoSpaceDN/>
        <w:bidi w:val="0"/>
        <w:adjustRightInd/>
        <w:snapToGrid/>
        <w:spacing w:line="540" w:lineRule="exact"/>
        <w:ind w:firstLine="600" w:firstLineChars="200"/>
        <w:jc w:val="left"/>
        <w:textAlignment w:val="auto"/>
        <w:rPr>
          <w:rFonts w:hint="default" w:eastAsia="Times New Roman"/>
          <w:color w:val="auto"/>
          <w:sz w:val="30"/>
          <w:lang w:val="en-US"/>
        </w:rPr>
      </w:pPr>
      <w:r>
        <w:rPr>
          <w:rFonts w:hint="eastAsia" w:ascii="黑体" w:hAnsi="黑体" w:eastAsia="黑体"/>
          <w:color w:val="auto"/>
          <w:sz w:val="30"/>
          <w:lang w:val="en-US"/>
        </w:rPr>
        <w:t>六、相关口径说明</w:t>
      </w:r>
    </w:p>
    <w:p>
      <w:pPr>
        <w:keepNext w:val="0"/>
        <w:keepLines w:val="0"/>
        <w:pageBreakBefore w:val="0"/>
        <w:widowControl w:val="0"/>
        <w:kinsoku/>
        <w:overflowPunct/>
        <w:topLinePunct w:val="0"/>
        <w:autoSpaceDE/>
        <w:autoSpaceDN/>
        <w:bidi w:val="0"/>
        <w:adjustRightInd/>
        <w:snapToGrid/>
        <w:spacing w:line="540" w:lineRule="exact"/>
        <w:ind w:firstLine="640" w:firstLineChars="200"/>
        <w:jc w:val="left"/>
        <w:textAlignment w:val="auto"/>
        <w:rPr>
          <w:rFonts w:hint="default" w:eastAsia="Times New Roman"/>
          <w:color w:val="auto"/>
          <w:sz w:val="32"/>
          <w:szCs w:val="32"/>
          <w:lang w:val="en-US"/>
        </w:rPr>
      </w:pPr>
      <w:r>
        <w:rPr>
          <w:rFonts w:hint="eastAsia" w:ascii="仿宋" w:hAnsi="仿宋" w:eastAsia="仿宋"/>
          <w:color w:val="auto"/>
          <w:sz w:val="32"/>
          <w:szCs w:val="32"/>
          <w:lang w:val="en-US"/>
        </w:rPr>
        <w:t>（一）基本支出中人员经费包括工资福利支出和对个人和家庭的补助，日常公用支出包括商品和服务支出、资本性支出等人员经费以外的支出。</w:t>
      </w:r>
    </w:p>
    <w:p>
      <w:pPr>
        <w:keepNext w:val="0"/>
        <w:keepLines w:val="0"/>
        <w:pageBreakBefore w:val="0"/>
        <w:widowControl w:val="0"/>
        <w:kinsoku/>
        <w:overflowPunct/>
        <w:topLinePunct w:val="0"/>
        <w:autoSpaceDE/>
        <w:autoSpaceDN/>
        <w:bidi w:val="0"/>
        <w:adjustRightInd/>
        <w:snapToGrid/>
        <w:spacing w:line="540" w:lineRule="exact"/>
        <w:ind w:firstLine="640" w:firstLineChars="200"/>
        <w:jc w:val="left"/>
        <w:textAlignment w:val="auto"/>
        <w:rPr>
          <w:rFonts w:hint="default" w:eastAsia="Times New Roman"/>
          <w:color w:val="auto"/>
          <w:sz w:val="32"/>
          <w:szCs w:val="32"/>
          <w:lang w:val="en-US"/>
        </w:rPr>
      </w:pPr>
      <w:r>
        <w:rPr>
          <w:rFonts w:hint="eastAsia" w:ascii="仿宋" w:hAnsi="仿宋" w:eastAsia="仿宋"/>
          <w:color w:val="auto"/>
          <w:sz w:val="32"/>
          <w:szCs w:val="32"/>
          <w:lang w:val="en-US"/>
        </w:rPr>
        <w:t>（二）机关运行经费指行政单位和参照公务员法管理的事业单位使用一般公共预算财政拨款安排的基本支出中的日常公用经费支出。</w:t>
      </w:r>
    </w:p>
    <w:p>
      <w:pPr>
        <w:keepNext w:val="0"/>
        <w:keepLines w:val="0"/>
        <w:pageBreakBefore w:val="0"/>
        <w:widowControl w:val="0"/>
        <w:kinsoku/>
        <w:overflowPunct/>
        <w:topLinePunct w:val="0"/>
        <w:autoSpaceDE/>
        <w:autoSpaceDN/>
        <w:bidi w:val="0"/>
        <w:adjustRightInd/>
        <w:snapToGrid/>
        <w:spacing w:line="540" w:lineRule="exact"/>
        <w:ind w:firstLine="640" w:firstLineChars="200"/>
        <w:jc w:val="left"/>
        <w:textAlignment w:val="auto"/>
        <w:rPr>
          <w:rFonts w:hint="default" w:eastAsia="Times New Roman"/>
          <w:color w:val="auto"/>
          <w:sz w:val="32"/>
          <w:szCs w:val="32"/>
          <w:lang w:val="en-US"/>
        </w:rPr>
      </w:pPr>
      <w:r>
        <w:rPr>
          <w:rFonts w:hint="eastAsia" w:ascii="仿宋" w:hAnsi="仿宋" w:eastAsia="仿宋"/>
          <w:color w:val="auto"/>
          <w:sz w:val="32"/>
          <w:szCs w:val="32"/>
          <w:lang w:val="en-US"/>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keepNext w:val="0"/>
        <w:keepLines w:val="0"/>
        <w:pageBreakBefore w:val="0"/>
        <w:widowControl w:val="0"/>
        <w:kinsoku/>
        <w:overflowPunct/>
        <w:topLinePunct w:val="0"/>
        <w:autoSpaceDE/>
        <w:autoSpaceDN/>
        <w:bidi w:val="0"/>
        <w:adjustRightInd/>
        <w:snapToGrid/>
        <w:spacing w:line="540" w:lineRule="exact"/>
        <w:ind w:firstLine="640" w:firstLineChars="200"/>
        <w:jc w:val="left"/>
        <w:textAlignment w:val="auto"/>
        <w:rPr>
          <w:rFonts w:hint="default" w:eastAsia="Times New Roman"/>
          <w:color w:val="auto"/>
          <w:sz w:val="32"/>
          <w:szCs w:val="32"/>
          <w:lang w:val="en-US"/>
        </w:rPr>
      </w:pPr>
      <w:r>
        <w:rPr>
          <w:rFonts w:hint="eastAsia" w:ascii="仿宋" w:hAnsi="仿宋" w:eastAsia="仿宋"/>
          <w:color w:val="auto"/>
          <w:sz w:val="32"/>
          <w:szCs w:val="32"/>
          <w:lang w:val="en-US"/>
        </w:rPr>
        <w:t>（四）“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keepNext w:val="0"/>
        <w:keepLines w:val="0"/>
        <w:pageBreakBefore w:val="0"/>
        <w:widowControl w:val="0"/>
        <w:kinsoku/>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olor w:val="auto"/>
          <w:sz w:val="32"/>
          <w:szCs w:val="32"/>
          <w:lang w:val="en-US"/>
        </w:rPr>
      </w:pPr>
      <w:r>
        <w:rPr>
          <w:rFonts w:hint="eastAsia" w:ascii="黑体" w:hAnsi="黑体" w:eastAsia="黑体"/>
          <w:color w:val="auto"/>
          <w:sz w:val="32"/>
          <w:szCs w:val="32"/>
          <w:lang w:val="en-US"/>
        </w:rPr>
        <w:t>第五部分  名词解释</w:t>
      </w: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政府采购：指国家机关、事业单位和团体组织，依法在规定范围内使用财政性资金采购货物、工程和服务的行为。以公开招标为主要采购方式 。</w:t>
      </w: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政府性基金：是对依照法律、行政法规的规定在一定期限内向特定对象征收、收取或者以其他方式筹集的资金，专项用于特定公共事业的发展。本部门</w:t>
      </w:r>
      <w:r>
        <w:rPr>
          <w:rFonts w:hint="eastAsia" w:ascii="仿宋" w:hAnsi="仿宋" w:eastAsia="仿宋" w:cs="仿宋"/>
          <w:color w:val="auto"/>
          <w:sz w:val="32"/>
          <w:szCs w:val="32"/>
          <w:lang w:val="en-US"/>
        </w:rPr>
        <w:t>不涉及专用名词</w:t>
      </w:r>
    </w:p>
    <w:p>
      <w:pPr>
        <w:keepNext w:val="0"/>
        <w:keepLines w:val="0"/>
        <w:pageBreakBefore w:val="0"/>
        <w:widowControl w:val="0"/>
        <w:numPr>
          <w:ilvl w:val="0"/>
          <w:numId w:val="0"/>
        </w:numPr>
        <w:kinsoku/>
        <w:wordWrap w:val="0"/>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项目支出：是指行政事业单位为完成其特定的行政工作任务或事业发展目标，并依据其体工作内容编制的年度经费支出。</w:t>
      </w:r>
    </w:p>
    <w:p>
      <w:pPr>
        <w:keepNext w:val="0"/>
        <w:keepLines w:val="0"/>
        <w:pageBreakBefore w:val="0"/>
        <w:widowControl w:val="0"/>
        <w:numPr>
          <w:ilvl w:val="0"/>
          <w:numId w:val="0"/>
        </w:numPr>
        <w:kinsoku/>
        <w:wordWrap w:val="0"/>
        <w:overflowPunct/>
        <w:topLinePunct w:val="0"/>
        <w:autoSpaceDE/>
        <w:autoSpaceDN/>
        <w:bidi w:val="0"/>
        <w:adjustRightInd/>
        <w:snapToGrid/>
        <w:spacing w:before="120" w:line="560" w:lineRule="exact"/>
        <w:ind w:firstLine="640" w:firstLineChars="200"/>
        <w:jc w:val="left"/>
        <w:textAlignment w:val="auto"/>
        <w:rPr>
          <w:rFonts w:hint="eastAsia" w:ascii="仿宋" w:hAnsi="仿宋" w:eastAsia="仿宋" w:cs="仿宋"/>
          <w:color w:val="000000"/>
          <w:kern w:val="0"/>
          <w:sz w:val="32"/>
          <w:szCs w:val="32"/>
          <w:lang w:val="en-US" w:eastAsia="zh-CN"/>
        </w:rPr>
      </w:pPr>
    </w:p>
    <w:p>
      <w:pPr>
        <w:pStyle w:val="2"/>
        <w:ind w:firstLine="5100" w:firstLineChars="17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2020年9月23日</w:t>
      </w:r>
    </w:p>
    <w:sectPr>
      <w:pgSz w:w="11906" w:h="16838"/>
      <w:pgMar w:top="1440" w:right="1457" w:bottom="1440" w:left="14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roma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EC3C9F"/>
    <w:multiLevelType w:val="multilevel"/>
    <w:tmpl w:val="0DEC3C9F"/>
    <w:lvl w:ilvl="0" w:tentative="0">
      <w:start w:val="2"/>
      <w:numFmt w:val="decimal"/>
      <w:lvlText w:val="%1."/>
      <w:lvlJc w:val="left"/>
      <w:pPr>
        <w:tabs>
          <w:tab w:val="left" w:pos="312"/>
        </w:tabs>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abstractNum w:abstractNumId="1">
    <w:nsid w:val="0EC5ADA7"/>
    <w:multiLevelType w:val="multilevel"/>
    <w:tmpl w:val="0EC5ADA7"/>
    <w:lvl w:ilvl="0" w:tentative="0">
      <w:start w:val="4"/>
      <w:numFmt w:val="chineseCounting"/>
      <w:suff w:val="nothing"/>
      <w:lvlText w:val="%1、"/>
      <w:lvlJc w:val="left"/>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C669E"/>
    <w:rsid w:val="067754EF"/>
    <w:rsid w:val="0F7F5F38"/>
    <w:rsid w:val="11792F5E"/>
    <w:rsid w:val="14B06A6C"/>
    <w:rsid w:val="17EE2DEC"/>
    <w:rsid w:val="1E171CF0"/>
    <w:rsid w:val="20612ABF"/>
    <w:rsid w:val="20951C3C"/>
    <w:rsid w:val="230C0A37"/>
    <w:rsid w:val="26503282"/>
    <w:rsid w:val="26F7227F"/>
    <w:rsid w:val="28807813"/>
    <w:rsid w:val="296F0F09"/>
    <w:rsid w:val="2B992C2B"/>
    <w:rsid w:val="2DE37CB6"/>
    <w:rsid w:val="30174EB4"/>
    <w:rsid w:val="30251B9A"/>
    <w:rsid w:val="30D24A23"/>
    <w:rsid w:val="34131618"/>
    <w:rsid w:val="35FE2A08"/>
    <w:rsid w:val="37311D80"/>
    <w:rsid w:val="38511A97"/>
    <w:rsid w:val="3CFE5C81"/>
    <w:rsid w:val="3D5A66E7"/>
    <w:rsid w:val="3D86068B"/>
    <w:rsid w:val="3ECB4FCD"/>
    <w:rsid w:val="423C75E0"/>
    <w:rsid w:val="42ED0468"/>
    <w:rsid w:val="433C3AAA"/>
    <w:rsid w:val="441B5619"/>
    <w:rsid w:val="46511E7F"/>
    <w:rsid w:val="48C200FE"/>
    <w:rsid w:val="49E563AF"/>
    <w:rsid w:val="4F66530C"/>
    <w:rsid w:val="523073DC"/>
    <w:rsid w:val="528D44E3"/>
    <w:rsid w:val="5CB71D8D"/>
    <w:rsid w:val="5DDE128F"/>
    <w:rsid w:val="60DC1654"/>
    <w:rsid w:val="60EB3AE7"/>
    <w:rsid w:val="614F001A"/>
    <w:rsid w:val="6A585A29"/>
    <w:rsid w:val="6D427D28"/>
    <w:rsid w:val="70F24C28"/>
    <w:rsid w:val="72D01D31"/>
    <w:rsid w:val="73E60962"/>
    <w:rsid w:val="7A8F2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1"/>
    <w:unhideWhenUsed/>
    <w:qFormat/>
    <w:uiPriority w:val="0"/>
    <w:pPr>
      <w:spacing w:before="100" w:beforeAutospacing="1" w:after="120"/>
      <w:ind w:left="200" w:leftChars="200" w:firstLine="420" w:firstLineChars="200"/>
    </w:pPr>
    <w:rPr>
      <w:rFonts w:hint="default"/>
      <w:kern w:val="0"/>
      <w:sz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16.xml"/><Relationship Id="rId18" Type="http://schemas.openxmlformats.org/officeDocument/2006/relationships/chart" Target="charts/chart15.xml"/><Relationship Id="rId17" Type="http://schemas.openxmlformats.org/officeDocument/2006/relationships/chart" Target="charts/chart14.xml"/><Relationship Id="rId16" Type="http://schemas.openxmlformats.org/officeDocument/2006/relationships/chart" Target="charts/chart13.xml"/><Relationship Id="rId15" Type="http://schemas.openxmlformats.org/officeDocument/2006/relationships/chart" Target="charts/chart12.xml"/><Relationship Id="rId14" Type="http://schemas.openxmlformats.org/officeDocument/2006/relationships/chart" Target="charts/chart11.xml"/><Relationship Id="rId13" Type="http://schemas.openxmlformats.org/officeDocument/2006/relationships/chart" Target="charts/chart10.xml"/><Relationship Id="rId12" Type="http://schemas.openxmlformats.org/officeDocument/2006/relationships/chart" Target="charts/chart9.xml"/><Relationship Id="rId11" Type="http://schemas.openxmlformats.org/officeDocument/2006/relationships/chart" Target="charts/chart8.xml"/><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3" Type="http://schemas.microsoft.com/office/2011/relationships/chartColorStyle" Target="colors9.xml"/><Relationship Id="rId2" Type="http://schemas.microsoft.com/office/2011/relationships/chartStyle" Target="style9.xml"/><Relationship Id="rId1" Type="http://schemas.openxmlformats.org/officeDocument/2006/relationships/oleObject" Target="file:///C:\Users\zx111my\Desktop\3&#12289;&#20844;&#31034;19\5&#12289;&#25903;&#20986;&#23545;&#27604;&#20844;&#24320;.xls" TargetMode="External"/></Relationships>
</file>

<file path=word/charts/_rels/chart1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4.xlsx"/></Relationships>
</file>

<file path=word/charts/_rels/chart12.xml.rels><?xml version="1.0" encoding="UTF-8" standalone="yes"?>
<Relationships xmlns="http://schemas.openxmlformats.org/package/2006/relationships"><Relationship Id="rId3" Type="http://schemas.microsoft.com/office/2011/relationships/chartColorStyle" Target="colors8.xml"/><Relationship Id="rId2" Type="http://schemas.microsoft.com/office/2011/relationships/chartStyle" Target="style8.xml"/><Relationship Id="rId1" Type="http://schemas.openxmlformats.org/officeDocument/2006/relationships/oleObject" Target="file:///I:\09--&#39044;&#31639;&#21644;&#20915;&#31639;\3--&#39044;&#20915;&#31639;&#20844;&#24320;\3&#12289;&#20844;&#31034;19\6&#12289;&#20844;&#20849;&#39044;&#31639;&#25320;&#27454;&#21151;&#33021;&#20998;&#31867;.xls" TargetMode="External"/></Relationships>
</file>

<file path=word/charts/_rels/chart13.xml.rels><?xml version="1.0" encoding="UTF-8" standalone="yes"?>
<Relationships xmlns="http://schemas.openxmlformats.org/package/2006/relationships"><Relationship Id="rId3" Type="http://schemas.microsoft.com/office/2011/relationships/chartColorStyle" Target="colors10.xml"/><Relationship Id="rId2" Type="http://schemas.microsoft.com/office/2011/relationships/chartStyle" Target="style10.xml"/><Relationship Id="rId1" Type="http://schemas.openxmlformats.org/officeDocument/2006/relationships/oleObject" Target="file:///I:\09--&#39044;&#31639;&#21644;&#20915;&#31639;\3--&#39044;&#20915;&#31639;&#20844;&#24320;\3&#12289;&#20844;&#31034;19\6&#12289;&#20844;&#20849;&#39044;&#31639;&#25320;&#27454;&#21151;&#33021;&#20998;&#31867;.xls" TargetMode="External"/></Relationships>
</file>

<file path=word/charts/_rels/chart14.xml.rels><?xml version="1.0" encoding="UTF-8" standalone="yes"?>
<Relationships xmlns="http://schemas.openxmlformats.org/package/2006/relationships"><Relationship Id="rId3" Type="http://schemas.microsoft.com/office/2011/relationships/chartColorStyle" Target="colors11.xml"/><Relationship Id="rId2" Type="http://schemas.microsoft.com/office/2011/relationships/chartStyle" Target="style11.xml"/><Relationship Id="rId1" Type="http://schemas.openxmlformats.org/officeDocument/2006/relationships/oleObject" Target="file:///C:\Users\Administrator\Desktop\&#20915;&#31639;&#20844;&#24320;&#33609;&#34920;8&#20010;&#34920;\6&#12289;&#31038;&#20250;&#20445;&#38556;&#21644;&#23601;&#19994;&#35205;&#25903;&#20986;.xls" TargetMode="External"/></Relationships>
</file>

<file path=word/charts/_rels/chart15.xml.rels><?xml version="1.0" encoding="UTF-8" standalone="yes"?>
<Relationships xmlns="http://schemas.openxmlformats.org/package/2006/relationships"><Relationship Id="rId3" Type="http://schemas.microsoft.com/office/2011/relationships/chartColorStyle" Target="colors15.xml"/><Relationship Id="rId2" Type="http://schemas.microsoft.com/office/2011/relationships/chartStyle" Target="style15.xml"/><Relationship Id="rId1" Type="http://schemas.openxmlformats.org/officeDocument/2006/relationships/oleObject" Target="file:///I:\09--&#39044;&#31639;&#21644;&#20915;&#31639;\3--&#39044;&#20915;&#31639;&#20844;&#24320;\3&#12289;&#20844;&#31034;19\&#20915;&#31639;&#20844;&#24320;&#33609;&#34920;8&#20010;&#34920;PP\&#20915;&#31639;&#20844;&#24320;&#33609;&#34920;8&#20010;&#34920;PP\7&#12289;&#21355;&#29983;&#20581;&#24247;&#25903;&#20986;.xls" TargetMode="External"/></Relationships>
</file>

<file path=word/charts/_rels/chart16.xml.rels><?xml version="1.0" encoding="UTF-8" standalone="yes"?>
<Relationships xmlns="http://schemas.openxmlformats.org/package/2006/relationships"><Relationship Id="rId3" Type="http://schemas.microsoft.com/office/2011/relationships/chartColorStyle" Target="colors13.xml"/><Relationship Id="rId2" Type="http://schemas.microsoft.com/office/2011/relationships/chartStyle" Target="style13.xml"/><Relationship Id="rId1" Type="http://schemas.openxmlformats.org/officeDocument/2006/relationships/oleObject" Target="file:///I:\09--&#39044;&#31639;&#21644;&#20915;&#31639;\3--&#39044;&#20915;&#31639;&#20844;&#24320;\3&#12289;&#20844;&#31034;19\8&#12289;&#22269;&#26377;&#36164;&#20135;&#21344;&#29992;&#24773;&#20917;.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915;&#31639;&#20844;&#24320;&#33609;&#34920;8&#20010;&#34920;\1&#12289;&#25910;&#20837;&#20915;&#31639;&#24773;&#20917;.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I:\09--&#39044;&#31639;&#21644;&#20915;&#31639;\3--&#39044;&#20915;&#31639;&#20844;&#24320;\3&#12289;&#20844;&#31034;19\1&#12289;&#25910;&#20837;&#20915;&#31639;&#24773;&#20917;.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14.xml"/><Relationship Id="rId2" Type="http://schemas.microsoft.com/office/2011/relationships/chartStyle" Target="style14.xml"/><Relationship Id="rId1" Type="http://schemas.openxmlformats.org/officeDocument/2006/relationships/oleObject" Target="file:///I:\09--&#39044;&#31639;&#21644;&#20915;&#31639;\3--&#39044;&#20915;&#31639;&#20844;&#24320;\3&#12289;&#20844;&#31034;19\3&#12289;&#22522;&#26412;&#25903;&#20986;&#32463;&#27982;&#20998;&#31867;.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6.xml"/><Relationship Id="rId2" Type="http://schemas.microsoft.com/office/2011/relationships/chartStyle" Target="style16.xml"/><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I:\09--&#39044;&#31639;&#21644;&#20915;&#31639;\3--&#39044;&#20915;&#31639;&#20844;&#24320;\3&#12289;&#20844;&#31034;19\3&#12289;&#20844;&#31034;19\4&#12289;&#39033;&#30446;&#25903;&#20986;&#32463;&#27982;&#20998;&#31867;21&#26085;.xls" TargetMode="External"/></Relationships>
</file>

<file path=word/charts/_rels/chart9.xml.rels><?xml version="1.0" encoding="UTF-8" standalone="yes"?>
<Relationships xmlns="http://schemas.openxmlformats.org/package/2006/relationships"><Relationship Id="rId3" Type="http://schemas.microsoft.com/office/2011/relationships/chartColorStyle" Target="colors12.xml"/><Relationship Id="rId2" Type="http://schemas.microsoft.com/office/2011/relationships/chartStyle" Target="style12.xml"/><Relationship Id="rId1" Type="http://schemas.openxmlformats.org/officeDocument/2006/relationships/oleObject" Target="file:///C:\Users\Administrator\Desktop\4&#12289;&#39033;&#30446;&#25903;&#20986;&#32463;&#27982;&#20998;&#31867;21&#2608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人员对比分布</a:t>
            </a:r>
          </a:p>
        </c:rich>
      </c:tx>
      <c:layout/>
      <c:overlay val="0"/>
      <c:spPr>
        <a:noFill/>
        <a:ln>
          <a:noFill/>
        </a:ln>
        <a:effectLst/>
      </c:spPr>
    </c:title>
    <c:autoTitleDeleted val="0"/>
    <c:plotArea>
      <c:layout/>
      <c:barChart>
        <c:barDir val="col"/>
        <c:grouping val="clustered"/>
        <c:varyColors val="0"/>
        <c:ser>
          <c:idx val="0"/>
          <c:order val="0"/>
          <c:tx>
            <c:strRef>
              <c:f>"2019年"</c:f>
              <c:strCache>
                <c:ptCount val="1"/>
                <c:pt idx="0">
                  <c:v>2019年</c:v>
                </c:pt>
              </c:strCache>
            </c:strRef>
          </c:tx>
          <c:spPr>
            <a:solidFill>
              <a:schemeClr val="accent1"/>
            </a:solidFill>
            <a:ln w="19050">
              <a:solidFill>
                <a:schemeClr val="l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在编在职</c:v>
                </c:pt>
                <c:pt idx="1">
                  <c:v>退休人员</c:v>
                </c:pt>
              </c:strCache>
            </c:strRef>
          </c:cat>
          <c:val>
            <c:numRef>
              <c:f>Sheet1!$B$2:$B$3</c:f>
              <c:numCache>
                <c:formatCode>General</c:formatCode>
                <c:ptCount val="2"/>
                <c:pt idx="0">
                  <c:v>103</c:v>
                </c:pt>
                <c:pt idx="1">
                  <c:v>32</c:v>
                </c:pt>
              </c:numCache>
            </c:numRef>
          </c:val>
        </c:ser>
        <c:ser>
          <c:idx val="1"/>
          <c:order val="1"/>
          <c:tx>
            <c:strRef>
              <c:f>"2018年"</c:f>
              <c:strCache>
                <c:ptCount val="1"/>
                <c:pt idx="0">
                  <c:v>2018年</c:v>
                </c:pt>
              </c:strCache>
            </c:strRef>
          </c:tx>
          <c:spPr>
            <a:solidFill>
              <a:schemeClr val="accent2"/>
            </a:solidFill>
            <a:ln w="19050">
              <a:solidFill>
                <a:schemeClr val="lt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在编在职</c:v>
                </c:pt>
                <c:pt idx="1">
                  <c:v>退休人员</c:v>
                </c:pt>
              </c:strCache>
            </c:strRef>
          </c:cat>
          <c:val>
            <c:numRef>
              <c:f>Sheet1!$C$2:$C$3</c:f>
              <c:numCache>
                <c:formatCode>General</c:formatCode>
                <c:ptCount val="2"/>
                <c:pt idx="0">
                  <c:v>103</c:v>
                </c:pt>
                <c:pt idx="1">
                  <c:v>34</c:v>
                </c:pt>
              </c:numCache>
            </c:numRef>
          </c:val>
        </c:ser>
        <c:dLbls>
          <c:showLegendKey val="0"/>
          <c:showVal val="1"/>
          <c:showCatName val="0"/>
          <c:showSerName val="0"/>
          <c:showPercent val="0"/>
          <c:showBubbleSize val="0"/>
        </c:dLbls>
        <c:gapWidth val="150"/>
        <c:overlap val="0"/>
        <c:axId val="254575063"/>
        <c:axId val="587272294"/>
      </c:barChart>
      <c:catAx>
        <c:axId val="254575063"/>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272294"/>
        <c:crosses val="autoZero"/>
        <c:auto val="1"/>
        <c:lblAlgn val="ctr"/>
        <c:lblOffset val="100"/>
        <c:noMultiLvlLbl val="0"/>
      </c:catAx>
      <c:valAx>
        <c:axId val="58727229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457506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一般公共预算财政拨款项目支出与上年对比分布图</a:t>
            </a:r>
          </a:p>
        </c:rich>
      </c:tx>
      <c:layout>
        <c:manualLayout>
          <c:xMode val="edge"/>
          <c:yMode val="edge"/>
          <c:x val="0.138777436865707"/>
          <c:y val="0.0361197110423117"/>
        </c:manualLayout>
      </c:layout>
      <c:overlay val="0"/>
      <c:spPr>
        <a:noFill/>
        <a:ln>
          <a:noFill/>
        </a:ln>
        <a:effectLst/>
      </c:spPr>
    </c:title>
    <c:autoTitleDeleted val="0"/>
    <c:plotArea>
      <c:layout/>
      <c:barChart>
        <c:barDir val="bar"/>
        <c:grouping val="clustered"/>
        <c:varyColors val="0"/>
        <c:ser>
          <c:idx val="0"/>
          <c:order val="0"/>
          <c:tx>
            <c:strRef>
              <c:f>"2019年"</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[5、支出对比公开.xls]Sheet1!$A$4:$A$6</c:f>
              <c:strCache>
                <c:ptCount val="3"/>
                <c:pt idx="0">
                  <c:v>财政支出</c:v>
                </c:pt>
                <c:pt idx="1">
                  <c:v>事业支出</c:v>
                </c:pt>
                <c:pt idx="2">
                  <c:v>其他支出</c:v>
                </c:pt>
              </c:strCache>
            </c:strRef>
          </c:cat>
          <c:val>
            <c:numRef>
              <c:f>[5、支出对比公开.xls]Sheet1!$C$4:$C$6</c:f>
              <c:numCache>
                <c:formatCode>0.00%</c:formatCode>
                <c:ptCount val="3"/>
                <c:pt idx="0">
                  <c:v>0.395239548949648</c:v>
                </c:pt>
                <c:pt idx="1">
                  <c:v>0.589941042910839</c:v>
                </c:pt>
                <c:pt idx="2">
                  <c:v>0.0148194081395127</c:v>
                </c:pt>
              </c:numCache>
            </c:numRef>
          </c:val>
        </c:ser>
        <c:ser>
          <c:idx val="1"/>
          <c:order val="1"/>
          <c:tx>
            <c:strRef>
              <c:f>"2018年"</c:f>
              <c:strCache>
                <c:ptCount val="1"/>
                <c:pt idx="0">
                  <c:v>2018年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[5、支出对比公开.xls]Sheet1!$A$4:$A$6</c:f>
              <c:strCache>
                <c:ptCount val="3"/>
                <c:pt idx="0">
                  <c:v>财政支出</c:v>
                </c:pt>
                <c:pt idx="1">
                  <c:v>事业支出</c:v>
                </c:pt>
                <c:pt idx="2">
                  <c:v>其他支出</c:v>
                </c:pt>
              </c:strCache>
            </c:strRef>
          </c:cat>
          <c:val>
            <c:numRef>
              <c:f>[5、支出对比公开.xls]Sheet1!$E$4:$E$6</c:f>
              <c:numCache>
                <c:formatCode>0.00%</c:formatCode>
                <c:ptCount val="3"/>
                <c:pt idx="0">
                  <c:v>0.313192593154326</c:v>
                </c:pt>
                <c:pt idx="1">
                  <c:v>0.686807406845674</c:v>
                </c:pt>
                <c:pt idx="2">
                  <c:v>0</c:v>
                </c:pt>
              </c:numCache>
            </c:numRef>
          </c:val>
        </c:ser>
        <c:dLbls>
          <c:showLegendKey val="0"/>
          <c:showVal val="1"/>
          <c:showCatName val="0"/>
          <c:showSerName val="0"/>
          <c:showPercent val="0"/>
          <c:showBubbleSize val="0"/>
        </c:dLbls>
        <c:gapWidth val="182"/>
        <c:overlap val="0"/>
        <c:axId val="805199433"/>
        <c:axId val="663154410"/>
      </c:barChart>
      <c:catAx>
        <c:axId val="805199433"/>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3154410"/>
        <c:crosses val="autoZero"/>
        <c:auto val="1"/>
        <c:lblAlgn val="ctr"/>
        <c:lblOffset val="100"/>
        <c:noMultiLvlLbl val="0"/>
      </c:catAx>
      <c:valAx>
        <c:axId val="663154410"/>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519943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一般公共预算财政拨款总体支出与上年对比</a:t>
            </a:r>
          </a:p>
        </c:rich>
      </c:tx>
      <c:layout>
        <c:manualLayout>
          <c:xMode val="edge"/>
          <c:yMode val="edge"/>
          <c:x val="0.175158473866762"/>
          <c:y val="0.0304054054054054"/>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Sheet1!$A$2:$A$4</c:f>
              <c:strCache>
                <c:ptCount val="3"/>
                <c:pt idx="0">
                  <c:v>财政支出</c:v>
                </c:pt>
                <c:pt idx="1">
                  <c:v>事业支出</c:v>
                </c:pt>
                <c:pt idx="2">
                  <c:v>其他支出</c:v>
                </c:pt>
              </c:strCache>
            </c:strRef>
          </c:cat>
          <c:val>
            <c:numRef>
              <c:extLst>
                <c:ext xmlns:c15="http://schemas.microsoft.com/office/drawing/2012/chart" uri="{02D57815-91ED-43cb-92C2-25804820EDAC}">
                  <c15:fullRef>
                    <c15:sqref>Sheet1!$B$2:$B$5</c15:sqref>
                  </c15:fullRef>
                </c:ext>
              </c:extLst>
              <c:f>Sheet1!$B$2:$B$4</c:f>
              <c:numCache>
                <c:formatCode>#,##0.00_);\(#,##0.00\)</c:formatCode>
                <c:ptCount val="3"/>
                <c:pt idx="0">
                  <c:v>2071.49</c:v>
                </c:pt>
                <c:pt idx="1">
                  <c:v>3091.94</c:v>
                </c:pt>
                <c:pt idx="2">
                  <c:v>77.67</c:v>
                </c:pt>
              </c:numCache>
            </c:numRef>
          </c:val>
        </c:ser>
        <c:ser>
          <c:idx val="1"/>
          <c:order val="1"/>
          <c:tx>
            <c:strRef>
              <c:f>Sheet1!$C$1</c:f>
              <c:strCache>
                <c:ptCount val="1"/>
                <c:pt idx="0">
                  <c:v>2018年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Sheet1!$A$2:$A$4</c:f>
              <c:strCache>
                <c:ptCount val="3"/>
                <c:pt idx="0">
                  <c:v>财政支出</c:v>
                </c:pt>
                <c:pt idx="1">
                  <c:v>事业支出</c:v>
                </c:pt>
                <c:pt idx="2">
                  <c:v>其他支出</c:v>
                </c:pt>
              </c:strCache>
            </c:strRef>
          </c:cat>
          <c:val>
            <c:numRef>
              <c:extLst>
                <c:ext xmlns:c15="http://schemas.microsoft.com/office/drawing/2012/chart" uri="{02D57815-91ED-43cb-92C2-25804820EDAC}">
                  <c15:fullRef>
                    <c15:sqref>Sheet1!$C$2:$C$5</c15:sqref>
                  </c15:fullRef>
                </c:ext>
              </c:extLst>
              <c:f>Sheet1!$C$2:$C$4</c:f>
              <c:numCache>
                <c:formatCode>#,##0.00_);\(#,##0.00\)</c:formatCode>
                <c:ptCount val="3"/>
                <c:pt idx="0">
                  <c:v>1610.69</c:v>
                </c:pt>
                <c:pt idx="1">
                  <c:v>3532.12</c:v>
                </c:pt>
                <c:pt idx="2">
                  <c:v>0</c:v>
                </c:pt>
              </c:numCache>
            </c:numRef>
          </c:val>
        </c:ser>
        <c:dLbls>
          <c:showLegendKey val="0"/>
          <c:showVal val="1"/>
          <c:showCatName val="0"/>
          <c:showSerName val="0"/>
          <c:showPercent val="0"/>
          <c:showBubbleSize val="0"/>
        </c:dLbls>
        <c:gapWidth val="150"/>
        <c:overlap val="-25"/>
        <c:axId val="997664474"/>
        <c:axId val="30209426"/>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Sheet1!$A$2:$A$4</c15:sqref>
                        </c15:formulaRef>
                      </c:ext>
                    </c:extLst>
                    <c:strCache>
                      <c:ptCount val="3"/>
                      <c:pt idx="0">
                        <c:v>财政支出</c:v>
                      </c:pt>
                      <c:pt idx="1">
                        <c:v>事业支出</c:v>
                      </c:pt>
                      <c:pt idx="2">
                        <c:v>其他支出</c:v>
                      </c:pt>
                    </c:strCache>
                  </c:strRef>
                </c:cat>
                <c:val>
                  <c:numRef>
                    <c:extLst>
                      <c:ext uri="{02D57815-91ED-43cb-92C2-25804820EDAC}">
                        <c15:fullRef>
                          <c15:sqref>Sheet1!$D$2:$D$5</c15:sqref>
                        </c15:fullRef>
                        <c15:formulaRef>
                          <c15:sqref>Sheet1!$D$2:$D$4</c15:sqref>
                        </c15:formulaRef>
                      </c:ext>
                    </c:extLst>
                    <c:numCache>
                      <c:formatCode>General</c:formatCode>
                      <c:ptCount val="3"/>
                    </c:numCache>
                  </c:numRef>
                </c:val>
              </c15:ser>
            </c15:filteredBarSeries>
          </c:ext>
        </c:extLst>
      </c:barChart>
      <c:catAx>
        <c:axId val="99766447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209426"/>
        <c:crosses val="autoZero"/>
        <c:auto val="1"/>
        <c:lblAlgn val="ctr"/>
        <c:lblOffset val="100"/>
        <c:noMultiLvlLbl val="0"/>
      </c:catAx>
      <c:valAx>
        <c:axId val="30209426"/>
        <c:scaling>
          <c:orientation val="minMax"/>
        </c:scaling>
        <c:delete val="1"/>
        <c:axPos val="l"/>
        <c:majorGridlines>
          <c:spPr>
            <a:ln w="9525" cap="flat" cmpd="sng" algn="ctr">
              <a:solidFill>
                <a:schemeClr val="tx1">
                  <a:lumMod val="15000"/>
                  <a:lumOff val="85000"/>
                </a:schemeClr>
              </a:solidFill>
              <a:round/>
            </a:ln>
            <a:effectLst/>
          </c:spPr>
        </c:majorGridlines>
        <c:numFmt formatCode="#,##0.00_);\(#,##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7664474"/>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50" b="0" i="0" u="none" strike="noStrike" kern="1200" spc="0" baseline="0">
                <a:solidFill>
                  <a:schemeClr val="tx1">
                    <a:lumMod val="65000"/>
                    <a:lumOff val="35000"/>
                  </a:schemeClr>
                </a:solidFill>
                <a:latin typeface="+mn-lt"/>
                <a:ea typeface="+mn-ea"/>
                <a:cs typeface="+mn-cs"/>
              </a:defRPr>
            </a:pPr>
            <a:r>
              <a:rPr sz="1050"/>
              <a:t>一般公共预算财政拨款支出功能分类科目与上年对比分布图</a:t>
            </a:r>
            <a:endParaRPr sz="1050"/>
          </a:p>
        </c:rich>
      </c:tx>
      <c:layout/>
      <c:overlay val="0"/>
      <c:spPr>
        <a:noFill/>
        <a:ln>
          <a:noFill/>
        </a:ln>
        <a:effectLst/>
      </c:spPr>
    </c:title>
    <c:autoTitleDeleted val="0"/>
    <c:plotArea>
      <c:layout/>
      <c:barChart>
        <c:barDir val="col"/>
        <c:grouping val="clustered"/>
        <c:varyColors val="0"/>
        <c:ser>
          <c:idx val="0"/>
          <c:order val="0"/>
          <c:tx>
            <c:strRef>
              <c:f>"2019年"</c:f>
              <c:strCache>
                <c:ptCount val="1"/>
                <c:pt idx="0">
                  <c:v>2019年</c:v>
                </c:pt>
              </c:strCache>
            </c:strRef>
          </c:tx>
          <c:spPr>
            <a:solidFill>
              <a:schemeClr val="accent1"/>
            </a:solidFill>
            <a:ln>
              <a:noFill/>
            </a:ln>
            <a:effectLst/>
          </c:spPr>
          <c:invertIfNegative val="0"/>
          <c:dLbls>
            <c:delete val="1"/>
          </c:dLbls>
          <c:cat>
            <c:strRef>
              <c:f>[6、公共预算拨款功能分类.xls]Sheet1!$H$4:$H$15</c:f>
              <c:strCache>
                <c:ptCount val="12"/>
                <c:pt idx="0">
                  <c:v>行政事业单位离退休费</c:v>
                </c:pt>
                <c:pt idx="1">
                  <c:v>机关事业单位基本养老保险缴费</c:v>
                </c:pt>
                <c:pt idx="2">
                  <c:v>机关事业单位职业年金缴费</c:v>
                </c:pt>
                <c:pt idx="3">
                  <c:v>综合医院</c:v>
                </c:pt>
                <c:pt idx="4">
                  <c:v>妇幼保健机构</c:v>
                </c:pt>
                <c:pt idx="5">
                  <c:v>基本公共卫生服务</c:v>
                </c:pt>
                <c:pt idx="6">
                  <c:v>重大公共卫生专项</c:v>
                </c:pt>
                <c:pt idx="7">
                  <c:v>计划生育服务</c:v>
                </c:pt>
                <c:pt idx="8" c:formatCode="#,##0.00;[Red]#,##0.00">
                  <c:v>其他卫生健康支出</c:v>
                </c:pt>
                <c:pt idx="9">
                  <c:v>其他公立医院</c:v>
                </c:pt>
                <c:pt idx="10">
                  <c:v>计划生育机构</c:v>
                </c:pt>
                <c:pt idx="11">
                  <c:v>其他计划生育事务</c:v>
                </c:pt>
              </c:strCache>
            </c:strRef>
          </c:cat>
          <c:val>
            <c:numRef>
              <c:f>[6、公共预算拨款功能分类.xls]Sheet1!$B$4:$B$15</c:f>
              <c:numCache>
                <c:formatCode>#,##0.00_);\(#,##0.00\)</c:formatCode>
                <c:ptCount val="12"/>
                <c:pt idx="0">
                  <c:v>31.1</c:v>
                </c:pt>
                <c:pt idx="1">
                  <c:v>13.84</c:v>
                </c:pt>
                <c:pt idx="2">
                  <c:v>3.37</c:v>
                </c:pt>
                <c:pt idx="3">
                  <c:v>26.78</c:v>
                </c:pt>
                <c:pt idx="4">
                  <c:v>1919.21</c:v>
                </c:pt>
                <c:pt idx="5">
                  <c:v>27.76</c:v>
                </c:pt>
                <c:pt idx="6">
                  <c:v>42.8</c:v>
                </c:pt>
                <c:pt idx="7">
                  <c:v>2.88</c:v>
                </c:pt>
                <c:pt idx="8" c:formatCode="#,##0.00;[Red]#,##0.00">
                  <c:v>3.75</c:v>
                </c:pt>
                <c:pt idx="9" c:formatCode="General">
                  <c:v>0</c:v>
                </c:pt>
                <c:pt idx="10" c:formatCode="General">
                  <c:v>0</c:v>
                </c:pt>
                <c:pt idx="11" c:formatCode="General">
                  <c:v>0</c:v>
                </c:pt>
              </c:numCache>
            </c:numRef>
          </c:val>
        </c:ser>
        <c:ser>
          <c:idx val="1"/>
          <c:order val="1"/>
          <c:tx>
            <c:strRef>
              <c:f>"2018年"</c:f>
              <c:strCache>
                <c:ptCount val="1"/>
                <c:pt idx="0">
                  <c:v>2018年</c:v>
                </c:pt>
              </c:strCache>
            </c:strRef>
          </c:tx>
          <c:spPr>
            <a:solidFill>
              <a:schemeClr val="accent2"/>
            </a:solidFill>
            <a:ln>
              <a:noFill/>
            </a:ln>
            <a:effectLst/>
          </c:spPr>
          <c:invertIfNegative val="0"/>
          <c:dLbls>
            <c:delete val="1"/>
          </c:dLbls>
          <c:cat>
            <c:strRef>
              <c:f>[6、公共预算拨款功能分类.xls]Sheet1!$H$4:$H$15</c:f>
              <c:strCache>
                <c:ptCount val="12"/>
                <c:pt idx="0">
                  <c:v>行政事业单位离退休费</c:v>
                </c:pt>
                <c:pt idx="1">
                  <c:v>机关事业单位基本养老保险缴费</c:v>
                </c:pt>
                <c:pt idx="2">
                  <c:v>机关事业单位职业年金缴费</c:v>
                </c:pt>
                <c:pt idx="3">
                  <c:v>综合医院</c:v>
                </c:pt>
                <c:pt idx="4">
                  <c:v>妇幼保健机构</c:v>
                </c:pt>
                <c:pt idx="5">
                  <c:v>基本公共卫生服务</c:v>
                </c:pt>
                <c:pt idx="6">
                  <c:v>重大公共卫生专项</c:v>
                </c:pt>
                <c:pt idx="7">
                  <c:v>计划生育服务</c:v>
                </c:pt>
                <c:pt idx="8" c:formatCode="#,##0.00;[Red]#,##0.00">
                  <c:v>其他卫生健康支出</c:v>
                </c:pt>
                <c:pt idx="9">
                  <c:v>其他公立医院</c:v>
                </c:pt>
                <c:pt idx="10">
                  <c:v>计划生育机构</c:v>
                </c:pt>
                <c:pt idx="11">
                  <c:v>其他计划生育事务</c:v>
                </c:pt>
              </c:strCache>
            </c:strRef>
          </c:cat>
          <c:val>
            <c:numRef>
              <c:f>[6、公共预算拨款功能分类.xls]Sheet1!$D$4:$D$15</c:f>
              <c:numCache>
                <c:formatCode>#,##0.00_);\(#,##0.00\)</c:formatCode>
                <c:ptCount val="12"/>
                <c:pt idx="0">
                  <c:v>35.42</c:v>
                </c:pt>
                <c:pt idx="1">
                  <c:v>91.36</c:v>
                </c:pt>
                <c:pt idx="2">
                  <c:v>8.46</c:v>
                </c:pt>
                <c:pt idx="3">
                  <c:v>0</c:v>
                </c:pt>
                <c:pt idx="4">
                  <c:v>1163.12</c:v>
                </c:pt>
                <c:pt idx="5">
                  <c:v>19.66</c:v>
                </c:pt>
                <c:pt idx="6">
                  <c:v>148.4</c:v>
                </c:pt>
                <c:pt idx="7">
                  <c:v>5.32</c:v>
                </c:pt>
                <c:pt idx="8" c:formatCode="#,##0.00;[Red]#,##0.00">
                  <c:v>6.2</c:v>
                </c:pt>
                <c:pt idx="9">
                  <c:v>86.78</c:v>
                </c:pt>
                <c:pt idx="10">
                  <c:v>42.78</c:v>
                </c:pt>
                <c:pt idx="11">
                  <c:v>3.19</c:v>
                </c:pt>
              </c:numCache>
            </c:numRef>
          </c:val>
        </c:ser>
        <c:dLbls>
          <c:showLegendKey val="0"/>
          <c:showVal val="0"/>
          <c:showCatName val="0"/>
          <c:showSerName val="0"/>
          <c:showPercent val="0"/>
          <c:showBubbleSize val="0"/>
        </c:dLbls>
        <c:gapWidth val="150"/>
        <c:overlap val="0"/>
        <c:axId val="734252119"/>
        <c:axId val="29745474"/>
      </c:barChart>
      <c:catAx>
        <c:axId val="73425211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745474"/>
        <c:crosses val="autoZero"/>
        <c:auto val="1"/>
        <c:lblAlgn val="ctr"/>
        <c:lblOffset val="100"/>
        <c:noMultiLvlLbl val="0"/>
      </c:catAx>
      <c:valAx>
        <c:axId val="29745474"/>
        <c:scaling>
          <c:orientation val="minMax"/>
        </c:scaling>
        <c:delete val="0"/>
        <c:axPos val="l"/>
        <c:majorGridlines>
          <c:spPr>
            <a:ln w="9525" cap="flat" cmpd="sng" algn="ctr">
              <a:solidFill>
                <a:schemeClr val="tx1">
                  <a:lumMod val="15000"/>
                  <a:lumOff val="85000"/>
                </a:schemeClr>
              </a:solidFill>
              <a:round/>
            </a:ln>
            <a:effectLst/>
          </c:spPr>
        </c:majorGridlines>
        <c:numFmt formatCode="#,##0.00_);\(#,##0.00\)"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425211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050"/>
              <a:t>一般公共预算财政拨款支出功能分类科目与上年对比和占比分布</a:t>
            </a:r>
            <a:endParaRPr sz="1050"/>
          </a:p>
        </c:rich>
      </c:tx>
      <c:layout>
        <c:manualLayout>
          <c:xMode val="edge"/>
          <c:yMode val="edge"/>
          <c:x val="0.195833333333333"/>
          <c:y val="0.0245608812146472"/>
        </c:manualLayout>
      </c:layout>
      <c:overlay val="0"/>
      <c:spPr>
        <a:noFill/>
        <a:ln>
          <a:noFill/>
        </a:ln>
        <a:effectLst/>
      </c:spPr>
    </c:title>
    <c:autoTitleDeleted val="0"/>
    <c:plotArea>
      <c:layout/>
      <c:barChart>
        <c:barDir val="bar"/>
        <c:grouping val="clustered"/>
        <c:varyColors val="0"/>
        <c:ser>
          <c:idx val="0"/>
          <c:order val="0"/>
          <c:tx>
            <c:strRef>
              <c:f>"2019年"</c:f>
              <c:strCache>
                <c:ptCount val="1"/>
                <c:pt idx="0">
                  <c:v>2019年</c:v>
                </c:pt>
              </c:strCache>
            </c:strRef>
          </c:tx>
          <c:spPr>
            <a:solidFill>
              <a:schemeClr val="accent1"/>
            </a:solidFill>
            <a:ln>
              <a:noFill/>
            </a:ln>
            <a:effectLst/>
          </c:spPr>
          <c:invertIfNegative val="0"/>
          <c:dLbls>
            <c:delete val="1"/>
          </c:dLbls>
          <c:cat>
            <c:strRef>
              <c:f>[6、公共预算拨款功能分类.xls]Sheet1!$H$4:$H$15</c:f>
              <c:strCache>
                <c:ptCount val="12"/>
                <c:pt idx="0">
                  <c:v>行政事业单位离退休费</c:v>
                </c:pt>
                <c:pt idx="1">
                  <c:v>机关事业单位基本养老保险缴费</c:v>
                </c:pt>
                <c:pt idx="2">
                  <c:v>机关事业单位职业年金缴费</c:v>
                </c:pt>
                <c:pt idx="3">
                  <c:v>综合医院</c:v>
                </c:pt>
                <c:pt idx="4">
                  <c:v>妇幼保健机构</c:v>
                </c:pt>
                <c:pt idx="5">
                  <c:v>基本公共卫生服务</c:v>
                </c:pt>
                <c:pt idx="6">
                  <c:v>重大公共卫生专项</c:v>
                </c:pt>
                <c:pt idx="7">
                  <c:v>计划生育服务</c:v>
                </c:pt>
                <c:pt idx="8" c:formatCode="#,##0.00;[Red]#,##0.00">
                  <c:v>其他卫生健康支出</c:v>
                </c:pt>
                <c:pt idx="9">
                  <c:v>其他公立医院</c:v>
                </c:pt>
                <c:pt idx="10">
                  <c:v>计划生育机构</c:v>
                </c:pt>
                <c:pt idx="11">
                  <c:v>其他计划生育事务</c:v>
                </c:pt>
              </c:strCache>
            </c:strRef>
          </c:cat>
          <c:val>
            <c:numRef>
              <c:f>[6、公共预算拨款功能分类.xls]Sheet1!$C$4:$C$15</c:f>
              <c:numCache>
                <c:formatCode>0.00%</c:formatCode>
                <c:ptCount val="12"/>
                <c:pt idx="0">
                  <c:v>0.0150133478800284</c:v>
                </c:pt>
                <c:pt idx="1">
                  <c:v>0.00668118117876504</c:v>
                </c:pt>
                <c:pt idx="2">
                  <c:v>0.0016268483072571</c:v>
                </c:pt>
                <c:pt idx="3">
                  <c:v>0.0129278924831884</c:v>
                </c:pt>
                <c:pt idx="4">
                  <c:v>0.926487697261392</c:v>
                </c:pt>
                <c:pt idx="5">
                  <c:v>0.013400981901916</c:v>
                </c:pt>
                <c:pt idx="6">
                  <c:v>0.0206614562464699</c:v>
                </c:pt>
                <c:pt idx="7">
                  <c:v>0.0013903035978933</c:v>
                </c:pt>
                <c:pt idx="8">
                  <c:v>0.00181029114309024</c:v>
                </c:pt>
              </c:numCache>
            </c:numRef>
          </c:val>
        </c:ser>
        <c:ser>
          <c:idx val="1"/>
          <c:order val="1"/>
          <c:tx>
            <c:strRef>
              <c:f>"2018年"</c:f>
              <c:strCache>
                <c:ptCount val="1"/>
                <c:pt idx="0">
                  <c:v>2018年</c:v>
                </c:pt>
              </c:strCache>
            </c:strRef>
          </c:tx>
          <c:spPr>
            <a:solidFill>
              <a:schemeClr val="accent2"/>
            </a:solidFill>
            <a:ln>
              <a:noFill/>
            </a:ln>
            <a:effectLst/>
          </c:spPr>
          <c:invertIfNegative val="0"/>
          <c:dLbls>
            <c:delete val="1"/>
          </c:dLbls>
          <c:cat>
            <c:strRef>
              <c:f>[6、公共预算拨款功能分类.xls]Sheet1!$H$4:$H$15</c:f>
              <c:strCache>
                <c:ptCount val="12"/>
                <c:pt idx="0">
                  <c:v>行政事业单位离退休费</c:v>
                </c:pt>
                <c:pt idx="1">
                  <c:v>机关事业单位基本养老保险缴费</c:v>
                </c:pt>
                <c:pt idx="2">
                  <c:v>机关事业单位职业年金缴费</c:v>
                </c:pt>
                <c:pt idx="3">
                  <c:v>综合医院</c:v>
                </c:pt>
                <c:pt idx="4">
                  <c:v>妇幼保健机构</c:v>
                </c:pt>
                <c:pt idx="5">
                  <c:v>基本公共卫生服务</c:v>
                </c:pt>
                <c:pt idx="6">
                  <c:v>重大公共卫生专项</c:v>
                </c:pt>
                <c:pt idx="7">
                  <c:v>计划生育服务</c:v>
                </c:pt>
                <c:pt idx="8" c:formatCode="#,##0.00;[Red]#,##0.00">
                  <c:v>其他卫生健康支出</c:v>
                </c:pt>
                <c:pt idx="9">
                  <c:v>其他公立医院</c:v>
                </c:pt>
                <c:pt idx="10">
                  <c:v>计划生育机构</c:v>
                </c:pt>
                <c:pt idx="11">
                  <c:v>其他计划生育事务</c:v>
                </c:pt>
              </c:strCache>
            </c:strRef>
          </c:cat>
          <c:val>
            <c:numRef>
              <c:f>[6、公共预算拨款功能分类.xls]Sheet1!$E$4:$E$15</c:f>
              <c:numCache>
                <c:formatCode>0.00%</c:formatCode>
                <c:ptCount val="12"/>
                <c:pt idx="0">
                  <c:v>0.0219905754676567</c:v>
                </c:pt>
                <c:pt idx="1">
                  <c:v>0.056721032600935</c:v>
                </c:pt>
                <c:pt idx="2">
                  <c:v>0.0052524073533703</c:v>
                </c:pt>
                <c:pt idx="3">
                  <c:v>0</c:v>
                </c:pt>
                <c:pt idx="4">
                  <c:v>0.722125300337123</c:v>
                </c:pt>
                <c:pt idx="5">
                  <c:v>0.0122059490032222</c:v>
                </c:pt>
                <c:pt idx="6">
                  <c:v>0.092134426860538</c:v>
                </c:pt>
                <c:pt idx="7">
                  <c:v>0.00330293228367967</c:v>
                </c:pt>
                <c:pt idx="8">
                  <c:v>0.00384928198473946</c:v>
                </c:pt>
                <c:pt idx="9">
                  <c:v>0.053877530747692</c:v>
                </c:pt>
                <c:pt idx="10">
                  <c:v>0.0265600456947023</c:v>
                </c:pt>
                <c:pt idx="11">
                  <c:v>0.00198051766634175</c:v>
                </c:pt>
              </c:numCache>
            </c:numRef>
          </c:val>
        </c:ser>
        <c:dLbls>
          <c:showLegendKey val="0"/>
          <c:showVal val="0"/>
          <c:showCatName val="0"/>
          <c:showSerName val="0"/>
          <c:showPercent val="0"/>
          <c:showBubbleSize val="0"/>
        </c:dLbls>
        <c:gapWidth val="182"/>
        <c:overlap val="0"/>
        <c:axId val="591093959"/>
        <c:axId val="726417482"/>
      </c:barChart>
      <c:catAx>
        <c:axId val="591093959"/>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6417482"/>
        <c:crosses val="autoZero"/>
        <c:auto val="1"/>
        <c:lblAlgn val="ctr"/>
        <c:lblOffset val="100"/>
        <c:noMultiLvlLbl val="0"/>
      </c:catAx>
      <c:valAx>
        <c:axId val="726417482"/>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9109395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a:t>
            </a:r>
            <a:r>
              <a:t>社会保障和就业支出占比分布</a:t>
            </a:r>
            <a:endParaRPr lang="en-US" altLang="zh-CN"/>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[6、社会保障和就业覅支出.xls]Sheet1!$A$4:$A$6</c:f>
              <c:strCache>
                <c:ptCount val="3"/>
                <c:pt idx="0">
                  <c:v>1.退休人员费</c:v>
                </c:pt>
                <c:pt idx="1">
                  <c:v>2.养老保险</c:v>
                </c:pt>
                <c:pt idx="2">
                  <c:v>3.职业年金</c:v>
                </c:pt>
              </c:strCache>
            </c:strRef>
          </c:cat>
          <c:val>
            <c:numRef>
              <c:f>[6、社会保障和就业覅支出.xls]Sheet1!$C$4:$C$6</c:f>
              <c:numCache>
                <c:formatCode>0.00%</c:formatCode>
                <c:ptCount val="3"/>
                <c:pt idx="0">
                  <c:v>0.643759056096046</c:v>
                </c:pt>
                <c:pt idx="1">
                  <c:v>0.286483129786794</c:v>
                </c:pt>
                <c:pt idx="2">
                  <c:v>0.06975781411716</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a:t>
            </a:r>
            <a:r>
              <a:t>卫生健康支出占比分布</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[7、卫生健康支出.xls]Sheet1!$A$7:$A$9</c15:sqref>
                  </c15:fullRef>
                </c:ext>
              </c:extLst>
              <c:f>[7、卫生健康支出.xls]Sheet1!$A$7:$A$9</c:f>
              <c:strCache>
                <c:ptCount val="3"/>
                <c:pt idx="0">
                  <c:v>1.工资福利支出</c:v>
                </c:pt>
                <c:pt idx="1">
                  <c:v>2.商品和服务支出（公共卫生项目）</c:v>
                </c:pt>
                <c:pt idx="2">
                  <c:v>3.资本性支出（建设项目）</c:v>
                </c:pt>
              </c:strCache>
            </c:strRef>
          </c:cat>
          <c:val>
            <c:numRef>
              <c:extLst>
                <c:ext xmlns:c15="http://schemas.microsoft.com/office/drawing/2012/chart" uri="{02D57815-91ED-43cb-92C2-25804820EDAC}">
                  <c15:fullRef>
                    <c15:sqref>Sheet1!$C$6:$C$9</c15:sqref>
                  </c15:fullRef>
                </c:ext>
              </c:extLst>
              <c:f>[7、卫生健康支出.xls]Sheet1!$C$6:$C$8</c:f>
              <c:numCache>
                <c:formatCode>0.00%</c:formatCode>
                <c:ptCount val="3"/>
                <c:pt idx="0">
                  <c:v>0.9767</c:v>
                </c:pt>
                <c:pt idx="1">
                  <c:v>0.529633259151625</c:v>
                </c:pt>
                <c:pt idx="2">
                  <c:v>0.0811251804256839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2019</a:t>
            </a:r>
            <a:r>
              <a:rPr altLang="en-US"/>
              <a:t>年</a:t>
            </a:r>
            <a:r>
              <a:t>国有资产占用情况对比上年分布图</a:t>
            </a:r>
          </a:p>
        </c:rich>
      </c:tx>
      <c:layout/>
      <c:overlay val="0"/>
      <c:spPr>
        <a:noFill/>
        <a:ln>
          <a:noFill/>
        </a:ln>
        <a:effectLst/>
      </c:spPr>
    </c:title>
    <c:autoTitleDeleted val="0"/>
    <c:plotArea>
      <c:layout/>
      <c:barChart>
        <c:barDir val="col"/>
        <c:grouping val="clustered"/>
        <c:varyColors val="0"/>
        <c:ser>
          <c:idx val="0"/>
          <c:order val="0"/>
          <c:tx>
            <c:strRef>
              <c:f>"2019年"</c:f>
              <c:strCache>
                <c:ptCount val="1"/>
                <c:pt idx="0">
                  <c:v>2019年</c:v>
                </c:pt>
              </c:strCache>
            </c:strRef>
          </c:tx>
          <c:spPr>
            <a:solidFill>
              <a:schemeClr val="accent1"/>
            </a:solidFill>
            <a:ln>
              <a:noFill/>
            </a:ln>
            <a:effectLst/>
          </c:spPr>
          <c:invertIfNegative val="0"/>
          <c:dLbls>
            <c:delete val="1"/>
          </c:dLbls>
          <c:cat>
            <c:strRef>
              <c:f>[8、国有资产占用情况.xls]Sheet1!$A$3:$A$6</c:f>
              <c:strCache>
                <c:ptCount val="4"/>
                <c:pt idx="0">
                  <c:v>1、流动资产</c:v>
                </c:pt>
                <c:pt idx="1">
                  <c:v>2、固定资产（原值）</c:v>
                </c:pt>
                <c:pt idx="2">
                  <c:v>3、在建工程</c:v>
                </c:pt>
                <c:pt idx="3">
                  <c:v>4、无形资产（原值）</c:v>
                </c:pt>
              </c:strCache>
            </c:strRef>
          </c:cat>
          <c:val>
            <c:numRef>
              <c:f>[8、国有资产占用情况.xls]Sheet1!$B$3:$B$6</c:f>
              <c:numCache>
                <c:formatCode>#,##0.00_);\(#,##0.00\)</c:formatCode>
                <c:ptCount val="4"/>
                <c:pt idx="0">
                  <c:v>3541.79</c:v>
                </c:pt>
                <c:pt idx="1">
                  <c:v>3820.19</c:v>
                </c:pt>
                <c:pt idx="2">
                  <c:v>1486.31</c:v>
                </c:pt>
                <c:pt idx="3">
                  <c:v>92.44</c:v>
                </c:pt>
              </c:numCache>
            </c:numRef>
          </c:val>
        </c:ser>
        <c:ser>
          <c:idx val="1"/>
          <c:order val="1"/>
          <c:tx>
            <c:strRef>
              <c:f>"2018年"</c:f>
              <c:strCache>
                <c:ptCount val="1"/>
                <c:pt idx="0">
                  <c:v>2018年</c:v>
                </c:pt>
              </c:strCache>
            </c:strRef>
          </c:tx>
          <c:spPr>
            <a:solidFill>
              <a:schemeClr val="accent2"/>
            </a:solidFill>
            <a:ln>
              <a:noFill/>
            </a:ln>
            <a:effectLst/>
          </c:spPr>
          <c:invertIfNegative val="0"/>
          <c:dLbls>
            <c:delete val="1"/>
          </c:dLbls>
          <c:cat>
            <c:strRef>
              <c:f>[8、国有资产占用情况.xls]Sheet1!$A$3:$A$6</c:f>
              <c:strCache>
                <c:ptCount val="4"/>
                <c:pt idx="0">
                  <c:v>1、流动资产</c:v>
                </c:pt>
                <c:pt idx="1">
                  <c:v>2、固定资产（原值）</c:v>
                </c:pt>
                <c:pt idx="2">
                  <c:v>3、在建工程</c:v>
                </c:pt>
                <c:pt idx="3">
                  <c:v>4、无形资产（原值）</c:v>
                </c:pt>
              </c:strCache>
            </c:strRef>
          </c:cat>
          <c:val>
            <c:numRef>
              <c:f>[8、国有资产占用情况.xls]Sheet1!$C$3:$C$6</c:f>
              <c:numCache>
                <c:formatCode>#,##0.00_);\(#,##0.00\)</c:formatCode>
                <c:ptCount val="4"/>
                <c:pt idx="0">
                  <c:v>2913.34</c:v>
                </c:pt>
                <c:pt idx="1">
                  <c:v>3365.02</c:v>
                </c:pt>
                <c:pt idx="2">
                  <c:v>200</c:v>
                </c:pt>
                <c:pt idx="3">
                  <c:v>91.54</c:v>
                </c:pt>
              </c:numCache>
            </c:numRef>
          </c:val>
        </c:ser>
        <c:dLbls>
          <c:showLegendKey val="0"/>
          <c:showVal val="1"/>
          <c:showCatName val="0"/>
          <c:showSerName val="0"/>
          <c:showPercent val="0"/>
          <c:showBubbleSize val="0"/>
        </c:dLbls>
        <c:gapWidth val="150"/>
        <c:overlap val="0"/>
        <c:axId val="158074983"/>
        <c:axId val="346028461"/>
      </c:barChart>
      <c:catAx>
        <c:axId val="1580749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6028461"/>
        <c:crosses val="autoZero"/>
        <c:auto val="1"/>
        <c:lblAlgn val="ctr"/>
        <c:lblOffset val="100"/>
        <c:noMultiLvlLbl val="0"/>
      </c:catAx>
      <c:valAx>
        <c:axId val="346028461"/>
        <c:scaling>
          <c:orientation val="minMax"/>
        </c:scaling>
        <c:delete val="0"/>
        <c:axPos val="l"/>
        <c:majorGridlines>
          <c:spPr>
            <a:ln w="9525" cap="flat" cmpd="sng" algn="ctr">
              <a:solidFill>
                <a:schemeClr val="tx1">
                  <a:lumMod val="15000"/>
                  <a:lumOff val="85000"/>
                </a:schemeClr>
              </a:solidFill>
              <a:round/>
            </a:ln>
            <a:effectLst/>
          </c:spPr>
        </c:majorGridlines>
        <c:numFmt formatCode="#,##0.00_);\(#,##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807498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总体收入与上年对比分布图</a:t>
            </a:r>
          </a:p>
        </c:rich>
      </c:tx>
      <c:layout/>
      <c:overlay val="0"/>
      <c:spPr>
        <a:noFill/>
        <a:ln>
          <a:noFill/>
        </a:ln>
        <a:effectLst/>
      </c:spPr>
    </c:title>
    <c:autoTitleDeleted val="0"/>
    <c:plotArea>
      <c:layout/>
      <c:barChart>
        <c:barDir val="col"/>
        <c:grouping val="clustered"/>
        <c:varyColors val="0"/>
        <c:ser>
          <c:idx val="0"/>
          <c:order val="0"/>
          <c:tx>
            <c:strRef>
              <c:f>"2019年"</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[1、收入决算情况.xls]Sheet1!$A$6:$A$8</c:f>
              <c:strCache>
                <c:ptCount val="3"/>
                <c:pt idx="0">
                  <c:v>1.财政收入</c:v>
                </c:pt>
                <c:pt idx="1">
                  <c:v>2.事业收入</c:v>
                </c:pt>
                <c:pt idx="2">
                  <c:v>3.其他收入</c:v>
                </c:pt>
              </c:strCache>
            </c:strRef>
          </c:cat>
          <c:val>
            <c:numRef>
              <c:f>[1、收入决算情况.xls]Sheet1!$B$6:$B$8</c:f>
              <c:numCache>
                <c:formatCode>#,##0.00_);\(#,##0.00\)</c:formatCode>
                <c:ptCount val="3"/>
                <c:pt idx="0">
                  <c:v>2071.49</c:v>
                </c:pt>
                <c:pt idx="1">
                  <c:v>3514.95</c:v>
                </c:pt>
                <c:pt idx="2">
                  <c:v>289.16</c:v>
                </c:pt>
              </c:numCache>
            </c:numRef>
          </c:val>
        </c:ser>
        <c:ser>
          <c:idx val="1"/>
          <c:order val="1"/>
          <c:tx>
            <c:strRef>
              <c:f>"2018年"</c:f>
              <c:strCache>
                <c:ptCount val="1"/>
                <c:pt idx="0">
                  <c:v>2018年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[1、收入决算情况.xls]Sheet1!$A$6:$A$8</c:f>
              <c:strCache>
                <c:ptCount val="3"/>
                <c:pt idx="0">
                  <c:v>1.财政收入</c:v>
                </c:pt>
                <c:pt idx="1">
                  <c:v>2.事业收入</c:v>
                </c:pt>
                <c:pt idx="2">
                  <c:v>3.其他收入</c:v>
                </c:pt>
              </c:strCache>
            </c:strRef>
          </c:cat>
          <c:val>
            <c:numRef>
              <c:f>[1、收入决算情况.xls]Sheet1!$D$6:$D$8</c:f>
              <c:numCache>
                <c:formatCode>#,##0.00_);\(#,##0.00\)</c:formatCode>
                <c:ptCount val="3"/>
                <c:pt idx="0">
                  <c:v>1610.69</c:v>
                </c:pt>
                <c:pt idx="1">
                  <c:v>3480.22</c:v>
                </c:pt>
                <c:pt idx="2">
                  <c:v>2.32</c:v>
                </c:pt>
              </c:numCache>
            </c:numRef>
          </c:val>
        </c:ser>
        <c:dLbls>
          <c:showLegendKey val="0"/>
          <c:showVal val="1"/>
          <c:showCatName val="0"/>
          <c:showSerName val="0"/>
          <c:showPercent val="0"/>
          <c:showBubbleSize val="0"/>
        </c:dLbls>
        <c:gapWidth val="219"/>
        <c:overlap val="-27"/>
        <c:axId val="760719040"/>
        <c:axId val="440853256"/>
      </c:barChart>
      <c:catAx>
        <c:axId val="76071904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0853256"/>
        <c:crosses val="autoZero"/>
        <c:auto val="1"/>
        <c:lblAlgn val="ctr"/>
        <c:lblOffset val="100"/>
        <c:noMultiLvlLbl val="0"/>
      </c:catAx>
      <c:valAx>
        <c:axId val="440853256"/>
        <c:scaling>
          <c:orientation val="minMax"/>
        </c:scaling>
        <c:delete val="0"/>
        <c:axPos val="l"/>
        <c:majorGridlines>
          <c:spPr>
            <a:ln w="9525" cap="flat" cmpd="sng" algn="ctr">
              <a:solidFill>
                <a:schemeClr val="tx1">
                  <a:lumMod val="15000"/>
                  <a:lumOff val="85000"/>
                </a:schemeClr>
              </a:solidFill>
              <a:round/>
            </a:ln>
            <a:effectLst/>
          </c:spPr>
        </c:majorGridlines>
        <c:numFmt formatCode="#,##0.00_);\(#,##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607190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总体收入与上年对比和占比情况分布图</a:t>
            </a:r>
            <a:endParaRPr altLang="en-US"/>
          </a:p>
        </c:rich>
      </c:tx>
      <c:layout/>
      <c:overlay val="0"/>
      <c:spPr>
        <a:noFill/>
        <a:ln>
          <a:noFill/>
        </a:ln>
        <a:effectLst/>
      </c:spPr>
    </c:title>
    <c:autoTitleDeleted val="0"/>
    <c:plotArea>
      <c:layout/>
      <c:barChart>
        <c:barDir val="bar"/>
        <c:grouping val="clustered"/>
        <c:varyColors val="0"/>
        <c:ser>
          <c:idx val="0"/>
          <c:order val="0"/>
          <c:tx>
            <c:strRef>
              <c:f>"2019年"</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[1、收入决算情况.xls]Sheet1!$A$4:$A$6</c:f>
              <c:strCache>
                <c:ptCount val="3"/>
                <c:pt idx="0">
                  <c:v>1.财政收入</c:v>
                </c:pt>
                <c:pt idx="1">
                  <c:v>2.事业收入</c:v>
                </c:pt>
                <c:pt idx="2">
                  <c:v>3.其他收入</c:v>
                </c:pt>
              </c:strCache>
            </c:strRef>
          </c:cat>
          <c:val>
            <c:numRef>
              <c:f>[1、收入决算情况.xls]Sheet1!$C$4:$C$6</c:f>
              <c:numCache>
                <c:formatCode>0.00%</c:formatCode>
                <c:ptCount val="3"/>
                <c:pt idx="0">
                  <c:v>0.352558036626047</c:v>
                </c:pt>
                <c:pt idx="1">
                  <c:v>0.598228266049425</c:v>
                </c:pt>
                <c:pt idx="2">
                  <c:v>0.0492136973245286</c:v>
                </c:pt>
              </c:numCache>
            </c:numRef>
          </c:val>
        </c:ser>
        <c:ser>
          <c:idx val="1"/>
          <c:order val="1"/>
          <c:tx>
            <c:strRef>
              <c:f>"2018年"</c:f>
              <c:strCache>
                <c:ptCount val="1"/>
                <c:pt idx="0">
                  <c:v>2018年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[1、收入决算情况.xls]Sheet1!$A$4:$A$6</c:f>
              <c:strCache>
                <c:ptCount val="3"/>
                <c:pt idx="0">
                  <c:v>1.财政收入</c:v>
                </c:pt>
                <c:pt idx="1">
                  <c:v>2.事业收入</c:v>
                </c:pt>
                <c:pt idx="2">
                  <c:v>3.其他收入</c:v>
                </c:pt>
              </c:strCache>
            </c:strRef>
          </c:cat>
          <c:val>
            <c:numRef>
              <c:f>[1、收入决算情况.xls]Sheet1!$E$4:$E$6</c:f>
              <c:numCache>
                <c:formatCode>0.00%</c:formatCode>
                <c:ptCount val="3"/>
                <c:pt idx="0">
                  <c:v>0.316241363535517</c:v>
                </c:pt>
                <c:pt idx="1">
                  <c:v>0.683303129840985</c:v>
                </c:pt>
                <c:pt idx="2">
                  <c:v>0.000455506623498252</c:v>
                </c:pt>
              </c:numCache>
            </c:numRef>
          </c:val>
        </c:ser>
        <c:dLbls>
          <c:showLegendKey val="0"/>
          <c:showVal val="1"/>
          <c:showCatName val="0"/>
          <c:showSerName val="0"/>
          <c:showPercent val="0"/>
          <c:showBubbleSize val="0"/>
        </c:dLbls>
        <c:gapWidth val="182"/>
        <c:overlap val="0"/>
        <c:axId val="969857619"/>
        <c:axId val="552284294"/>
      </c:barChart>
      <c:catAx>
        <c:axId val="969857619"/>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2284294"/>
        <c:crosses val="autoZero"/>
        <c:auto val="1"/>
        <c:lblAlgn val="ctr"/>
        <c:lblOffset val="100"/>
        <c:noMultiLvlLbl val="0"/>
      </c:catAx>
      <c:valAx>
        <c:axId val="55228429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985761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总体支出与上年对比分布图</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基本支出</c:v>
                </c:pt>
                <c:pt idx="1">
                  <c:v>项目支出</c:v>
                </c:pt>
              </c:strCache>
            </c:strRef>
          </c:cat>
          <c:val>
            <c:numRef>
              <c:extLst>
                <c:ext xmlns:c15="http://schemas.microsoft.com/office/drawing/2012/chart" uri="{02D57815-91ED-43cb-92C2-25804820EDAC}">
                  <c15:fullRef>
                    <c15:sqref>Sheet1!$B$2:$B$5</c15:sqref>
                  </c15:fullRef>
                </c:ext>
              </c:extLst>
              <c:f>Sheet1!$B$2:$B$3</c:f>
              <c:numCache>
                <c:formatCode>General</c:formatCode>
                <c:ptCount val="2"/>
                <c:pt idx="0">
                  <c:v>4274.68</c:v>
                </c:pt>
                <c:pt idx="1">
                  <c:v>966.42</c:v>
                </c:pt>
              </c:numCache>
            </c:numRef>
          </c:val>
        </c:ser>
        <c:ser>
          <c:idx val="1"/>
          <c:order val="1"/>
          <c:tx>
            <c:strRef>
              <c:f>Sheet1!$C$1</c:f>
              <c:strCache>
                <c:ptCount val="1"/>
                <c:pt idx="0">
                  <c:v>2018年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Sheet1!$A$2:$A$5</c15:sqref>
                  </c15:fullRef>
                </c:ext>
              </c:extLst>
              <c:f>Sheet1!$A$2:$A$3</c:f>
              <c:strCache>
                <c:ptCount val="2"/>
                <c:pt idx="0">
                  <c:v>基本支出</c:v>
                </c:pt>
                <c:pt idx="1">
                  <c:v>项目支出</c:v>
                </c:pt>
              </c:strCache>
            </c:strRef>
          </c:cat>
          <c:val>
            <c:numRef>
              <c:extLst>
                <c:ext xmlns:c15="http://schemas.microsoft.com/office/drawing/2012/chart" uri="{02D57815-91ED-43cb-92C2-25804820EDAC}">
                  <c15:fullRef>
                    <c15:sqref>Sheet1!$C$2:$C$5</c15:sqref>
                  </c15:fullRef>
                </c:ext>
              </c:extLst>
              <c:f>Sheet1!$C$2:$C$3</c:f>
              <c:numCache>
                <c:formatCode>General</c:formatCode>
                <c:ptCount val="2"/>
                <c:pt idx="0">
                  <c:v>4630.48</c:v>
                </c:pt>
                <c:pt idx="1">
                  <c:v>512.33</c:v>
                </c:pt>
              </c:numCache>
            </c:numRef>
          </c:val>
        </c:ser>
        <c:dLbls>
          <c:showLegendKey val="0"/>
          <c:showVal val="1"/>
          <c:showCatName val="0"/>
          <c:showSerName val="0"/>
          <c:showPercent val="0"/>
          <c:showBubbleSize val="0"/>
        </c:dLbls>
        <c:gapWidth val="150"/>
        <c:overlap val="-25"/>
        <c:axId val="997664474"/>
        <c:axId val="30209426"/>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Sheet1!$A$2:$A$5</c15:sqref>
                        </c15:fullRef>
                        <c15:formulaRef>
                          <c15:sqref>Sheet1!$A$2:$A$3</c15:sqref>
                        </c15:formulaRef>
                      </c:ext>
                    </c:extLst>
                    <c:strCache>
                      <c:ptCount val="2"/>
                      <c:pt idx="0">
                        <c:v>基本支出</c:v>
                      </c:pt>
                      <c:pt idx="1">
                        <c:v>项目支出</c:v>
                      </c:pt>
                    </c:strCache>
                  </c:strRef>
                </c:cat>
                <c:val>
                  <c:numRef>
                    <c:extLst>
                      <c:ext uri="{02D57815-91ED-43cb-92C2-25804820EDAC}">
                        <c15:fullRef>
                          <c15:sqref>Sheet1!$D$2:$D$5</c15:sqref>
                        </c15:fullRef>
                        <c15:formulaRef>
                          <c15:sqref>Sheet1!$D$2:$D$3</c15:sqref>
                        </c15:formulaRef>
                      </c:ext>
                    </c:extLst>
                    <c:numCache>
                      <c:formatCode>General</c:formatCode>
                      <c:ptCount val="2"/>
                    </c:numCache>
                  </c:numRef>
                </c:val>
              </c15:ser>
            </c15:filteredBarSeries>
          </c:ext>
        </c:extLst>
      </c:barChart>
      <c:catAx>
        <c:axId val="997664474"/>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209426"/>
        <c:crosses val="autoZero"/>
        <c:auto val="1"/>
        <c:lblAlgn val="ctr"/>
        <c:lblOffset val="100"/>
        <c:noMultiLvlLbl val="0"/>
      </c:catAx>
      <c:valAx>
        <c:axId val="3020942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97664474"/>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支出项目分类与上年对比和占比情况分布图</a:t>
            </a:r>
            <a:endParaRPr altLang="en-US"/>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0.815607410658068</c:v>
                </c:pt>
                <c:pt idx="1">
                  <c:v>0.184392589341932</c:v>
                </c:pt>
              </c:numCache>
            </c:numRef>
          </c:val>
        </c:ser>
        <c:ser>
          <c:idx val="1"/>
          <c:order val="1"/>
          <c:tx>
            <c:strRef>
              <c:f>Sheet1!$C$1</c:f>
              <c:strCache>
                <c:ptCount val="1"/>
                <c:pt idx="0">
                  <c:v>2018年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Sheet1!$C$2:$C$3</c:f>
              <c:numCache>
                <c:formatCode>0.00%</c:formatCode>
                <c:ptCount val="2"/>
                <c:pt idx="0">
                  <c:v>0.90037936458862</c:v>
                </c:pt>
                <c:pt idx="1">
                  <c:v>0.0996206354113802</c:v>
                </c:pt>
              </c:numCache>
            </c:numRef>
          </c:val>
        </c:ser>
        <c:dLbls>
          <c:showLegendKey val="0"/>
          <c:showVal val="1"/>
          <c:showCatName val="0"/>
          <c:showSerName val="0"/>
          <c:showPercent val="0"/>
          <c:showBubbleSize val="0"/>
        </c:dLbls>
        <c:gapWidth val="219"/>
        <c:overlap val="-27"/>
        <c:axId val="45543685"/>
        <c:axId val="776915837"/>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Sheet1!$A$2:$A$3</c15:sqref>
                        </c15:formulaRef>
                      </c:ext>
                    </c:extLst>
                    <c:strCache>
                      <c:ptCount val="2"/>
                      <c:pt idx="0">
                        <c:v>基本支出</c:v>
                      </c:pt>
                      <c:pt idx="1">
                        <c:v>项目支出</c:v>
                      </c:pt>
                    </c:strCache>
                  </c:strRef>
                </c:cat>
                <c:val>
                  <c:numRef>
                    <c:extLst>
                      <c:ext uri="{02D57815-91ED-43cb-92C2-25804820EDAC}">
                        <c15:formulaRef>
                          <c15:sqref>Sheet1!$D$2:$D$3</c15:sqref>
                        </c15:formulaRef>
                      </c:ext>
                    </c:extLst>
                    <c:numCache>
                      <c:formatCode>General</c:formatCode>
                      <c:ptCount val="2"/>
                    </c:numCache>
                  </c:numRef>
                </c:val>
              </c15:ser>
            </c15:filteredBarSeries>
          </c:ext>
        </c:extLst>
      </c:barChart>
      <c:catAx>
        <c:axId val="45543685"/>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6915837"/>
        <c:crosses val="autoZero"/>
        <c:auto val="1"/>
        <c:lblAlgn val="ctr"/>
        <c:lblOffset val="100"/>
        <c:noMultiLvlLbl val="0"/>
      </c:catAx>
      <c:valAx>
        <c:axId val="776915837"/>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54368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基本支出与上年对比分布图</a:t>
            </a:r>
            <a:endParaRPr lang="en-US" altLang="zh-CN"/>
          </a:p>
        </c:rich>
      </c:tx>
      <c:layout/>
      <c:overlay val="0"/>
      <c:spPr>
        <a:noFill/>
        <a:ln>
          <a:noFill/>
        </a:ln>
        <a:effectLst/>
      </c:spPr>
    </c:title>
    <c:autoTitleDeleted val="0"/>
    <c:plotArea>
      <c:layout/>
      <c:barChart>
        <c:barDir val="col"/>
        <c:grouping val="clustered"/>
        <c:varyColors val="0"/>
        <c:ser>
          <c:idx val="0"/>
          <c:order val="0"/>
          <c:tx>
            <c:strRef>
              <c:f>"2019年"</c:f>
              <c:strCache>
                <c:ptCount val="1"/>
                <c:pt idx="0">
                  <c:v>2019年</c:v>
                </c:pt>
              </c:strCache>
            </c:strRef>
          </c:tx>
          <c:spPr>
            <a:solidFill>
              <a:schemeClr val="accent1"/>
            </a:solidFill>
            <a:ln>
              <a:noFill/>
            </a:ln>
            <a:effectLst/>
          </c:spPr>
          <c:invertIfNegative val="0"/>
          <c:dLbls>
            <c:delete val="1"/>
          </c:dLbls>
          <c:cat>
            <c:strRef>
              <c:f>[3、基本支出经济分类.xls]Sheet1!$H$5:$H$9</c:f>
              <c:strCache>
                <c:ptCount val="5"/>
                <c:pt idx="0">
                  <c:v>工资福利支出</c:v>
                </c:pt>
                <c:pt idx="1">
                  <c:v>商品和服务支出</c:v>
                </c:pt>
                <c:pt idx="2">
                  <c:v>对个人和家庭补助支出</c:v>
                </c:pt>
                <c:pt idx="3">
                  <c:v>资本性支出（建设项目）</c:v>
                </c:pt>
                <c:pt idx="4" c:formatCode="#,##0.00;[Red]#,##0.00">
                  <c:v>资本性支出（设备）</c:v>
                </c:pt>
              </c:strCache>
            </c:strRef>
          </c:cat>
          <c:val>
            <c:numRef>
              <c:f>[3、基本支出经济分类.xls]Sheet1!$B$5:$B$9</c:f>
              <c:numCache>
                <c:formatCode>#,##0.00_);\(#,##0.00\)</c:formatCode>
                <c:ptCount val="5"/>
                <c:pt idx="0">
                  <c:v>1780.11</c:v>
                </c:pt>
                <c:pt idx="1">
                  <c:v>2109.49</c:v>
                </c:pt>
                <c:pt idx="2">
                  <c:v>33.46</c:v>
                </c:pt>
                <c:pt idx="3">
                  <c:v>0</c:v>
                </c:pt>
                <c:pt idx="4" c:formatCode="#,##0.00;[Red]#,##0.00">
                  <c:v>351.62</c:v>
                </c:pt>
              </c:numCache>
            </c:numRef>
          </c:val>
        </c:ser>
        <c:ser>
          <c:idx val="1"/>
          <c:order val="1"/>
          <c:tx>
            <c:strRef>
              <c:f>"2018年"</c:f>
              <c:strCache>
                <c:ptCount val="1"/>
                <c:pt idx="0">
                  <c:v>2018年</c:v>
                </c:pt>
              </c:strCache>
            </c:strRef>
          </c:tx>
          <c:spPr>
            <a:solidFill>
              <a:schemeClr val="accent2"/>
            </a:solidFill>
            <a:ln>
              <a:noFill/>
            </a:ln>
            <a:effectLst/>
          </c:spPr>
          <c:invertIfNegative val="0"/>
          <c:dLbls>
            <c:delete val="1"/>
          </c:dLbls>
          <c:cat>
            <c:strRef>
              <c:f>[3、基本支出经济分类.xls]Sheet1!$H$5:$H$9</c:f>
              <c:strCache>
                <c:ptCount val="5"/>
                <c:pt idx="0">
                  <c:v>工资福利支出</c:v>
                </c:pt>
                <c:pt idx="1">
                  <c:v>商品和服务支出</c:v>
                </c:pt>
                <c:pt idx="2">
                  <c:v>对个人和家庭补助支出</c:v>
                </c:pt>
                <c:pt idx="3">
                  <c:v>资本性支出（建设项目）</c:v>
                </c:pt>
                <c:pt idx="4" c:formatCode="#,##0.00;[Red]#,##0.00">
                  <c:v>资本性支出（设备）</c:v>
                </c:pt>
              </c:strCache>
            </c:strRef>
          </c:cat>
          <c:val>
            <c:numRef>
              <c:f>[3、基本支出经济分类.xls]Sheet1!$D$5:$D$9</c:f>
              <c:numCache>
                <c:formatCode>#,##0.00_);\(#,##0.00\)</c:formatCode>
                <c:ptCount val="5"/>
                <c:pt idx="0">
                  <c:v>1616.92</c:v>
                </c:pt>
                <c:pt idx="1">
                  <c:v>2169.06</c:v>
                </c:pt>
                <c:pt idx="2">
                  <c:v>72.25</c:v>
                </c:pt>
                <c:pt idx="3">
                  <c:v>0</c:v>
                </c:pt>
                <c:pt idx="4" c:formatCode="#,##0.00;[Red]#,##0.00">
                  <c:v>772.26</c:v>
                </c:pt>
              </c:numCache>
            </c:numRef>
          </c:val>
        </c:ser>
        <c:dLbls>
          <c:showLegendKey val="0"/>
          <c:showVal val="0"/>
          <c:showCatName val="0"/>
          <c:showSerName val="0"/>
          <c:showPercent val="0"/>
          <c:showBubbleSize val="0"/>
        </c:dLbls>
        <c:gapWidth val="150"/>
        <c:overlap val="0"/>
        <c:axId val="436539217"/>
        <c:axId val="521821678"/>
      </c:barChart>
      <c:catAx>
        <c:axId val="43653921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1821678"/>
        <c:crosses val="autoZero"/>
        <c:auto val="1"/>
        <c:lblAlgn val="ctr"/>
        <c:lblOffset val="100"/>
        <c:noMultiLvlLbl val="0"/>
      </c:catAx>
      <c:valAx>
        <c:axId val="521821678"/>
        <c:scaling>
          <c:orientation val="minMax"/>
        </c:scaling>
        <c:delete val="0"/>
        <c:axPos val="l"/>
        <c:majorGridlines>
          <c:spPr>
            <a:ln w="9525" cap="flat" cmpd="sng" algn="ctr">
              <a:solidFill>
                <a:schemeClr val="tx1">
                  <a:lumMod val="15000"/>
                  <a:lumOff val="85000"/>
                </a:schemeClr>
              </a:solidFill>
              <a:round/>
            </a:ln>
            <a:effectLst/>
          </c:spPr>
        </c:majorGridlines>
        <c:numFmt formatCode="#,##0.00_);\(#,##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653921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基本支出经济性质占比分布对比图</a:t>
            </a:r>
            <a:endParaRPr altLang="en-US"/>
          </a:p>
        </c:rich>
      </c:tx>
      <c:layout>
        <c:manualLayout>
          <c:xMode val="edge"/>
          <c:yMode val="edge"/>
          <c:x val="0.334875"/>
          <c:y val="0.03"/>
        </c:manualLayout>
      </c:layout>
      <c:overlay val="0"/>
      <c:spPr>
        <a:noFill/>
        <a:ln>
          <a:noFill/>
        </a:ln>
        <a:effectLst/>
      </c:spPr>
    </c:title>
    <c:autoTitleDeleted val="0"/>
    <c:plotArea>
      <c:layout/>
      <c:barChart>
        <c:barDir val="bar"/>
        <c:grouping val="clustered"/>
        <c:varyColors val="0"/>
        <c:ser>
          <c:idx val="0"/>
          <c:order val="0"/>
          <c:tx>
            <c:strRef>
              <c:f>Sheet1!$B$1</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工资福利支出</c:v>
                </c:pt>
                <c:pt idx="1">
                  <c:v>商品和服务支出</c:v>
                </c:pt>
                <c:pt idx="2">
                  <c:v>对个人和家庭补助</c:v>
                </c:pt>
                <c:pt idx="3">
                  <c:v>资本性支出（建设项目）</c:v>
                </c:pt>
                <c:pt idx="4">
                  <c:v>资本性支出（设备）</c:v>
                </c:pt>
              </c:strCache>
            </c:strRef>
          </c:cat>
          <c:val>
            <c:numRef>
              <c:f>Sheet1!$B$2:$B$6</c:f>
              <c:numCache>
                <c:formatCode>0.00%</c:formatCode>
                <c:ptCount val="5"/>
                <c:pt idx="0">
                  <c:v>0.4164</c:v>
                </c:pt>
                <c:pt idx="1">
                  <c:v>0.4935</c:v>
                </c:pt>
                <c:pt idx="2">
                  <c:v>0.0078</c:v>
                </c:pt>
                <c:pt idx="3" c:formatCode="General">
                  <c:v>0</c:v>
                </c:pt>
                <c:pt idx="4">
                  <c:v>0.0823</c:v>
                </c:pt>
              </c:numCache>
            </c:numRef>
          </c:val>
        </c:ser>
        <c:ser>
          <c:idx val="1"/>
          <c:order val="1"/>
          <c:tx>
            <c:strRef>
              <c:f>Sheet1!$C$1</c:f>
              <c:strCache>
                <c:ptCount val="1"/>
                <c:pt idx="0">
                  <c:v>2018年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工资福利支出</c:v>
                </c:pt>
                <c:pt idx="1">
                  <c:v>商品和服务支出</c:v>
                </c:pt>
                <c:pt idx="2">
                  <c:v>对个人和家庭补助</c:v>
                </c:pt>
                <c:pt idx="3">
                  <c:v>资本性支出（建设项目）</c:v>
                </c:pt>
                <c:pt idx="4">
                  <c:v>资本性支出（设备）</c:v>
                </c:pt>
              </c:strCache>
            </c:strRef>
          </c:cat>
          <c:val>
            <c:numRef>
              <c:f>Sheet1!$C$2:$C$6</c:f>
              <c:numCache>
                <c:formatCode>0.00%</c:formatCode>
                <c:ptCount val="5"/>
                <c:pt idx="0">
                  <c:v>0.3492</c:v>
                </c:pt>
                <c:pt idx="1">
                  <c:v>0.4684</c:v>
                </c:pt>
                <c:pt idx="2">
                  <c:v>0.0156</c:v>
                </c:pt>
                <c:pt idx="3" c:formatCode="General">
                  <c:v>0</c:v>
                </c:pt>
                <c:pt idx="4">
                  <c:v>0.1668</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工资福利支出</c:v>
                </c:pt>
                <c:pt idx="1">
                  <c:v>商品和服务支出</c:v>
                </c:pt>
                <c:pt idx="2">
                  <c:v>对个人和家庭补助</c:v>
                </c:pt>
                <c:pt idx="3">
                  <c:v>资本性支出（建设项目）</c:v>
                </c:pt>
                <c:pt idx="4">
                  <c:v>资本性支出（设备）</c:v>
                </c:pt>
              </c:strCache>
            </c:strRef>
          </c:cat>
          <c:val>
            <c:numRef>
              <c:f>Sheet1!$D$2:$D$6</c:f>
              <c:numCache>
                <c:formatCode>General</c:formatCode>
                <c:ptCount val="5"/>
              </c:numCache>
            </c:numRef>
          </c:val>
        </c:ser>
        <c:dLbls>
          <c:showLegendKey val="0"/>
          <c:showVal val="1"/>
          <c:showCatName val="0"/>
          <c:showSerName val="0"/>
          <c:showPercent val="0"/>
          <c:showBubbleSize val="0"/>
        </c:dLbls>
        <c:gapWidth val="182"/>
        <c:overlap val="0"/>
        <c:axId val="45543685"/>
        <c:axId val="776915837"/>
      </c:barChart>
      <c:catAx>
        <c:axId val="45543685"/>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6915837"/>
        <c:crosses val="autoZero"/>
        <c:auto val="1"/>
        <c:lblAlgn val="ctr"/>
        <c:lblOffset val="100"/>
        <c:noMultiLvlLbl val="0"/>
      </c:catAx>
      <c:valAx>
        <c:axId val="776915837"/>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543685"/>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tLang="en-US"/>
              <a:t>项目支出与上年对比</a:t>
            </a:r>
            <a:endParaRPr altLang="en-US"/>
          </a:p>
        </c:rich>
      </c:tx>
      <c:layout/>
      <c:overlay val="0"/>
      <c:spPr>
        <a:noFill/>
        <a:ln>
          <a:noFill/>
        </a:ln>
        <a:effectLst/>
      </c:spPr>
    </c:title>
    <c:autoTitleDeleted val="0"/>
    <c:plotArea>
      <c:layout/>
      <c:barChart>
        <c:barDir val="col"/>
        <c:grouping val="clustered"/>
        <c:varyColors val="0"/>
        <c:ser>
          <c:idx val="0"/>
          <c:order val="0"/>
          <c:tx>
            <c:strRef>
              <c:f>"2019年"</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[4、项目支出经济分类21日.xls]Sheet1!$A$4:$A$8</c:f>
              <c:strCache>
                <c:ptCount val="5"/>
                <c:pt idx="0">
                  <c:v>1.工资福利支出</c:v>
                </c:pt>
                <c:pt idx="1">
                  <c:v>2.商品和服务支出</c:v>
                </c:pt>
                <c:pt idx="2">
                  <c:v>3.对个人和家庭补助支出</c:v>
                </c:pt>
                <c:pt idx="3">
                  <c:v>4.资本性支出（建设项目）</c:v>
                </c:pt>
                <c:pt idx="4" c:formatCode="#,##0.00;[Red]#,##0.00">
                  <c:v>5.资本性支出（设备）</c:v>
                </c:pt>
              </c:strCache>
            </c:strRef>
          </c:cat>
          <c:val>
            <c:numRef>
              <c:f>[4、项目支出经济分类21日.xls]Sheet1!$B$4:$B$8</c:f>
              <c:numCache>
                <c:formatCode>#,##0.00_);\(#,##0.00\)</c:formatCode>
                <c:ptCount val="5"/>
                <c:pt idx="0">
                  <c:v>0</c:v>
                </c:pt>
                <c:pt idx="1">
                  <c:v>189.5</c:v>
                </c:pt>
                <c:pt idx="2">
                  <c:v>18.92</c:v>
                </c:pt>
                <c:pt idx="3">
                  <c:v>758</c:v>
                </c:pt>
                <c:pt idx="4" c:formatCode="#,##0.00;[Red]#,##0.00">
                  <c:v>0</c:v>
                </c:pt>
              </c:numCache>
            </c:numRef>
          </c:val>
        </c:ser>
        <c:ser>
          <c:idx val="1"/>
          <c:order val="1"/>
          <c:tx>
            <c:strRef>
              <c:f>"2018年"</c:f>
              <c:strCache>
                <c:ptCount val="1"/>
                <c:pt idx="0">
                  <c:v>2018年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[4、项目支出经济分类21日.xls]Sheet1!$A$4:$A$8</c:f>
              <c:strCache>
                <c:ptCount val="5"/>
                <c:pt idx="0">
                  <c:v>1.工资福利支出</c:v>
                </c:pt>
                <c:pt idx="1">
                  <c:v>2.商品和服务支出</c:v>
                </c:pt>
                <c:pt idx="2">
                  <c:v>3.对个人和家庭补助支出</c:v>
                </c:pt>
                <c:pt idx="3">
                  <c:v>4.资本性支出（建设项目）</c:v>
                </c:pt>
                <c:pt idx="4" c:formatCode="#,##0.00;[Red]#,##0.00">
                  <c:v>5.资本性支出（设备）</c:v>
                </c:pt>
              </c:strCache>
            </c:strRef>
          </c:cat>
          <c:val>
            <c:numRef>
              <c:f>[4、项目支出经济分类21日.xls]Sheet1!$D$4:$D$8</c:f>
              <c:numCache>
                <c:formatCode>#,##0.00_);\(#,##0.00\)</c:formatCode>
                <c:ptCount val="5"/>
                <c:pt idx="0">
                  <c:v>0</c:v>
                </c:pt>
                <c:pt idx="1">
                  <c:v>183.87</c:v>
                </c:pt>
                <c:pt idx="2">
                  <c:v>85.63</c:v>
                </c:pt>
                <c:pt idx="3">
                  <c:v>200</c:v>
                </c:pt>
                <c:pt idx="4" c:formatCode="#,##0.00;[Red]#,##0.00">
                  <c:v>42.82</c:v>
                </c:pt>
              </c:numCache>
            </c:numRef>
          </c:val>
        </c:ser>
        <c:dLbls>
          <c:showLegendKey val="0"/>
          <c:showVal val="1"/>
          <c:showCatName val="0"/>
          <c:showSerName val="0"/>
          <c:showPercent val="0"/>
          <c:showBubbleSize val="0"/>
        </c:dLbls>
        <c:gapWidth val="219"/>
        <c:overlap val="-27"/>
        <c:axId val="702628023"/>
        <c:axId val="80105693"/>
      </c:barChart>
      <c:catAx>
        <c:axId val="7026280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105693"/>
        <c:crosses val="autoZero"/>
        <c:auto val="1"/>
        <c:lblAlgn val="ctr"/>
        <c:lblOffset val="100"/>
        <c:noMultiLvlLbl val="0"/>
      </c:catAx>
      <c:valAx>
        <c:axId val="80105693"/>
        <c:scaling>
          <c:orientation val="minMax"/>
        </c:scaling>
        <c:delete val="0"/>
        <c:axPos val="l"/>
        <c:majorGridlines>
          <c:spPr>
            <a:ln w="9525" cap="flat" cmpd="sng" algn="ctr">
              <a:solidFill>
                <a:schemeClr val="tx1">
                  <a:lumMod val="15000"/>
                  <a:lumOff val="85000"/>
                </a:schemeClr>
              </a:solidFill>
              <a:round/>
            </a:ln>
            <a:effectLst/>
          </c:spPr>
        </c:majorGridlines>
        <c:numFmt formatCode="#,##0.00_);\(#,##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262802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项目支出占比分布图</a:t>
            </a:r>
          </a:p>
        </c:rich>
      </c:tx>
      <c:layout/>
      <c:overlay val="0"/>
      <c:spPr>
        <a:noFill/>
        <a:ln>
          <a:noFill/>
        </a:ln>
        <a:effectLst/>
      </c:spPr>
    </c:title>
    <c:autoTitleDeleted val="0"/>
    <c:plotArea>
      <c:layout/>
      <c:barChart>
        <c:barDir val="bar"/>
        <c:grouping val="clustered"/>
        <c:varyColors val="0"/>
        <c:ser>
          <c:idx val="0"/>
          <c:order val="0"/>
          <c:tx>
            <c:strRef>
              <c:f>"2019年"</c:f>
              <c:strCache>
                <c:ptCount val="1"/>
                <c:pt idx="0">
                  <c:v>2019年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[4、项目支出经济分类21日.xls]Sheet1!$A$4:$A$8</c:f>
              <c:strCache>
                <c:ptCount val="5"/>
                <c:pt idx="0">
                  <c:v>工资福利支出</c:v>
                </c:pt>
                <c:pt idx="1">
                  <c:v>商品和服务支出</c:v>
                </c:pt>
                <c:pt idx="2">
                  <c:v>对个人和家庭补助支出</c:v>
                </c:pt>
                <c:pt idx="3">
                  <c:v>资本性支出（建设项目）</c:v>
                </c:pt>
                <c:pt idx="4" c:formatCode="#,##0.00;[Red]#,##0.00">
                  <c:v>资本性支出（办公设备）</c:v>
                </c:pt>
              </c:strCache>
            </c:strRef>
          </c:cat>
          <c:val>
            <c:numRef>
              <c:f>[4、项目支出经济分类21日.xls]Sheet1!$C$4:$C$8</c:f>
              <c:numCache>
                <c:formatCode>0.00%</c:formatCode>
                <c:ptCount val="5"/>
                <c:pt idx="0">
                  <c:v>0</c:v>
                </c:pt>
                <c:pt idx="1">
                  <c:v>0.196084518118416</c:v>
                </c:pt>
                <c:pt idx="2">
                  <c:v>0.0195774094079179</c:v>
                </c:pt>
                <c:pt idx="3">
                  <c:v>0.784338072473666</c:v>
                </c:pt>
                <c:pt idx="4">
                  <c:v>0</c:v>
                </c:pt>
              </c:numCache>
            </c:numRef>
          </c:val>
        </c:ser>
        <c:ser>
          <c:idx val="1"/>
          <c:order val="1"/>
          <c:tx>
            <c:strRef>
              <c:f>"2018年"</c:f>
              <c:strCache>
                <c:ptCount val="1"/>
                <c:pt idx="0">
                  <c:v>2018年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[4、项目支出经济分类21日.xls]Sheet1!$A$4:$A$8</c:f>
              <c:strCache>
                <c:ptCount val="5"/>
                <c:pt idx="0">
                  <c:v>工资福利支出</c:v>
                </c:pt>
                <c:pt idx="1">
                  <c:v>商品和服务支出</c:v>
                </c:pt>
                <c:pt idx="2">
                  <c:v>对个人和家庭补助支出</c:v>
                </c:pt>
                <c:pt idx="3">
                  <c:v>资本性支出（建设项目）</c:v>
                </c:pt>
                <c:pt idx="4" c:formatCode="#,##0.00;[Red]#,##0.00">
                  <c:v>资本性支出（办公设备）</c:v>
                </c:pt>
              </c:strCache>
            </c:strRef>
          </c:cat>
          <c:val>
            <c:numRef>
              <c:f>[4、项目支出经济分类21日.xls]Sheet1!$E$4:$E$8</c:f>
              <c:numCache>
                <c:formatCode>0.00%</c:formatCode>
                <c:ptCount val="5"/>
                <c:pt idx="0">
                  <c:v>0</c:v>
                </c:pt>
                <c:pt idx="1">
                  <c:v>0.358896783260462</c:v>
                </c:pt>
                <c:pt idx="2">
                  <c:v>0.167141630231106</c:v>
                </c:pt>
                <c:pt idx="3">
                  <c:v>0.390381011867583</c:v>
                </c:pt>
                <c:pt idx="4">
                  <c:v>0.0835805746408495</c:v>
                </c:pt>
              </c:numCache>
            </c:numRef>
          </c:val>
        </c:ser>
        <c:dLbls>
          <c:showLegendKey val="0"/>
          <c:showVal val="1"/>
          <c:showCatName val="0"/>
          <c:showSerName val="0"/>
          <c:showPercent val="0"/>
          <c:showBubbleSize val="0"/>
        </c:dLbls>
        <c:gapWidth val="182"/>
        <c:overlap val="0"/>
        <c:axId val="864481163"/>
        <c:axId val="604328056"/>
      </c:barChart>
      <c:catAx>
        <c:axId val="864481163"/>
        <c:scaling>
          <c:orientation val="minMax"/>
        </c:scaling>
        <c:delete val="0"/>
        <c:axPos val="l"/>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04328056"/>
        <c:crosses val="autoZero"/>
        <c:auto val="1"/>
        <c:lblAlgn val="ctr"/>
        <c:lblOffset val="100"/>
        <c:noMultiLvlLbl val="0"/>
      </c:catAx>
      <c:valAx>
        <c:axId val="60432805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448116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zx111my</dc:creator>
  <cp:lastModifiedBy>Huawei</cp:lastModifiedBy>
  <dcterms:modified xsi:type="dcterms:W3CDTF">2024-02-06T02:23:10Z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5A635C0ACAE8470BAE946241E1B6E750</vt:lpwstr>
  </property>
</Properties>
</file>