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</w:rPr>
        <w:t>芒市</w:t>
      </w: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疾病预防控制中心</w:t>
      </w:r>
      <w:r>
        <w:rPr>
          <w:rFonts w:ascii="方正小标宋简体" w:eastAsia="方正小标宋简体"/>
          <w:kern w:val="0"/>
          <w:sz w:val="36"/>
          <w:szCs w:val="36"/>
        </w:rPr>
        <w:t>201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  <w:bookmarkEnd w:id="0"/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（一）部门主要职责</w:t>
      </w:r>
    </w:p>
    <w:p>
      <w:pPr>
        <w:ind w:firstLine="560" w:firstLineChars="200"/>
        <w:rPr>
          <w:rStyle w:val="12"/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芒市疾病预防控制中心</w:t>
      </w:r>
      <w:r>
        <w:rPr>
          <w:rFonts w:hint="eastAsia" w:ascii="仿宋" w:hAnsi="仿宋" w:eastAsia="仿宋" w:cs="仿宋"/>
          <w:sz w:val="28"/>
          <w:szCs w:val="28"/>
        </w:rPr>
        <w:t>承担全市疾病预防与控制、突发公共卫生事件应急处置、疫情及健康相关因素信息管理、健康危害因素监测与控制、实验室检测检验与评价、健康教育与健康促进、技术管理与应用研究指导等技术职能。</w:t>
      </w:r>
    </w:p>
    <w:p>
      <w:pPr>
        <w:widowControl/>
        <w:spacing w:line="360" w:lineRule="auto"/>
        <w:ind w:firstLine="560" w:firstLineChars="200"/>
        <w:jc w:val="left"/>
        <w:rPr>
          <w:rStyle w:val="12"/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芒市疾病预防控制中心始终贯彻“预防为主”的卫生工作方针，</w:t>
      </w:r>
      <w:r>
        <w:rPr>
          <w:rFonts w:hint="eastAsia" w:ascii="仿宋" w:hAnsi="仿宋" w:eastAsia="仿宋" w:cs="仿宋"/>
          <w:sz w:val="28"/>
          <w:szCs w:val="28"/>
        </w:rPr>
        <w:t>坚持“重点地区、重点预防，重点疾病、重点防治，重点人群、重点保护”的原则，以艾滋病防治为首要任务，以鼠疫、霍乱、疟疾、结核病等重点疾病防治为重点，牢牢抓住免疫规划基础，全面开展各项预防控制工作，有效地控制了传染病的发生和流行，杜绝了重大疫情的发生，为我市的经济社会发展作出了贡献。</w:t>
      </w:r>
    </w:p>
    <w:p>
      <w:pPr>
        <w:widowControl/>
        <w:ind w:firstLine="602" w:firstLineChars="200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（二）机构设置情况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纳入201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年部门决算编报的单位共1个。</w:t>
      </w:r>
    </w:p>
    <w:p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重点工作概述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芒市疾病预防控制中心始终贯彻“预防为主”的卫生工作方针，</w:t>
      </w:r>
      <w:r>
        <w:rPr>
          <w:rFonts w:hint="eastAsia" w:ascii="仿宋" w:hAnsi="仿宋" w:eastAsia="仿宋" w:cs="仿宋"/>
          <w:sz w:val="28"/>
          <w:szCs w:val="28"/>
        </w:rPr>
        <w:t>坚持“重点地区、重点预防，重点疾病、重点防治，重点人群、重点保护”的原则，以艾滋病防治为首要任务，以鼠疫、霍乱、疟疾、结核病等重点疾病防治为重点，牢牢抓住免疫规划基础，全面开展各项预防控制工作，有效地控制了传染病的发生和流行，杜绝了重大疫情的发生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传染病发病率逐年大幅下降，</w:t>
      </w:r>
      <w:r>
        <w:rPr>
          <w:rFonts w:hint="eastAsia" w:ascii="仿宋" w:hAnsi="仿宋" w:eastAsia="仿宋" w:cs="仿宋"/>
          <w:sz w:val="28"/>
          <w:szCs w:val="28"/>
        </w:rPr>
        <w:t>为芒市的经济社会的发展作出了突出贡献。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二、预算单位基本情况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我部门编制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2019</w:t>
      </w:r>
      <w:r>
        <w:rPr>
          <w:rFonts w:hint="eastAsia" w:ascii="仿宋" w:hAnsi="仿宋" w:eastAsia="仿宋" w:cs="仿宋"/>
          <w:kern w:val="0"/>
          <w:sz w:val="28"/>
          <w:szCs w:val="28"/>
        </w:rPr>
        <w:t>年部门预算单位共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个。其中：财政全供给单位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个；部分供给单位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个；特殊供给单位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个；自收自支单位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个。财政全供给单位中行政单位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个；参公管理事业单位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个；非参公管理事业单位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28"/>
          <w:szCs w:val="28"/>
        </w:rPr>
        <w:t>个。截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至</w:t>
      </w:r>
      <w:r>
        <w:rPr>
          <w:rFonts w:hint="eastAsia" w:ascii="仿宋" w:hAnsi="仿宋" w:eastAsia="仿宋" w:cs="仿宋"/>
          <w:kern w:val="0"/>
          <w:sz w:val="28"/>
          <w:szCs w:val="28"/>
        </w:rPr>
        <w:t>201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kern w:val="0"/>
          <w:sz w:val="28"/>
          <w:szCs w:val="28"/>
        </w:rPr>
        <w:t>年1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28"/>
          <w:szCs w:val="28"/>
        </w:rPr>
        <w:t>月统计，部门基本情况如下：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在职人员编制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59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人，其中：行政编制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人，事业编制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59</w:t>
      </w:r>
      <w:r>
        <w:rPr>
          <w:rFonts w:hint="eastAsia" w:ascii="仿宋" w:hAnsi="仿宋" w:eastAsia="仿宋" w:cs="仿宋"/>
          <w:kern w:val="0"/>
          <w:sz w:val="28"/>
          <w:szCs w:val="28"/>
        </w:rPr>
        <w:t>人。在职实有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60</w:t>
      </w:r>
      <w:r>
        <w:rPr>
          <w:rFonts w:hint="eastAsia" w:ascii="仿宋" w:hAnsi="仿宋" w:eastAsia="仿宋" w:cs="仿宋"/>
          <w:kern w:val="0"/>
          <w:sz w:val="28"/>
          <w:szCs w:val="28"/>
        </w:rPr>
        <w:t>人，其中： 财政全供养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60</w:t>
      </w:r>
      <w:r>
        <w:rPr>
          <w:rFonts w:hint="eastAsia" w:ascii="仿宋" w:hAnsi="仿宋" w:eastAsia="仿宋" w:cs="仿宋"/>
          <w:kern w:val="0"/>
          <w:sz w:val="28"/>
          <w:szCs w:val="28"/>
        </w:rPr>
        <w:t>人，财政部分供养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人，离退休人员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人，其中： 离休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人，退休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 w:cs="仿宋"/>
          <w:kern w:val="0"/>
          <w:sz w:val="28"/>
          <w:szCs w:val="28"/>
        </w:rPr>
        <w:t>人。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车辆编制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</w:rPr>
        <w:t>辆，实有车辆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28"/>
          <w:szCs w:val="28"/>
        </w:rPr>
        <w:t>辆。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（一）部门财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政</w:t>
      </w:r>
      <w:r>
        <w:rPr>
          <w:rFonts w:hint="eastAsia" w:ascii="仿宋" w:hAnsi="仿宋" w:eastAsia="仿宋" w:cs="仿宋"/>
          <w:kern w:val="0"/>
          <w:sz w:val="30"/>
          <w:szCs w:val="30"/>
        </w:rPr>
        <w:t>收入情况</w:t>
      </w:r>
    </w:p>
    <w:p>
      <w:pPr>
        <w:widowControl/>
        <w:ind w:firstLine="700" w:firstLineChars="25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2019</w:t>
      </w:r>
      <w:r>
        <w:rPr>
          <w:rFonts w:hint="eastAsia" w:ascii="仿宋" w:hAnsi="仿宋" w:eastAsia="仿宋" w:cs="仿宋"/>
          <w:kern w:val="0"/>
          <w:sz w:val="28"/>
          <w:szCs w:val="28"/>
        </w:rPr>
        <w:t>年部门财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政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总收入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1056.27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万元，其中：一般公共预算财政拨款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1056.27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万元，政府性基金预算财政拨款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万元，国有资本经营预算财政拨款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万元，事业收入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万元，事业单位经营收入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万元，其他收入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万元，上年结转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万元。</w:t>
      </w:r>
    </w:p>
    <w:p>
      <w:pPr>
        <w:widowControl/>
        <w:ind w:firstLine="450" w:firstLineChars="15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（二）财政拨款收入情况</w:t>
      </w:r>
    </w:p>
    <w:p>
      <w:pPr>
        <w:widowControl/>
        <w:ind w:firstLine="700" w:firstLineChars="25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2019</w:t>
      </w:r>
      <w:r>
        <w:rPr>
          <w:rFonts w:hint="eastAsia" w:ascii="仿宋" w:hAnsi="仿宋" w:eastAsia="仿宋" w:cs="仿宋"/>
          <w:kern w:val="0"/>
          <w:sz w:val="28"/>
          <w:szCs w:val="28"/>
        </w:rPr>
        <w:t>年部门财政拨款收入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1056.27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万元，其中:本年收入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1056.27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万元，上年结转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万元。本年收入中，一般公共预算财政拨款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1056.27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万元（本级财力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1056.27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万元，专项收入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万元，执法办案补助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万元，收费成本补偿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万元，财政专户管理的收入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万元，国有资源（资产）有偿使用成本补偿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万元），政府性基金预算财政拨款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万元，国有资本经营预算财政拨款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万元。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四、预算单位支出情况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2019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年部门预算总支出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1056.27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万元。财政拨款安排支出 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1056.27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万元，其中，基本支出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866.27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万元，项目支出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190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万元。</w:t>
      </w:r>
    </w:p>
    <w:p>
      <w:pPr>
        <w:widowControl/>
        <w:ind w:firstLine="450" w:firstLineChars="15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（一）财政拨款安排支出按功能科目分类情况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功能科目分组，主要用于社会保障和就业支出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107.13</w:t>
      </w:r>
      <w:r>
        <w:rPr>
          <w:rFonts w:hint="eastAsia" w:ascii="仿宋" w:hAnsi="仿宋" w:eastAsia="仿宋" w:cs="仿宋"/>
          <w:kern w:val="0"/>
          <w:sz w:val="28"/>
          <w:szCs w:val="28"/>
        </w:rPr>
        <w:t>万、用于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卫生健康</w:t>
      </w:r>
      <w:r>
        <w:rPr>
          <w:rFonts w:hint="eastAsia" w:ascii="仿宋" w:hAnsi="仿宋" w:eastAsia="仿宋" w:cs="仿宋"/>
          <w:kern w:val="0"/>
          <w:sz w:val="28"/>
          <w:szCs w:val="28"/>
        </w:rPr>
        <w:t>支出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890.12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,住房保障支出59.02万元。</w:t>
      </w:r>
    </w:p>
    <w:p>
      <w:pPr>
        <w:widowControl/>
        <w:ind w:firstLine="450" w:firstLineChars="15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（二）财政拨款安排支出按经济科目分类情况</w:t>
      </w:r>
    </w:p>
    <w:p>
      <w:pPr>
        <w:widowControl/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经济科目分组，主要是工资福利支出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806.21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商品和服务支出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46.68万元；</w:t>
      </w:r>
      <w:r>
        <w:rPr>
          <w:rFonts w:hint="eastAsia" w:ascii="仿宋" w:hAnsi="仿宋" w:eastAsia="仿宋" w:cs="仿宋"/>
          <w:kern w:val="0"/>
          <w:sz w:val="28"/>
          <w:szCs w:val="28"/>
        </w:rPr>
        <w:t>对个人和家庭的补助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13.38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，项目支出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190万元。</w:t>
      </w:r>
      <w:r>
        <w:rPr>
          <w:rFonts w:hint="eastAsia" w:ascii="仿宋" w:hAnsi="仿宋" w:eastAsia="仿宋" w:cs="仿宋"/>
          <w:kern w:val="0"/>
          <w:sz w:val="28"/>
          <w:szCs w:val="28"/>
        </w:rPr>
        <w:t>（其中：基本支出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866.27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万元，项目支出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190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万元）。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五、省对下转项转移支付情况</w:t>
      </w:r>
    </w:p>
    <w:p>
      <w:pPr>
        <w:widowControl/>
        <w:ind w:firstLine="450" w:firstLineChars="15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无。</w:t>
      </w:r>
    </w:p>
    <w:p>
      <w:pPr>
        <w:widowControl/>
        <w:ind w:firstLine="450" w:firstLineChars="15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无</w:t>
      </w:r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</w:p>
    <w:p>
      <w:pPr>
        <w:widowControl/>
        <w:ind w:firstLine="602" w:firstLineChars="200"/>
        <w:jc w:val="left"/>
        <w:rPr>
          <w:rFonts w:hint="eastAsia"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无</w:t>
      </w:r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根据《中华人民共和国政府采购法》的有关规定，编制了政府采购预算，共涉及采购项目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个，采购预算资金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万元。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b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无。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八、部门一般公共预算“三公”经费支出公开信息</w:t>
      </w:r>
    </w:p>
    <w:p>
      <w:pPr>
        <w:autoSpaceDE w:val="0"/>
        <w:autoSpaceDN w:val="0"/>
        <w:adjustRightInd w:val="0"/>
        <w:spacing w:line="560" w:lineRule="exact"/>
        <w:ind w:firstLine="584" w:firstLineChars="200"/>
        <w:jc w:val="left"/>
        <w:rPr>
          <w:rFonts w:hint="eastAsia" w:ascii="仿宋" w:hAnsi="仿宋" w:eastAsia="仿宋" w:cs="仿宋"/>
          <w:b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pacing w:val="6"/>
          <w:kern w:val="0"/>
          <w:sz w:val="28"/>
          <w:szCs w:val="28"/>
          <w:lang w:val="en-US" w:eastAsia="zh-CN"/>
        </w:rPr>
        <w:t>2019</w:t>
      </w:r>
      <w:r>
        <w:rPr>
          <w:rFonts w:hint="eastAsia" w:ascii="仿宋" w:hAnsi="仿宋" w:eastAsia="仿宋" w:cs="仿宋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本单位</w:t>
      </w:r>
      <w:r>
        <w:rPr>
          <w:rFonts w:hint="eastAsia" w:ascii="仿宋" w:hAnsi="仿宋" w:eastAsia="仿宋" w:cs="仿宋"/>
          <w:kern w:val="0"/>
          <w:sz w:val="28"/>
          <w:szCs w:val="28"/>
        </w:rPr>
        <w:t>一般公共预算“三公”经费预算安排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13.5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，比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2018年增长0.71万元。</w:t>
      </w:r>
      <w:r>
        <w:rPr>
          <w:rFonts w:hint="eastAsia" w:ascii="仿宋" w:hAnsi="仿宋" w:eastAsia="仿宋" w:cs="仿宋"/>
          <w:kern w:val="0"/>
          <w:sz w:val="28"/>
          <w:szCs w:val="28"/>
        </w:rPr>
        <w:t>其中，因公出国（境）费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万元，公务接待费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3.5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，比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2018年预算增长23.00％</w:t>
      </w:r>
      <w:r>
        <w:rPr>
          <w:rFonts w:hint="eastAsia" w:ascii="仿宋" w:hAnsi="仿宋" w:eastAsia="仿宋" w:cs="仿宋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增长原因为我单位业务量增加；</w:t>
      </w:r>
      <w:r>
        <w:rPr>
          <w:rFonts w:hint="eastAsia" w:ascii="仿宋" w:hAnsi="仿宋" w:eastAsia="仿宋" w:cs="仿宋"/>
          <w:kern w:val="0"/>
          <w:sz w:val="28"/>
          <w:szCs w:val="28"/>
        </w:rPr>
        <w:t>公务用车购置和运行维护费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28"/>
          <w:szCs w:val="28"/>
        </w:rPr>
        <w:t>万元</w:t>
      </w:r>
      <w:r>
        <w:rPr>
          <w:rFonts w:hint="eastAsia" w:ascii="仿宋" w:hAnsi="仿宋" w:eastAsia="仿宋" w:cs="仿宋"/>
          <w:kern w:val="0"/>
          <w:sz w:val="28"/>
          <w:szCs w:val="28"/>
          <w:lang w:eastAsia="zh-CN"/>
        </w:rPr>
        <w:t>，比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t>2018年预算增长1.00％，增长原因为各科室业务量大，下乡多。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九</w:t>
      </w:r>
      <w:r>
        <w:rPr>
          <w:rFonts w:hint="eastAsia" w:ascii="仿宋" w:hAnsi="仿宋" w:eastAsia="仿宋" w:cs="仿宋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无。</w:t>
      </w: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45D0A1"/>
    <w:multiLevelType w:val="singleLevel"/>
    <w:tmpl w:val="1145D0A1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9375A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7E45698"/>
    <w:rsid w:val="0A6643C9"/>
    <w:rsid w:val="181A29D5"/>
    <w:rsid w:val="1AF766CF"/>
    <w:rsid w:val="1F567C8C"/>
    <w:rsid w:val="23E369EE"/>
    <w:rsid w:val="24566904"/>
    <w:rsid w:val="24E8401C"/>
    <w:rsid w:val="35B62BEC"/>
    <w:rsid w:val="3C53236B"/>
    <w:rsid w:val="4D192959"/>
    <w:rsid w:val="6648562F"/>
    <w:rsid w:val="6C611332"/>
    <w:rsid w:val="6CF946B6"/>
    <w:rsid w:val="72A91A7F"/>
    <w:rsid w:val="7E5E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qFormat="1" w:unhideWhenUsed="0" w:uiPriority="0" w:semiHidden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2"/>
    <w:qFormat/>
    <w:uiPriority w:val="0"/>
    <w:pPr>
      <w:spacing w:after="120"/>
      <w:ind w:left="420" w:leftChars="200"/>
    </w:pPr>
    <w:rPr>
      <w:rFonts w:eastAsia="仿宋_GB2312"/>
      <w:sz w:val="16"/>
      <w:szCs w:val="16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 Char Char"/>
    <w:basedOn w:val="9"/>
    <w:link w:val="6"/>
    <w:qFormat/>
    <w:locked/>
    <w:uiPriority w:val="0"/>
    <w:rPr>
      <w:rFonts w:eastAsia="仿宋_GB231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zhlx</Company>
  <Pages>3</Pages>
  <Words>178</Words>
  <Characters>1020</Characters>
  <Lines>8</Lines>
  <Paragraphs>2</Paragraphs>
  <TotalTime>9</TotalTime>
  <ScaleCrop>false</ScaleCrop>
  <LinksUpToDate>false</LinksUpToDate>
  <CharactersWithSpaces>1196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Huawei</cp:lastModifiedBy>
  <cp:lastPrinted>2018-01-31T03:32:00Z</cp:lastPrinted>
  <dcterms:modified xsi:type="dcterms:W3CDTF">2024-02-05T09:30:24Z</dcterms:modified>
  <dc:title>年部门预算编制说明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86CABA0BE2834AE9A77D00F8194C6F9F</vt:lpwstr>
  </property>
</Properties>
</file>