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芒市</w:t>
      </w: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芒海镇</w:t>
      </w:r>
      <w:r>
        <w:rPr>
          <w:rFonts w:hint="eastAsia" w:ascii="方正小标宋简体" w:eastAsia="方正小标宋简体"/>
          <w:kern w:val="0"/>
          <w:sz w:val="36"/>
          <w:szCs w:val="36"/>
        </w:rPr>
        <w:t>卫生院</w:t>
      </w:r>
      <w:r>
        <w:rPr>
          <w:rFonts w:ascii="方正小标宋简体" w:eastAsia="方正小标宋简体"/>
          <w:kern w:val="0"/>
          <w:sz w:val="36"/>
          <w:szCs w:val="36"/>
        </w:rPr>
        <w:t>201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bookmarkEnd w:id="0"/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开展与其功能相适应的基本医疗卫生服务，使用适宜技术、适宜设备和基本药物。承担当地居民健康档案、健康教育、计划免疫、传染病防治、儿童保健等十四项国家基本公共卫生服务项目。承担常见病、多发病的门诊和住院诊治，开展院内外急救、康复和计划生育技术服务等，提供转诊服务。此外，还受县级人民政府行政部门委托，承担辖区内公共卫生管理职能，负责对村卫生室的业务管理和技术指导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纳入</w:t>
      </w:r>
      <w:r>
        <w:rPr>
          <w:rFonts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年部门决算编报的单位共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个。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（三）重点工作概述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、为辖区内居民提供优质医疗服务；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</w:t>
      </w:r>
      <w:r>
        <w:rPr>
          <w:rFonts w:hint="eastAsia" w:eastAsia="仿宋_GB2312"/>
          <w:kern w:val="0"/>
          <w:sz w:val="30"/>
          <w:szCs w:val="30"/>
        </w:rPr>
        <w:t>、为当地居民提供基本公共卫生服务和重大公共卫生服务；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3</w:t>
      </w:r>
      <w:r>
        <w:rPr>
          <w:rFonts w:hint="eastAsia" w:eastAsia="仿宋_GB2312"/>
          <w:kern w:val="0"/>
          <w:sz w:val="30"/>
          <w:szCs w:val="30"/>
        </w:rPr>
        <w:t>、为辖区内居民提供家庭医生服务和健康扶贫服务等。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我部门编制</w:t>
      </w: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年部门预算单位共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个。其中：财政全供给单位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个；部分供给单位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个；特殊供给单位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个；自收自支单位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个。财政全供给单位中行政单位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个；参公管理事业单位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个；非参公管理事业单位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个。截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至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</w:t>
      </w:r>
      <w:r>
        <w:rPr>
          <w:rFonts w:hint="eastAsia" w:eastAsia="仿宋_GB2312"/>
          <w:kern w:val="0"/>
          <w:sz w:val="30"/>
          <w:szCs w:val="30"/>
        </w:rPr>
        <w:t>人，其中：行政编制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</w:t>
      </w:r>
      <w:r>
        <w:rPr>
          <w:rFonts w:hint="eastAsia"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40</w:t>
      </w:r>
      <w:r>
        <w:rPr>
          <w:rFonts w:hint="eastAsia"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财政全供养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</w:t>
      </w:r>
      <w:r>
        <w:rPr>
          <w:rFonts w:hint="eastAsia" w:eastAsia="仿宋_GB2312"/>
          <w:kern w:val="0"/>
          <w:sz w:val="30"/>
          <w:szCs w:val="30"/>
        </w:rPr>
        <w:t>人，财政部分供养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</w:t>
      </w:r>
      <w:r>
        <w:rPr>
          <w:rFonts w:hint="eastAsia"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离退休人员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</w:t>
      </w:r>
      <w:r>
        <w:rPr>
          <w:rFonts w:hint="eastAsia"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离休</w:t>
      </w:r>
      <w:r>
        <w:rPr>
          <w:rFonts w:eastAsia="仿宋_GB2312"/>
          <w:kern w:val="0"/>
          <w:sz w:val="30"/>
          <w:szCs w:val="30"/>
        </w:rPr>
        <w:t xml:space="preserve"> 0</w:t>
      </w:r>
      <w:r>
        <w:rPr>
          <w:rFonts w:hint="eastAsia" w:eastAsia="仿宋_GB2312"/>
          <w:kern w:val="0"/>
          <w:sz w:val="30"/>
          <w:szCs w:val="30"/>
        </w:rPr>
        <w:t>人，退休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</w:t>
      </w:r>
      <w:r>
        <w:rPr>
          <w:rFonts w:hint="eastAsia"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年部门财务总收入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209.5</w:t>
      </w:r>
      <w:r>
        <w:rPr>
          <w:rFonts w:hint="eastAsia" w:eastAsia="仿宋_GB2312"/>
          <w:kern w:val="0"/>
          <w:sz w:val="30"/>
          <w:szCs w:val="30"/>
        </w:rPr>
        <w:t>万元，其中：一般公共预算财政拨款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209.5</w:t>
      </w:r>
      <w:r>
        <w:rPr>
          <w:rFonts w:hint="eastAsia" w:eastAsia="仿宋_GB2312"/>
          <w:kern w:val="0"/>
          <w:sz w:val="30"/>
          <w:szCs w:val="30"/>
        </w:rPr>
        <w:t>万元，政府性基金预算财政拨款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万元，事业单位经营收入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万元，其他收入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年财政拨款收入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209.5</w:t>
      </w:r>
      <w:r>
        <w:rPr>
          <w:rFonts w:hint="eastAsia" w:eastAsia="仿宋_GB2312"/>
          <w:kern w:val="0"/>
          <w:sz w:val="30"/>
          <w:szCs w:val="30"/>
        </w:rPr>
        <w:t>万元，其中</w:t>
      </w:r>
      <w:r>
        <w:rPr>
          <w:rFonts w:eastAsia="仿宋_GB2312"/>
          <w:kern w:val="0"/>
          <w:sz w:val="30"/>
          <w:szCs w:val="30"/>
        </w:rPr>
        <w:t>:</w:t>
      </w:r>
      <w:r>
        <w:rPr>
          <w:rFonts w:hint="eastAsia" w:eastAsia="仿宋_GB2312"/>
          <w:kern w:val="0"/>
          <w:sz w:val="30"/>
          <w:szCs w:val="30"/>
        </w:rPr>
        <w:t>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209.5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209.5</w:t>
      </w:r>
      <w:r>
        <w:rPr>
          <w:rFonts w:hint="eastAsia"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209.5</w:t>
      </w:r>
      <w:r>
        <w:rPr>
          <w:rFonts w:hint="eastAsia" w:eastAsia="仿宋_GB2312"/>
          <w:kern w:val="0"/>
          <w:sz w:val="30"/>
          <w:szCs w:val="30"/>
        </w:rPr>
        <w:t>万元，专项收入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万元，执法办案补助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万元，收费成本补偿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万元，财政专户管理的收入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万元，国有资源（资产）有偿使用成本补偿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万元），政府性基金预算财政拨款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年部门预算总支出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209.5</w:t>
      </w:r>
      <w:r>
        <w:rPr>
          <w:rFonts w:hint="eastAsia" w:eastAsia="仿宋_GB2312"/>
          <w:kern w:val="0"/>
          <w:sz w:val="30"/>
          <w:szCs w:val="30"/>
        </w:rPr>
        <w:t>万元。财政拨款安排支出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209.5</w:t>
      </w:r>
      <w:r>
        <w:rPr>
          <w:rFonts w:hint="eastAsia"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209.5</w:t>
      </w:r>
      <w:r>
        <w:rPr>
          <w:rFonts w:hint="eastAsia" w:eastAsia="仿宋_GB2312"/>
          <w:kern w:val="0"/>
          <w:sz w:val="30"/>
          <w:szCs w:val="30"/>
        </w:rPr>
        <w:t>万元，项目支出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hint="eastAsia" w:ascii="楷体_GB2312" w:eastAsia="楷体_GB2312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hint="eastAsia" w:ascii="楷体_GB2312" w:eastAsia="楷体_GB2312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（一）财政拨款安排支出按功能科目分类情况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功能科目分组，主要用于社会保障和就业支出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7.91</w:t>
      </w:r>
      <w:r>
        <w:rPr>
          <w:rFonts w:hint="eastAsia" w:eastAsia="仿宋_GB2312"/>
          <w:kern w:val="0"/>
          <w:sz w:val="30"/>
          <w:szCs w:val="30"/>
        </w:rPr>
        <w:t>万、用于</w:t>
      </w:r>
      <w:r>
        <w:rPr>
          <w:rFonts w:hint="eastAsia" w:eastAsia="仿宋_GB2312"/>
          <w:kern w:val="0"/>
          <w:sz w:val="30"/>
          <w:szCs w:val="30"/>
          <w:lang w:eastAsia="zh-CN"/>
        </w:rPr>
        <w:t>卫生健康</w:t>
      </w:r>
      <w:r>
        <w:rPr>
          <w:rFonts w:hint="eastAsia" w:eastAsia="仿宋_GB2312"/>
          <w:kern w:val="0"/>
          <w:sz w:val="30"/>
          <w:szCs w:val="30"/>
        </w:rPr>
        <w:t>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201.59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（二）财政拨款安排支出按经济科目分类情况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经济科目分组</w:t>
      </w:r>
      <w:r>
        <w:rPr>
          <w:rFonts w:hint="eastAsia" w:eastAsia="仿宋_GB2312"/>
          <w:kern w:val="0"/>
          <w:sz w:val="30"/>
          <w:szCs w:val="30"/>
          <w:lang w:eastAsia="zh-CN"/>
        </w:rPr>
        <w:t>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209.5万元，项目支出0万元）。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五、省对下转项转移支付情况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b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个，采购预算资金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部门一般公共预算“三公”经费支出公开信息</w:t>
      </w:r>
    </w:p>
    <w:p>
      <w:pPr>
        <w:widowControl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无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九</w:t>
      </w:r>
      <w:r>
        <w:rPr>
          <w:rFonts w:hint="eastAsia"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无。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768DD"/>
    <w:multiLevelType w:val="singleLevel"/>
    <w:tmpl w:val="8A2768D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5F77F2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A54F1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96B52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C73FE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3B61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2FB2750"/>
    <w:rsid w:val="11AF2018"/>
    <w:rsid w:val="1CC45E8B"/>
    <w:rsid w:val="263C5C9B"/>
    <w:rsid w:val="27286C34"/>
    <w:rsid w:val="2CCE6C9E"/>
    <w:rsid w:val="47E109A0"/>
    <w:rsid w:val="59AA4F3D"/>
    <w:rsid w:val="5CB6081B"/>
    <w:rsid w:val="5F672D9C"/>
    <w:rsid w:val="65D944EA"/>
    <w:rsid w:val="6B68198C"/>
    <w:rsid w:val="7BDD0B46"/>
    <w:rsid w:val="7EBD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iPriority w:val="99"/>
    <w:pPr>
      <w:jc w:val="left"/>
    </w:p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qFormat/>
    <w:uiPriority w:val="99"/>
    <w:rPr>
      <w:b/>
      <w:bCs/>
    </w:rPr>
  </w:style>
  <w:style w:type="character" w:styleId="9">
    <w:name w:val="annotation reference"/>
    <w:basedOn w:val="8"/>
    <w:semiHidden/>
    <w:qFormat/>
    <w:uiPriority w:val="99"/>
    <w:rPr>
      <w:rFonts w:cs="Times New Roman"/>
      <w:sz w:val="21"/>
    </w:rPr>
  </w:style>
  <w:style w:type="character" w:customStyle="1" w:styleId="10">
    <w:name w:val="Comment Text Char"/>
    <w:basedOn w:val="8"/>
    <w:link w:val="2"/>
    <w:semiHidden/>
    <w:qFormat/>
    <w:uiPriority w:val="99"/>
    <w:rPr>
      <w:szCs w:val="24"/>
    </w:rPr>
  </w:style>
  <w:style w:type="character" w:customStyle="1" w:styleId="11">
    <w:name w:val="Comment Subject Char"/>
    <w:basedOn w:val="10"/>
    <w:link w:val="6"/>
    <w:semiHidden/>
    <w:qFormat/>
    <w:uiPriority w:val="99"/>
    <w:rPr>
      <w:b/>
      <w:bCs/>
    </w:rPr>
  </w:style>
  <w:style w:type="character" w:customStyle="1" w:styleId="12">
    <w:name w:val="Balloon Text Char"/>
    <w:basedOn w:val="8"/>
    <w:link w:val="3"/>
    <w:semiHidden/>
    <w:qFormat/>
    <w:uiPriority w:val="99"/>
    <w:rPr>
      <w:sz w:val="0"/>
      <w:szCs w:val="0"/>
    </w:rPr>
  </w:style>
  <w:style w:type="character" w:customStyle="1" w:styleId="13">
    <w:name w:val="Foot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Header Char"/>
    <w:basedOn w:val="8"/>
    <w:link w:val="5"/>
    <w:semiHidden/>
    <w:qFormat/>
    <w:uiPriority w:val="99"/>
    <w:rPr>
      <w:sz w:val="18"/>
      <w:szCs w:val="18"/>
    </w:rPr>
  </w:style>
  <w:style w:type="paragraph" w:customStyle="1" w:styleId="15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zhlx</Company>
  <Pages>3</Pages>
  <Words>196</Words>
  <Characters>1122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Huawei</cp:lastModifiedBy>
  <cp:lastPrinted>2018-01-31T03:32:00Z</cp:lastPrinted>
  <dcterms:modified xsi:type="dcterms:W3CDTF">2024-02-05T09:11:47Z</dcterms:modified>
  <dc:title>年部门预算编制说明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7CFBABBA72FD4ACEA4E09421C232B170</vt:lpwstr>
  </property>
</Properties>
</file>