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0.34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03 .22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B0935AF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7DC3429"/>
    <w:rsid w:val="482509F7"/>
    <w:rsid w:val="49A22EE7"/>
    <w:rsid w:val="4A6D38B4"/>
    <w:rsid w:val="4B6B4203"/>
    <w:rsid w:val="4BB02E2A"/>
    <w:rsid w:val="4CAE4264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dcterms:modified xsi:type="dcterms:W3CDTF">2023-03-22T01:44:44Z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