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590" w:lineRule="exact"/>
        <w:jc w:val="center"/>
        <w:rPr>
          <w:rFonts w:hint="default" w:eastAsia="Times New Roman"/>
          <w:sz w:val="36"/>
          <w:szCs w:val="24"/>
        </w:rPr>
      </w:pPr>
      <w:r>
        <w:rPr>
          <w:rFonts w:hint="eastAsia" w:ascii="方正小标宋简体" w:hAnsi="方正小标宋简体" w:eastAsia="方正小标宋简体"/>
          <w:sz w:val="36"/>
          <w:szCs w:val="24"/>
        </w:rPr>
        <w:t>芒市遮放镇中心卫生</w:t>
      </w:r>
      <w:r>
        <w:rPr>
          <w:rFonts w:hint="eastAsia" w:ascii="方正小标宋简体" w:hAnsi="方正小标宋简体" w:eastAsia="方正小标宋简体"/>
          <w:sz w:val="36"/>
          <w:szCs w:val="24"/>
          <w:lang w:eastAsia="zh-CN"/>
        </w:rPr>
        <w:t>院</w:t>
      </w:r>
      <w:r>
        <w:rPr>
          <w:rFonts w:hint="eastAsia" w:ascii="方正小标宋简体" w:hAnsi="方正小标宋简体" w:eastAsia="方正小标宋简体"/>
          <w:sz w:val="36"/>
          <w:szCs w:val="24"/>
        </w:rPr>
        <w:t>2020年度部门决算</w:t>
      </w:r>
    </w:p>
    <w:p>
      <w:pPr>
        <w:spacing w:beforeLines="0" w:afterLines="0" w:line="590" w:lineRule="exact"/>
        <w:jc w:val="center"/>
        <w:rPr>
          <w:rFonts w:hint="default" w:eastAsia="Times New Roman"/>
          <w:sz w:val="36"/>
          <w:szCs w:val="24"/>
        </w:rPr>
      </w:pPr>
    </w:p>
    <w:p>
      <w:pPr>
        <w:spacing w:beforeLines="0" w:afterLines="0" w:line="590" w:lineRule="exact"/>
        <w:jc w:val="center"/>
        <w:rPr>
          <w:rFonts w:hint="default" w:eastAsia="Times New Roman"/>
          <w:sz w:val="32"/>
          <w:szCs w:val="24"/>
        </w:rPr>
      </w:pPr>
      <w:r>
        <w:rPr>
          <w:rFonts w:hint="eastAsia" w:ascii="黑体" w:hAnsi="黑体" w:eastAsia="黑体"/>
          <w:sz w:val="32"/>
          <w:szCs w:val="24"/>
        </w:rPr>
        <w:t>目录</w:t>
      </w:r>
    </w:p>
    <w:p>
      <w:pPr>
        <w:spacing w:beforeLines="0" w:afterLines="0" w:line="590" w:lineRule="exact"/>
        <w:jc w:val="left"/>
        <w:outlineLvl w:val="0"/>
        <w:rPr>
          <w:rFonts w:hint="default" w:eastAsia="Times New Roman"/>
          <w:sz w:val="32"/>
          <w:szCs w:val="24"/>
        </w:rPr>
      </w:pPr>
      <w:r>
        <w:rPr>
          <w:rFonts w:hint="eastAsia" w:ascii="黑体" w:hAnsi="黑体" w:eastAsia="黑体"/>
          <w:sz w:val="32"/>
          <w:szCs w:val="24"/>
        </w:rPr>
        <w:t>第一部分  芒市遮放镇中心卫生院概况</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一、主要职能</w:t>
      </w:r>
    </w:p>
    <w:p>
      <w:pPr>
        <w:spacing w:beforeLines="0" w:afterLines="0" w:line="590" w:lineRule="exact"/>
        <w:jc w:val="left"/>
        <w:rPr>
          <w:rFonts w:hint="default" w:eastAsia="Times New Roman"/>
          <w:sz w:val="32"/>
          <w:szCs w:val="24"/>
        </w:rPr>
      </w:pPr>
      <w:r>
        <w:rPr>
          <w:rFonts w:hint="eastAsia" w:ascii="楷体" w:hAnsi="楷体" w:eastAsia="楷体"/>
          <w:sz w:val="32"/>
          <w:szCs w:val="24"/>
        </w:rPr>
        <w:t>二、部门基本情况</w:t>
      </w:r>
    </w:p>
    <w:p>
      <w:pPr>
        <w:spacing w:beforeLines="0" w:afterLines="0" w:line="590" w:lineRule="exact"/>
        <w:jc w:val="left"/>
        <w:outlineLvl w:val="0"/>
        <w:rPr>
          <w:rFonts w:hint="default" w:eastAsia="Times New Roman"/>
          <w:sz w:val="32"/>
          <w:szCs w:val="24"/>
        </w:rPr>
      </w:pPr>
      <w:r>
        <w:rPr>
          <w:rFonts w:hint="eastAsia" w:ascii="黑体" w:hAnsi="黑体" w:eastAsia="黑体"/>
          <w:sz w:val="32"/>
          <w:szCs w:val="24"/>
        </w:rPr>
        <w:t>第二部分  2020年度部门决算表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一、收入支出决算总表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二、收入决算表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三、支出决算表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四、财政拨款收入支出决算总表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五、一般公共预算财政拨款收入支出决算表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六、一般公共预算财政拨款基本支出决算表</w:t>
      </w:r>
    </w:p>
    <w:p>
      <w:pPr>
        <w:spacing w:beforeLines="0" w:afterLines="0" w:line="590" w:lineRule="exact"/>
        <w:jc w:val="left"/>
        <w:rPr>
          <w:rFonts w:hint="eastAsia" w:ascii="楷体" w:hAnsi="楷体" w:eastAsia="楷体"/>
          <w:sz w:val="32"/>
          <w:szCs w:val="24"/>
        </w:rPr>
      </w:pPr>
      <w:r>
        <w:rPr>
          <w:rFonts w:hint="eastAsia" w:ascii="楷体" w:hAnsi="楷体" w:eastAsia="楷体"/>
          <w:sz w:val="32"/>
          <w:szCs w:val="24"/>
        </w:rPr>
        <w:t>七、政府性基金预算财政拨款收入支出决算表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八、国有资本经营预算财政拨款收入支出决算表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九、“三公”经费、行政参公单位机关运行经费情况表</w:t>
      </w:r>
    </w:p>
    <w:p>
      <w:pPr>
        <w:spacing w:beforeLines="0" w:afterLines="0" w:line="590" w:lineRule="exact"/>
        <w:jc w:val="left"/>
        <w:outlineLvl w:val="0"/>
        <w:rPr>
          <w:rFonts w:hint="default" w:eastAsia="Times New Roman"/>
          <w:sz w:val="32"/>
          <w:szCs w:val="24"/>
        </w:rPr>
      </w:pPr>
      <w:r>
        <w:rPr>
          <w:rFonts w:hint="eastAsia" w:ascii="黑体" w:hAnsi="黑体" w:eastAsia="黑体"/>
          <w:sz w:val="32"/>
          <w:szCs w:val="24"/>
        </w:rPr>
        <w:t>第三部分  2020年度部门决算情况说明</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一、收入决算情况说明</w:t>
      </w:r>
    </w:p>
    <w:p>
      <w:pPr>
        <w:spacing w:beforeLines="0" w:afterLines="0" w:line="590" w:lineRule="exact"/>
        <w:jc w:val="left"/>
        <w:rPr>
          <w:rFonts w:hint="default" w:eastAsia="Times New Roman"/>
          <w:sz w:val="32"/>
          <w:szCs w:val="24"/>
        </w:rPr>
      </w:pPr>
      <w:r>
        <w:rPr>
          <w:rFonts w:hint="eastAsia" w:ascii="楷体" w:hAnsi="楷体" w:eastAsia="楷体"/>
          <w:sz w:val="32"/>
          <w:szCs w:val="24"/>
        </w:rPr>
        <w:t>二、支出决算情况说明</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三、一般公共预算财政拨款支出决算情况说明</w:t>
      </w:r>
    </w:p>
    <w:p>
      <w:pPr>
        <w:spacing w:beforeLines="0" w:afterLines="0" w:line="590" w:lineRule="exact"/>
        <w:jc w:val="left"/>
        <w:rPr>
          <w:rFonts w:hint="default" w:eastAsia="Times New Roman"/>
          <w:sz w:val="32"/>
          <w:szCs w:val="24"/>
        </w:rPr>
      </w:pPr>
      <w:r>
        <w:rPr>
          <w:rFonts w:hint="eastAsia" w:ascii="楷体" w:hAnsi="楷体" w:eastAsia="楷体"/>
          <w:sz w:val="32"/>
          <w:szCs w:val="24"/>
        </w:rPr>
        <w:t>四、一般公共预算财政拨款“三公”经费支出决算情况说明</w:t>
      </w:r>
    </w:p>
    <w:p>
      <w:pPr>
        <w:spacing w:beforeLines="0" w:afterLines="0" w:line="590" w:lineRule="exact"/>
        <w:jc w:val="left"/>
        <w:outlineLvl w:val="0"/>
        <w:rPr>
          <w:rFonts w:hint="default" w:eastAsia="Times New Roman"/>
          <w:sz w:val="32"/>
          <w:szCs w:val="24"/>
        </w:rPr>
      </w:pPr>
      <w:r>
        <w:rPr>
          <w:rFonts w:hint="eastAsia" w:ascii="黑体" w:hAnsi="黑体" w:eastAsia="黑体"/>
          <w:sz w:val="32"/>
          <w:szCs w:val="24"/>
        </w:rPr>
        <w:t>第四部分  其他重要事项及相关口径情况说明</w:t>
      </w:r>
    </w:p>
    <w:p>
      <w:pPr>
        <w:spacing w:beforeLines="0" w:afterLines="0" w:line="590" w:lineRule="exact"/>
        <w:jc w:val="left"/>
        <w:outlineLvl w:val="1"/>
        <w:rPr>
          <w:rFonts w:hint="default" w:eastAsia="Times New Roman"/>
          <w:sz w:val="32"/>
          <w:szCs w:val="24"/>
        </w:rPr>
      </w:pPr>
      <w:r>
        <w:rPr>
          <w:rFonts w:hint="eastAsia" w:ascii="楷体" w:hAnsi="楷体" w:eastAsia="楷体"/>
          <w:sz w:val="32"/>
          <w:szCs w:val="24"/>
        </w:rPr>
        <w:t>一、机关运行经费支出情况</w:t>
      </w:r>
    </w:p>
    <w:p>
      <w:pPr>
        <w:spacing w:beforeLines="0" w:afterLines="0" w:line="590" w:lineRule="exact"/>
        <w:jc w:val="left"/>
        <w:outlineLvl w:val="1"/>
        <w:rPr>
          <w:rFonts w:hint="default" w:eastAsia="Times New Roman"/>
          <w:sz w:val="32"/>
          <w:szCs w:val="24"/>
        </w:rPr>
      </w:pPr>
      <w:r>
        <w:rPr>
          <w:rFonts w:hint="eastAsia" w:ascii="楷体" w:hAnsi="楷体" w:eastAsia="楷体"/>
          <w:sz w:val="32"/>
          <w:szCs w:val="24"/>
        </w:rPr>
        <w:t>二、国有资产占用情况</w:t>
      </w:r>
    </w:p>
    <w:p>
      <w:pPr>
        <w:spacing w:beforeLines="0" w:afterLines="0" w:line="590" w:lineRule="exact"/>
        <w:jc w:val="left"/>
        <w:outlineLvl w:val="1"/>
        <w:rPr>
          <w:rFonts w:hint="default" w:eastAsia="Times New Roman"/>
          <w:sz w:val="32"/>
          <w:szCs w:val="24"/>
        </w:rPr>
      </w:pPr>
      <w:r>
        <w:rPr>
          <w:rFonts w:hint="eastAsia" w:ascii="楷体" w:hAnsi="楷体" w:eastAsia="楷体"/>
          <w:sz w:val="32"/>
          <w:szCs w:val="24"/>
        </w:rPr>
        <w:t>三、政府采购支出情况</w:t>
      </w:r>
    </w:p>
    <w:p>
      <w:pPr>
        <w:spacing w:beforeLines="0" w:afterLines="0" w:line="590" w:lineRule="exact"/>
        <w:jc w:val="left"/>
        <w:outlineLvl w:val="1"/>
        <w:rPr>
          <w:rFonts w:hint="default" w:eastAsia="Times New Roman"/>
          <w:sz w:val="32"/>
          <w:szCs w:val="24"/>
        </w:rPr>
      </w:pPr>
      <w:r>
        <w:rPr>
          <w:rFonts w:hint="eastAsia" w:ascii="楷体" w:hAnsi="楷体" w:eastAsia="楷体"/>
          <w:sz w:val="32"/>
          <w:szCs w:val="24"/>
        </w:rPr>
        <w:t>四、部门绩效自评情况</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（一）部门整体支出绩效自评情况</w:t>
      </w:r>
    </w:p>
    <w:p>
      <w:pPr>
        <w:spacing w:beforeLines="0" w:afterLines="0" w:line="590" w:lineRule="exact"/>
        <w:jc w:val="left"/>
        <w:rPr>
          <w:rFonts w:hint="default" w:eastAsia="Times New Roman"/>
          <w:sz w:val="32"/>
          <w:szCs w:val="24"/>
        </w:rPr>
      </w:pPr>
      <w:r>
        <w:rPr>
          <w:rFonts w:hint="eastAsia" w:ascii="楷体" w:hAnsi="楷体" w:eastAsia="楷体"/>
          <w:sz w:val="32"/>
          <w:szCs w:val="24"/>
        </w:rPr>
        <w:t>（二）部门整体支出绩效自评表</w:t>
      </w:r>
    </w:p>
    <w:p>
      <w:pPr>
        <w:spacing w:beforeLines="0" w:afterLines="0" w:line="590" w:lineRule="exact"/>
        <w:jc w:val="left"/>
        <w:rPr>
          <w:rFonts w:hint="default" w:eastAsia="Times New Roman"/>
          <w:sz w:val="32"/>
          <w:szCs w:val="24"/>
        </w:rPr>
      </w:pPr>
      <w:r>
        <w:rPr>
          <w:rFonts w:hint="eastAsia" w:ascii="楷体" w:hAnsi="楷体" w:eastAsia="楷体"/>
          <w:sz w:val="32"/>
          <w:szCs w:val="24"/>
        </w:rPr>
        <w:t>（三）项目支出绩效自评表</w:t>
      </w:r>
    </w:p>
    <w:p>
      <w:pPr>
        <w:spacing w:beforeLines="0" w:afterLines="0" w:line="590" w:lineRule="exact"/>
        <w:jc w:val="left"/>
        <w:outlineLvl w:val="1"/>
        <w:rPr>
          <w:rFonts w:hint="default" w:eastAsia="Times New Roman"/>
          <w:sz w:val="32"/>
          <w:szCs w:val="24"/>
        </w:rPr>
      </w:pPr>
      <w:r>
        <w:rPr>
          <w:rFonts w:hint="eastAsia" w:ascii="楷体" w:hAnsi="楷体" w:eastAsia="楷体"/>
          <w:sz w:val="32"/>
          <w:szCs w:val="24"/>
        </w:rPr>
        <w:t>五、其他重要事项情况说明</w:t>
      </w:r>
    </w:p>
    <w:p>
      <w:pPr>
        <w:spacing w:beforeLines="0" w:afterLines="0" w:line="590" w:lineRule="exact"/>
        <w:jc w:val="left"/>
        <w:outlineLvl w:val="0"/>
        <w:rPr>
          <w:rFonts w:hint="default" w:eastAsia="Times New Roman"/>
          <w:sz w:val="32"/>
          <w:szCs w:val="24"/>
        </w:rPr>
      </w:pPr>
      <w:r>
        <w:rPr>
          <w:rFonts w:hint="eastAsia" w:ascii="黑体" w:hAnsi="黑体" w:eastAsia="黑体"/>
          <w:sz w:val="32"/>
          <w:szCs w:val="24"/>
        </w:rPr>
        <w:t>第五部分  名词解释</w:t>
      </w:r>
    </w:p>
    <w:p>
      <w:pPr>
        <w:spacing w:beforeLines="0" w:afterLines="0" w:line="600" w:lineRule="exact"/>
        <w:jc w:val="left"/>
        <w:rPr>
          <w:rFonts w:hint="default" w:eastAsia="Times New Roman"/>
          <w:sz w:val="32"/>
          <w:szCs w:val="24"/>
        </w:rPr>
      </w:pPr>
    </w:p>
    <w:p>
      <w:pPr>
        <w:spacing w:beforeLines="0" w:afterLines="0" w:line="590" w:lineRule="exact"/>
        <w:rPr>
          <w:rFonts w:hint="eastAsia" w:ascii="黑体" w:hAnsi="黑体" w:eastAsia="黑体"/>
          <w:sz w:val="32"/>
          <w:szCs w:val="24"/>
        </w:rPr>
      </w:pPr>
    </w:p>
    <w:p>
      <w:pPr>
        <w:spacing w:beforeLines="0" w:afterLines="0" w:line="590" w:lineRule="exact"/>
        <w:rPr>
          <w:rFonts w:hint="eastAsia" w:ascii="黑体" w:hAnsi="黑体" w:eastAsia="黑体"/>
          <w:sz w:val="32"/>
          <w:szCs w:val="24"/>
        </w:rPr>
      </w:pPr>
    </w:p>
    <w:p>
      <w:pPr>
        <w:spacing w:beforeLines="0" w:afterLines="0" w:line="590" w:lineRule="exact"/>
        <w:rPr>
          <w:rFonts w:hint="eastAsia" w:ascii="黑体" w:hAnsi="黑体" w:eastAsia="黑体"/>
          <w:sz w:val="32"/>
          <w:szCs w:val="24"/>
        </w:rPr>
      </w:pPr>
    </w:p>
    <w:p>
      <w:pPr>
        <w:spacing w:beforeLines="0" w:afterLines="0" w:line="590" w:lineRule="exact"/>
        <w:rPr>
          <w:rFonts w:hint="eastAsia" w:ascii="黑体" w:hAnsi="黑体" w:eastAsia="黑体"/>
          <w:sz w:val="32"/>
          <w:szCs w:val="24"/>
        </w:rPr>
      </w:pPr>
    </w:p>
    <w:p>
      <w:pPr>
        <w:spacing w:beforeLines="0" w:afterLines="0" w:line="590" w:lineRule="exact"/>
        <w:rPr>
          <w:rFonts w:hint="eastAsia" w:ascii="黑体" w:hAnsi="黑体" w:eastAsia="黑体"/>
          <w:sz w:val="32"/>
          <w:szCs w:val="24"/>
        </w:rPr>
      </w:pPr>
    </w:p>
    <w:p>
      <w:pPr>
        <w:spacing w:beforeLines="0" w:afterLines="0" w:line="590" w:lineRule="exact"/>
        <w:rPr>
          <w:rFonts w:hint="eastAsia" w:ascii="黑体" w:hAnsi="黑体" w:eastAsia="黑体"/>
          <w:sz w:val="32"/>
          <w:szCs w:val="24"/>
        </w:rPr>
      </w:pPr>
    </w:p>
    <w:p>
      <w:pPr>
        <w:spacing w:beforeLines="0" w:afterLines="0" w:line="590" w:lineRule="exact"/>
        <w:ind w:firstLine="640" w:firstLineChars="200"/>
        <w:outlineLvl w:val="0"/>
        <w:rPr>
          <w:rFonts w:hint="eastAsia" w:ascii="黑体" w:hAnsi="黑体" w:eastAsia="黑体"/>
          <w:sz w:val="32"/>
          <w:szCs w:val="24"/>
        </w:rPr>
      </w:pPr>
    </w:p>
    <w:p>
      <w:pPr>
        <w:spacing w:beforeLines="0" w:afterLines="0" w:line="590" w:lineRule="exact"/>
        <w:ind w:firstLine="640" w:firstLineChars="200"/>
        <w:outlineLvl w:val="0"/>
        <w:rPr>
          <w:rFonts w:hint="eastAsia" w:ascii="黑体" w:hAnsi="黑体" w:eastAsia="黑体"/>
          <w:sz w:val="32"/>
          <w:szCs w:val="24"/>
        </w:rPr>
      </w:pPr>
    </w:p>
    <w:p>
      <w:pPr>
        <w:spacing w:beforeLines="0" w:afterLines="0" w:line="590" w:lineRule="exact"/>
        <w:ind w:firstLine="640" w:firstLineChars="200"/>
        <w:outlineLvl w:val="0"/>
        <w:rPr>
          <w:rFonts w:hint="eastAsia" w:ascii="黑体" w:hAnsi="黑体" w:eastAsia="黑体"/>
          <w:sz w:val="32"/>
          <w:szCs w:val="24"/>
        </w:rPr>
      </w:pPr>
    </w:p>
    <w:p>
      <w:pPr>
        <w:spacing w:beforeLines="0" w:afterLines="0" w:line="590" w:lineRule="exact"/>
        <w:ind w:firstLine="640" w:firstLineChars="200"/>
        <w:outlineLvl w:val="0"/>
        <w:rPr>
          <w:rFonts w:hint="eastAsia" w:ascii="黑体" w:hAnsi="黑体" w:eastAsia="黑体"/>
          <w:sz w:val="32"/>
          <w:szCs w:val="24"/>
        </w:rPr>
      </w:pPr>
    </w:p>
    <w:p>
      <w:pPr>
        <w:spacing w:beforeLines="0" w:afterLines="0" w:line="590" w:lineRule="exact"/>
        <w:jc w:val="center"/>
        <w:outlineLvl w:val="0"/>
        <w:rPr>
          <w:rFonts w:hint="default" w:eastAsia="Times New Roman"/>
          <w:sz w:val="32"/>
          <w:szCs w:val="24"/>
        </w:rPr>
      </w:pPr>
      <w:r>
        <w:rPr>
          <w:rFonts w:hint="eastAsia" w:ascii="黑体" w:hAnsi="黑体" w:eastAsia="黑体"/>
          <w:sz w:val="32"/>
          <w:szCs w:val="24"/>
        </w:rPr>
        <w:t>第一部分  芒市遮放镇中心卫生院概况</w:t>
      </w:r>
    </w:p>
    <w:p>
      <w:pPr>
        <w:spacing w:beforeLines="0" w:afterLines="0" w:line="590" w:lineRule="exact"/>
        <w:ind w:firstLine="600"/>
        <w:outlineLvl w:val="1"/>
        <w:rPr>
          <w:rFonts w:hint="default" w:eastAsia="Times New Roman"/>
          <w:sz w:val="32"/>
          <w:szCs w:val="24"/>
        </w:rPr>
      </w:pPr>
      <w:r>
        <w:rPr>
          <w:rFonts w:hint="eastAsia" w:ascii="黑体" w:hAnsi="黑体" w:eastAsia="黑体"/>
          <w:sz w:val="32"/>
          <w:szCs w:val="24"/>
        </w:rPr>
        <w:t>一、主要职能</w:t>
      </w:r>
    </w:p>
    <w:p>
      <w:pPr>
        <w:spacing w:beforeLines="0" w:afterLines="0" w:line="590" w:lineRule="exact"/>
        <w:ind w:firstLine="600"/>
        <w:outlineLvl w:val="2"/>
        <w:rPr>
          <w:rFonts w:hint="default" w:eastAsia="Times New Roman"/>
          <w:sz w:val="32"/>
          <w:szCs w:val="24"/>
        </w:rPr>
      </w:pPr>
      <w:r>
        <w:rPr>
          <w:rFonts w:hint="eastAsia" w:ascii="楷体" w:hAnsi="楷体" w:eastAsia="楷体"/>
          <w:sz w:val="32"/>
          <w:szCs w:val="24"/>
        </w:rPr>
        <w:t>（一）主要职能</w:t>
      </w:r>
    </w:p>
    <w:p>
      <w:pPr>
        <w:widowControl w:val="0"/>
        <w:snapToGrid w:val="0"/>
        <w:spacing w:beforeLines="0" w:afterLines="0" w:line="570" w:lineRule="exact"/>
        <w:ind w:firstLine="640" w:firstLineChars="200"/>
        <w:rPr>
          <w:rFonts w:hint="eastAsia" w:ascii="方正仿宋_GBK" w:hAnsi="方正仿宋_GBK" w:eastAsia="方正仿宋_GBK" w:cs="方正仿宋_GBK"/>
          <w:sz w:val="32"/>
          <w:szCs w:val="24"/>
        </w:rPr>
      </w:pPr>
      <w:r>
        <w:rPr>
          <w:rFonts w:hint="eastAsia" w:ascii="方正仿宋_GBK" w:hAnsi="方正仿宋_GBK" w:eastAsia="方正仿宋_GBK" w:cs="方正仿宋_GBK"/>
          <w:sz w:val="32"/>
          <w:szCs w:val="32"/>
          <w:lang w:eastAsia="zh-CN"/>
        </w:rPr>
        <w:t>为人民身体健康提供医疗和预防保健服务。医疗服务，常见病多发病护理，恢复期病人康复治疗与护理；卫生技术人员培训；卫生监督与卫生信息服务；公共卫生服务；母婴保健与计划生育技术服务。</w:t>
      </w:r>
    </w:p>
    <w:p>
      <w:pPr>
        <w:spacing w:beforeLines="0" w:afterLines="0" w:line="590" w:lineRule="exact"/>
        <w:ind w:firstLine="600"/>
        <w:outlineLvl w:val="2"/>
        <w:rPr>
          <w:rFonts w:hint="default" w:eastAsia="Times New Roman"/>
          <w:sz w:val="32"/>
          <w:szCs w:val="24"/>
        </w:rPr>
      </w:pPr>
      <w:r>
        <w:rPr>
          <w:rFonts w:hint="eastAsia" w:ascii="楷体" w:hAnsi="楷体" w:eastAsia="楷体"/>
          <w:sz w:val="32"/>
          <w:szCs w:val="24"/>
        </w:rPr>
        <w:t>（二）2020年度重点工作任务介绍</w:t>
      </w:r>
    </w:p>
    <w:p>
      <w:pPr>
        <w:widowControl w:val="0"/>
        <w:snapToGrid w:val="0"/>
        <w:spacing w:beforeLines="0" w:afterLines="0" w:line="570" w:lineRule="exact"/>
        <w:ind w:firstLine="640" w:firstLineChars="200"/>
        <w:rPr>
          <w:rFonts w:hint="eastAsia" w:eastAsia="仿宋_GB2312" w:cs="Times New Roman"/>
          <w:color w:val="000000" w:themeColor="text1"/>
          <w:sz w:val="32"/>
          <w:szCs w:val="32"/>
          <w:lang w:val="en-US" w:eastAsia="zh-CN"/>
          <w14:textFill>
            <w14:solidFill>
              <w14:schemeClr w14:val="tx1"/>
            </w14:solidFill>
          </w14:textFill>
        </w:rPr>
      </w:pPr>
      <w:r>
        <w:rPr>
          <w:rFonts w:hint="default" w:eastAsia="仿宋_GB2312" w:cs="Times New Roman"/>
          <w:color w:val="auto"/>
          <w:sz w:val="32"/>
          <w:szCs w:val="32"/>
          <w:lang w:val="en-US" w:eastAsia="zh-CN"/>
        </w:rPr>
        <w:t>20</w:t>
      </w:r>
      <w:r>
        <w:rPr>
          <w:rFonts w:hint="eastAsia" w:eastAsia="仿宋_GB2312" w:cs="Times New Roman"/>
          <w:color w:val="auto"/>
          <w:sz w:val="32"/>
          <w:szCs w:val="32"/>
          <w:lang w:val="en-US" w:eastAsia="zh-CN"/>
        </w:rPr>
        <w:t>20年在镇党委、政府和上级部门的领导和指导下，芒市遮放镇中心卫生院认真按照要求开展各项工作，综合服务能力得到进一步提升。</w:t>
      </w:r>
      <w:r>
        <w:rPr>
          <w:rFonts w:hint="eastAsia" w:ascii="楷体" w:hAnsi="楷体" w:eastAsia="楷体" w:cs="楷体"/>
          <w:color w:val="auto"/>
          <w:sz w:val="32"/>
          <w:szCs w:val="32"/>
          <w:lang w:val="en-US" w:eastAsia="zh-CN"/>
        </w:rPr>
        <w:t>一是</w:t>
      </w:r>
      <w:r>
        <w:rPr>
          <w:rFonts w:hint="eastAsia" w:eastAsia="仿宋_GB2312" w:cs="Times New Roman"/>
          <w:color w:val="auto"/>
          <w:sz w:val="32"/>
          <w:szCs w:val="32"/>
          <w:lang w:val="en-US" w:eastAsia="zh-CN"/>
        </w:rPr>
        <w:t>扎实开展健康扶贫工作，圆满完成全年脱贫攻坚任务，贫困人口因因病致贫返贫情况得到有效缓解。</w:t>
      </w:r>
      <w:r>
        <w:rPr>
          <w:rFonts w:hint="eastAsia" w:ascii="楷体" w:hAnsi="楷体" w:eastAsia="楷体" w:cs="楷体"/>
          <w:color w:val="auto"/>
          <w:sz w:val="32"/>
          <w:szCs w:val="32"/>
          <w:lang w:val="en-US" w:eastAsia="zh-CN"/>
        </w:rPr>
        <w:t>二是</w:t>
      </w:r>
      <w:r>
        <w:rPr>
          <w:rFonts w:hint="eastAsia" w:eastAsia="仿宋_GB2312" w:cs="Times New Roman"/>
          <w:color w:val="auto"/>
          <w:sz w:val="32"/>
          <w:szCs w:val="32"/>
          <w:lang w:val="en-US" w:eastAsia="zh-CN"/>
        </w:rPr>
        <w:t>严格按照省州市镇疫情指挥部工作部署，认真开展疫情防控工作，及时成立流调组、消杀组、后勤保障组，加强人员能力培训，提升院内防护等级，积极配合上级相关部门开展重点人群监管、入户筛查、体温监测、重点区域消杀等防疫工作，确保了全镇无一例确诊病例和输入性病例。</w:t>
      </w:r>
      <w:r>
        <w:rPr>
          <w:rFonts w:hint="eastAsia" w:ascii="楷体" w:hAnsi="楷体" w:eastAsia="楷体" w:cs="楷体"/>
          <w:color w:val="auto"/>
          <w:sz w:val="32"/>
          <w:szCs w:val="32"/>
          <w:lang w:val="en-US" w:eastAsia="zh-CN"/>
        </w:rPr>
        <w:t>三是</w:t>
      </w:r>
      <w:r>
        <w:rPr>
          <w:rFonts w:hint="eastAsia" w:ascii="仿宋_GB2312" w:hAnsi="仿宋_GB2312" w:eastAsia="仿宋_GB2312" w:cs="仿宋_GB2312"/>
          <w:color w:val="auto"/>
          <w:sz w:val="32"/>
          <w:szCs w:val="32"/>
          <w:lang w:val="en-US" w:eastAsia="zh-CN"/>
        </w:rPr>
        <w:t>持续实施“优质服务基层行”活动，</w:t>
      </w:r>
      <w:r>
        <w:rPr>
          <w:rFonts w:hint="eastAsia" w:eastAsia="仿宋_GB2312" w:cs="Times New Roman"/>
          <w:color w:val="auto"/>
          <w:sz w:val="32"/>
          <w:szCs w:val="32"/>
          <w:lang w:val="en-US" w:eastAsia="zh-CN"/>
        </w:rPr>
        <w:t>逐步提高服务能力，顺利通过国家级“一级甲等”卫生院专家组评审，并建成标准化检验室，预防接种室和儿童保健室。</w:t>
      </w:r>
      <w:r>
        <w:rPr>
          <w:rFonts w:hint="eastAsia" w:ascii="楷体" w:hAnsi="楷体" w:eastAsia="楷体" w:cs="楷体"/>
          <w:color w:val="000000" w:themeColor="text1"/>
          <w:sz w:val="32"/>
          <w:szCs w:val="32"/>
          <w:lang w:val="en-US" w:eastAsia="zh-CN"/>
          <w14:textFill>
            <w14:solidFill>
              <w14:schemeClr w14:val="tx1"/>
            </w14:solidFill>
          </w14:textFill>
        </w:rPr>
        <w:t>四是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根据年度目标任务要求认真开展各项工作，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基本公共卫生服务、重大公共卫生服务、国家基本药物制度、爱国卫生运动等工作都圆满地完成了全年任务</w:t>
      </w:r>
      <w:r>
        <w:rPr>
          <w:rFonts w:hint="eastAsia" w:eastAsia="仿宋_GB2312" w:cs="Times New Roman"/>
          <w:color w:val="000000" w:themeColor="text1"/>
          <w:sz w:val="32"/>
          <w:szCs w:val="32"/>
          <w:lang w:val="en-US" w:eastAsia="zh-CN"/>
          <w14:textFill>
            <w14:solidFill>
              <w14:schemeClr w14:val="tx1"/>
            </w14:solidFill>
          </w14:textFill>
        </w:rPr>
        <w:t>。</w:t>
      </w:r>
    </w:p>
    <w:p>
      <w:pPr>
        <w:spacing w:beforeLines="0" w:afterLines="0" w:line="590" w:lineRule="exact"/>
        <w:ind w:firstLine="640" w:firstLineChars="200"/>
        <w:outlineLvl w:val="1"/>
        <w:rPr>
          <w:rFonts w:hint="default" w:eastAsia="Times New Roman"/>
          <w:sz w:val="32"/>
          <w:szCs w:val="24"/>
        </w:rPr>
      </w:pPr>
      <w:r>
        <w:rPr>
          <w:rFonts w:hint="eastAsia" w:ascii="黑体" w:hAnsi="黑体" w:eastAsia="黑体"/>
          <w:sz w:val="32"/>
          <w:szCs w:val="24"/>
        </w:rPr>
        <w:t>二、部门基本情况</w:t>
      </w:r>
    </w:p>
    <w:p>
      <w:pPr>
        <w:spacing w:beforeLines="0" w:afterLines="0" w:line="590" w:lineRule="exact"/>
        <w:ind w:firstLine="600"/>
        <w:rPr>
          <w:rFonts w:hint="default" w:eastAsia="Times New Roman"/>
          <w:sz w:val="32"/>
          <w:szCs w:val="24"/>
        </w:rPr>
      </w:pPr>
      <w:r>
        <w:rPr>
          <w:rFonts w:hint="eastAsia" w:ascii="楷体" w:hAnsi="楷体" w:eastAsia="楷体"/>
          <w:sz w:val="32"/>
          <w:szCs w:val="24"/>
        </w:rPr>
        <w:t>（一）部门决算单位构成</w:t>
      </w:r>
      <w:bookmarkStart w:id="0" w:name="_GoBack"/>
      <w:bookmarkEnd w:id="0"/>
    </w:p>
    <w:p>
      <w:pPr>
        <w:spacing w:beforeLines="0" w:afterLines="0" w:line="590" w:lineRule="exact"/>
        <w:ind w:firstLine="600"/>
        <w:rPr>
          <w:rFonts w:hint="eastAsia" w:ascii="仿宋_GB2312" w:hAnsi="仿宋_GB2312" w:eastAsia="仿宋_GB2312" w:cs="仿宋_GB2312"/>
          <w:color w:val="FF0000"/>
          <w:sz w:val="32"/>
          <w:szCs w:val="24"/>
        </w:rPr>
      </w:pPr>
      <w:r>
        <w:rPr>
          <w:rFonts w:hint="eastAsia" w:ascii="仿宋_GB2312" w:hAnsi="仿宋_GB2312" w:eastAsia="仿宋_GB2312" w:cs="仿宋_GB2312"/>
          <w:sz w:val="32"/>
          <w:szCs w:val="24"/>
        </w:rPr>
        <w:t>纳入芒市遮放镇中心卫生院</w:t>
      </w:r>
      <w:r>
        <w:rPr>
          <w:rFonts w:hint="default" w:ascii="Times New Roman" w:hAnsi="Times New Roman" w:eastAsia="仿宋_GB2312" w:cs="Times New Roman"/>
          <w:sz w:val="32"/>
          <w:szCs w:val="24"/>
        </w:rPr>
        <w:t>2020</w:t>
      </w:r>
      <w:r>
        <w:rPr>
          <w:rFonts w:hint="eastAsia" w:ascii="仿宋_GB2312" w:hAnsi="仿宋_GB2312" w:eastAsia="仿宋_GB2312" w:cs="仿宋_GB2312"/>
          <w:sz w:val="32"/>
          <w:szCs w:val="24"/>
        </w:rPr>
        <w:t>年度部门决算编报的单位共</w:t>
      </w:r>
      <w:r>
        <w:rPr>
          <w:rFonts w:hint="default" w:ascii="Times New Roman" w:hAnsi="Times New Roman" w:eastAsia="仿宋_GB2312" w:cs="Times New Roman"/>
          <w:sz w:val="32"/>
          <w:szCs w:val="24"/>
        </w:rPr>
        <w:t>1</w:t>
      </w:r>
      <w:r>
        <w:rPr>
          <w:rFonts w:hint="eastAsia" w:ascii="仿宋_GB2312" w:hAnsi="仿宋_GB2312" w:eastAsia="仿宋_GB2312" w:cs="仿宋_GB2312"/>
          <w:sz w:val="32"/>
          <w:szCs w:val="24"/>
        </w:rPr>
        <w:t>个。其中：行政单位</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rPr>
        <w:t>个，参照公务员法管理的事业单位</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rPr>
        <w:t>个，其他事业单位</w:t>
      </w:r>
      <w:r>
        <w:rPr>
          <w:rFonts w:hint="default" w:ascii="Times New Roman" w:hAnsi="Times New Roman" w:eastAsia="仿宋_GB2312" w:cs="Times New Roman"/>
          <w:color w:val="auto"/>
          <w:sz w:val="32"/>
          <w:szCs w:val="24"/>
          <w:lang w:val="en-US" w:eastAsia="zh-CN"/>
        </w:rPr>
        <w:t>1</w:t>
      </w:r>
      <w:r>
        <w:rPr>
          <w:rFonts w:hint="eastAsia" w:ascii="仿宋_GB2312" w:hAnsi="仿宋_GB2312" w:eastAsia="仿宋_GB2312" w:cs="仿宋_GB2312"/>
          <w:color w:val="auto"/>
          <w:sz w:val="32"/>
          <w:szCs w:val="24"/>
        </w:rPr>
        <w:t>个</w:t>
      </w:r>
      <w:r>
        <w:rPr>
          <w:rFonts w:hint="eastAsia" w:ascii="仿宋_GB2312" w:hAnsi="仿宋_GB2312" w:eastAsia="仿宋_GB2312" w:cs="仿宋_GB2312"/>
          <w:color w:val="auto"/>
          <w:sz w:val="32"/>
          <w:szCs w:val="24"/>
          <w:lang w:eastAsia="zh-CN"/>
        </w:rPr>
        <w:t>（</w:t>
      </w:r>
      <w:r>
        <w:rPr>
          <w:rFonts w:hint="eastAsia" w:ascii="仿宋_GB2312" w:hAnsi="仿宋_GB2312" w:eastAsia="仿宋_GB2312" w:cs="仿宋_GB2312"/>
          <w:sz w:val="32"/>
          <w:szCs w:val="32"/>
          <w:lang w:eastAsia="zh-CN"/>
        </w:rPr>
        <w:t>财政补助事业单位</w:t>
      </w:r>
      <w:r>
        <w:rPr>
          <w:rFonts w:hint="eastAsia" w:ascii="仿宋_GB2312" w:hAnsi="仿宋_GB2312" w:eastAsia="仿宋_GB2312" w:cs="仿宋_GB2312"/>
          <w:sz w:val="32"/>
          <w:szCs w:val="32"/>
          <w:lang w:val="en-US" w:eastAsia="zh-CN"/>
        </w:rPr>
        <w:t>）。</w:t>
      </w:r>
    </w:p>
    <w:p>
      <w:pPr>
        <w:spacing w:beforeLines="0" w:afterLines="0" w:line="590" w:lineRule="exact"/>
        <w:ind w:firstLine="640" w:firstLineChars="200"/>
        <w:rPr>
          <w:rFonts w:hint="eastAsia" w:ascii="楷体" w:hAnsi="楷体" w:eastAsia="楷体"/>
          <w:color w:val="auto"/>
          <w:sz w:val="32"/>
          <w:szCs w:val="24"/>
        </w:rPr>
      </w:pPr>
      <w:r>
        <w:rPr>
          <w:rFonts w:hint="eastAsia" w:ascii="楷体" w:hAnsi="楷体" w:eastAsia="楷体"/>
          <w:color w:val="auto"/>
          <w:sz w:val="32"/>
          <w:szCs w:val="24"/>
        </w:rPr>
        <w:t>（二）部门人员和车辆的编制及实有情况</w:t>
      </w:r>
    </w:p>
    <w:p>
      <w:pPr>
        <w:spacing w:beforeLines="0" w:afterLines="0" w:line="590" w:lineRule="exact"/>
        <w:ind w:firstLine="600"/>
        <w:rPr>
          <w:rFonts w:hint="default"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rPr>
        <w:t>芒市遮放镇中心卫生院</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年末实有人员编制</w:t>
      </w:r>
      <w:r>
        <w:rPr>
          <w:rFonts w:hint="default" w:ascii="Times New Roman" w:hAnsi="Times New Roman" w:eastAsia="仿宋_GB2312" w:cs="Times New Roman"/>
          <w:color w:val="auto"/>
          <w:sz w:val="32"/>
          <w:szCs w:val="24"/>
          <w:lang w:val="en-US" w:eastAsia="zh-CN"/>
        </w:rPr>
        <w:t>63</w:t>
      </w:r>
      <w:r>
        <w:rPr>
          <w:rFonts w:hint="eastAsia" w:ascii="仿宋_GB2312" w:hAnsi="仿宋_GB2312" w:eastAsia="仿宋_GB2312" w:cs="仿宋_GB2312"/>
          <w:color w:val="auto"/>
          <w:kern w:val="0"/>
          <w:sz w:val="32"/>
          <w:szCs w:val="24"/>
        </w:rPr>
        <w:t>人。其中：行政编制</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kern w:val="0"/>
          <w:sz w:val="32"/>
          <w:szCs w:val="24"/>
        </w:rPr>
        <w:t>人（含行政工勤编制</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kern w:val="0"/>
          <w:sz w:val="32"/>
          <w:szCs w:val="24"/>
        </w:rPr>
        <w:t>人），事业编制</w:t>
      </w:r>
      <w:r>
        <w:rPr>
          <w:rFonts w:hint="default" w:ascii="Times New Roman" w:hAnsi="Times New Roman" w:eastAsia="汉仪雅酷黑简" w:cs="Times New Roman"/>
          <w:color w:val="auto"/>
          <w:sz w:val="32"/>
          <w:szCs w:val="24"/>
          <w:lang w:val="en-US" w:eastAsia="zh-CN"/>
        </w:rPr>
        <w:t>63</w:t>
      </w:r>
      <w:r>
        <w:rPr>
          <w:rFonts w:hint="eastAsia" w:ascii="仿宋_GB2312" w:hAnsi="仿宋_GB2312" w:eastAsia="仿宋_GB2312" w:cs="仿宋_GB2312"/>
          <w:color w:val="auto"/>
          <w:kern w:val="0"/>
          <w:sz w:val="32"/>
          <w:szCs w:val="24"/>
        </w:rPr>
        <w:t>人（含参公管理事业编制</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kern w:val="0"/>
          <w:sz w:val="32"/>
          <w:szCs w:val="24"/>
        </w:rPr>
        <w:t>人）；在职在编实有行政人员</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kern w:val="0"/>
          <w:sz w:val="32"/>
          <w:szCs w:val="24"/>
        </w:rPr>
        <w:t>人（含行政工勤人员</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kern w:val="0"/>
          <w:sz w:val="32"/>
          <w:szCs w:val="24"/>
        </w:rPr>
        <w:t>人），事业人员</w:t>
      </w:r>
      <w:r>
        <w:rPr>
          <w:rFonts w:hint="default" w:ascii="Times New Roman" w:hAnsi="Times New Roman" w:eastAsia="仿宋_GB2312" w:cs="Times New Roman"/>
          <w:color w:val="auto"/>
          <w:sz w:val="32"/>
          <w:szCs w:val="24"/>
        </w:rPr>
        <w:t>60</w:t>
      </w:r>
      <w:r>
        <w:rPr>
          <w:rFonts w:hint="eastAsia" w:ascii="仿宋_GB2312" w:hAnsi="仿宋_GB2312" w:eastAsia="仿宋_GB2312" w:cs="仿宋_GB2312"/>
          <w:color w:val="auto"/>
          <w:kern w:val="0"/>
          <w:sz w:val="32"/>
          <w:szCs w:val="24"/>
        </w:rPr>
        <w:t>人（含参公管理事业人员</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人）。</w:t>
      </w:r>
    </w:p>
    <w:p>
      <w:pPr>
        <w:spacing w:beforeLines="0" w:afterLines="0" w:line="590" w:lineRule="exact"/>
        <w:ind w:firstLine="600"/>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离退休人员</w:t>
      </w:r>
      <w:r>
        <w:rPr>
          <w:rFonts w:hint="default" w:ascii="Times New Roman" w:hAnsi="Times New Roman" w:eastAsia="仿宋_GB2312" w:cs="Times New Roman"/>
          <w:color w:val="auto"/>
          <w:sz w:val="32"/>
          <w:szCs w:val="24"/>
          <w:lang w:val="en-US" w:eastAsia="zh-CN"/>
        </w:rPr>
        <w:t>55</w:t>
      </w:r>
      <w:r>
        <w:rPr>
          <w:rFonts w:hint="eastAsia" w:ascii="仿宋_GB2312" w:hAnsi="仿宋_GB2312" w:eastAsia="仿宋_GB2312" w:cs="仿宋_GB2312"/>
          <w:color w:val="auto"/>
          <w:kern w:val="0"/>
          <w:sz w:val="32"/>
          <w:szCs w:val="24"/>
        </w:rPr>
        <w:t>人</w:t>
      </w:r>
      <w:r>
        <w:rPr>
          <w:rFonts w:hint="eastAsia" w:ascii="仿宋_GB2312" w:hAnsi="仿宋_GB2312" w:eastAsia="仿宋_GB2312" w:cs="仿宋_GB2312"/>
          <w:color w:val="auto"/>
          <w:kern w:val="0"/>
          <w:sz w:val="32"/>
          <w:szCs w:val="24"/>
          <w:lang w:eastAsia="zh-CN"/>
        </w:rPr>
        <w:t>。</w:t>
      </w:r>
      <w:r>
        <w:rPr>
          <w:rFonts w:hint="eastAsia" w:ascii="仿宋_GB2312" w:hAnsi="仿宋_GB2312" w:eastAsia="仿宋_GB2312" w:cs="仿宋_GB2312"/>
          <w:color w:val="auto"/>
          <w:kern w:val="0"/>
          <w:sz w:val="32"/>
          <w:szCs w:val="24"/>
        </w:rPr>
        <w:t>其中：离休</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kern w:val="0"/>
          <w:sz w:val="32"/>
          <w:szCs w:val="24"/>
        </w:rPr>
        <w:t>人，退休</w:t>
      </w:r>
      <w:r>
        <w:rPr>
          <w:rFonts w:hint="default" w:ascii="Times New Roman" w:hAnsi="Times New Roman" w:eastAsia="仿宋_GB2312" w:cs="Times New Roman"/>
          <w:color w:val="auto"/>
          <w:sz w:val="32"/>
          <w:szCs w:val="24"/>
          <w:lang w:val="en-US" w:eastAsia="zh-CN"/>
        </w:rPr>
        <w:t>55</w:t>
      </w:r>
      <w:r>
        <w:rPr>
          <w:rFonts w:hint="eastAsia" w:ascii="仿宋_GB2312" w:hAnsi="仿宋_GB2312" w:eastAsia="仿宋_GB2312" w:cs="仿宋_GB2312"/>
          <w:color w:val="auto"/>
          <w:kern w:val="0"/>
          <w:sz w:val="32"/>
          <w:szCs w:val="24"/>
        </w:rPr>
        <w:t>人。</w:t>
      </w:r>
    </w:p>
    <w:p>
      <w:pPr>
        <w:spacing w:beforeLines="0" w:afterLines="0" w:line="590" w:lineRule="exact"/>
        <w:ind w:firstLine="600"/>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实有车辆编制</w:t>
      </w:r>
      <w:r>
        <w:rPr>
          <w:rFonts w:hint="default" w:ascii="Times New Roman" w:hAnsi="Times New Roman" w:eastAsia="仿宋_GB2312" w:cs="Times New Roman"/>
          <w:color w:val="auto"/>
          <w:sz w:val="32"/>
          <w:szCs w:val="24"/>
          <w:lang w:val="en-US" w:eastAsia="zh-CN"/>
        </w:rPr>
        <w:t>3</w:t>
      </w:r>
      <w:r>
        <w:rPr>
          <w:rFonts w:hint="eastAsia" w:ascii="仿宋_GB2312" w:hAnsi="仿宋_GB2312" w:eastAsia="仿宋_GB2312" w:cs="仿宋_GB2312"/>
          <w:color w:val="auto"/>
          <w:kern w:val="0"/>
          <w:sz w:val="32"/>
          <w:szCs w:val="24"/>
        </w:rPr>
        <w:t>辆，在编实有车辆</w:t>
      </w:r>
      <w:r>
        <w:rPr>
          <w:rFonts w:hint="default" w:ascii="Times New Roman" w:hAnsi="Times New Roman" w:eastAsia="仿宋_GB2312" w:cs="Times New Roman"/>
          <w:color w:val="auto"/>
          <w:sz w:val="32"/>
          <w:szCs w:val="24"/>
        </w:rPr>
        <w:t>3</w:t>
      </w:r>
      <w:r>
        <w:rPr>
          <w:rFonts w:hint="eastAsia" w:ascii="仿宋_GB2312" w:hAnsi="仿宋_GB2312" w:eastAsia="仿宋_GB2312" w:cs="仿宋_GB2312"/>
          <w:color w:val="auto"/>
          <w:kern w:val="0"/>
          <w:sz w:val="32"/>
          <w:szCs w:val="24"/>
        </w:rPr>
        <w:t>辆。</w:t>
      </w:r>
    </w:p>
    <w:p>
      <w:pPr>
        <w:spacing w:beforeLines="0" w:afterLines="0" w:line="590" w:lineRule="exact"/>
        <w:ind w:firstLine="600"/>
        <w:jc w:val="center"/>
        <w:rPr>
          <w:rFonts w:hint="eastAsia" w:ascii="仿宋_GB2312" w:hAnsi="仿宋_GB2312" w:eastAsia="仿宋_GB2312" w:cs="仿宋_GB2312"/>
          <w:b/>
          <w:bCs/>
          <w:color w:val="auto"/>
          <w:kern w:val="0"/>
          <w:sz w:val="44"/>
          <w:szCs w:val="24"/>
          <w:lang w:eastAsia="zh-CN"/>
        </w:rPr>
      </w:pPr>
      <w:r>
        <w:rPr>
          <w:rFonts w:hint="eastAsia" w:ascii="仿宋_GB2312" w:hAnsi="仿宋_GB2312" w:eastAsia="仿宋_GB2312" w:cs="仿宋_GB2312"/>
          <w:b/>
          <w:bCs/>
          <w:color w:val="auto"/>
          <w:kern w:val="0"/>
          <w:sz w:val="44"/>
          <w:szCs w:val="24"/>
          <w:lang w:eastAsia="zh-CN"/>
        </w:rPr>
        <w:t>单位基本情况</w:t>
      </w:r>
    </w:p>
    <w:p>
      <w:pPr>
        <w:spacing w:beforeLines="0" w:afterLines="0" w:line="590" w:lineRule="exact"/>
        <w:ind w:firstLine="600"/>
        <w:rPr>
          <w:rFonts w:hint="eastAsia" w:ascii="仿宋" w:hAnsi="仿宋" w:eastAsia="仿宋"/>
          <w:color w:val="auto"/>
          <w:kern w:val="0"/>
          <w:sz w:val="32"/>
          <w:szCs w:val="24"/>
          <w:lang w:val="en-US" w:eastAsia="zh-CN"/>
        </w:rPr>
      </w:pPr>
      <w:r>
        <w:rPr>
          <w:rFonts w:hint="eastAsia" w:ascii="仿宋" w:hAnsi="仿宋" w:eastAsia="仿宋"/>
          <w:color w:val="auto"/>
          <w:kern w:val="0"/>
          <w:sz w:val="32"/>
          <w:szCs w:val="24"/>
          <w:lang w:val="en-US" w:eastAsia="zh-CN"/>
        </w:rPr>
        <w:t xml:space="preserve">                       </w:t>
      </w:r>
      <w:r>
        <w:rPr>
          <w:rFonts w:hint="eastAsia" w:ascii="仿宋" w:hAnsi="仿宋" w:eastAsia="仿宋"/>
          <w:color w:val="auto"/>
          <w:kern w:val="0"/>
          <w:sz w:val="28"/>
          <w:szCs w:val="24"/>
          <w:lang w:val="en-US" w:eastAsia="zh-CN"/>
        </w:rPr>
        <w:t xml:space="preserve">      单位：人、张、人次、平方米</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652"/>
        <w:gridCol w:w="626"/>
        <w:gridCol w:w="1143"/>
        <w:gridCol w:w="863"/>
        <w:gridCol w:w="668"/>
        <w:gridCol w:w="765"/>
        <w:gridCol w:w="846"/>
        <w:gridCol w:w="781"/>
        <w:gridCol w:w="951"/>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编制</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职工</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在编</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在岗</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职工</w:t>
            </w:r>
          </w:p>
        </w:tc>
        <w:tc>
          <w:tcPr>
            <w:tcW w:w="6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临聘</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人员</w:t>
            </w:r>
          </w:p>
        </w:tc>
        <w:tc>
          <w:tcPr>
            <w:tcW w:w="114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其中：卫生专业技术人员</w:t>
            </w:r>
          </w:p>
        </w:tc>
        <w:tc>
          <w:tcPr>
            <w:tcW w:w="8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其中：公共卫生人员</w:t>
            </w:r>
          </w:p>
        </w:tc>
        <w:tc>
          <w:tcPr>
            <w:tcW w:w="6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编制</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床位</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实际开放床位</w:t>
            </w:r>
          </w:p>
        </w:tc>
        <w:tc>
          <w:tcPr>
            <w:tcW w:w="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门诊</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人次</w:t>
            </w:r>
          </w:p>
        </w:tc>
        <w:tc>
          <w:tcPr>
            <w:tcW w:w="78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住院人次</w:t>
            </w: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建筑</w:t>
            </w:r>
          </w:p>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面积</w:t>
            </w: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1"/>
                <w:szCs w:val="24"/>
                <w:lang w:eastAsia="zh-CN"/>
              </w:rPr>
            </w:pPr>
            <w:r>
              <w:rPr>
                <w:rFonts w:hint="eastAsia" w:ascii="仿宋_GB2312" w:hAnsi="仿宋_GB2312" w:eastAsia="仿宋_GB2312" w:cs="仿宋_GB2312"/>
                <w:color w:val="auto"/>
                <w:kern w:val="0"/>
                <w:sz w:val="21"/>
                <w:szCs w:val="24"/>
                <w:lang w:eastAsia="zh-CN"/>
              </w:rPr>
              <w:t>其中：业务用房面积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default" w:ascii="Times New Roman" w:hAnsi="Times New Roman" w:eastAsia="仿宋" w:cs="Times New Roman"/>
                <w:color w:val="auto"/>
                <w:kern w:val="0"/>
                <w:sz w:val="21"/>
                <w:szCs w:val="24"/>
                <w:lang w:val="en-US" w:eastAsia="zh-CN"/>
              </w:rPr>
              <w:t>63</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default" w:ascii="Times New Roman" w:hAnsi="Times New Roman" w:eastAsia="仿宋" w:cs="Times New Roman"/>
                <w:color w:val="auto"/>
                <w:kern w:val="0"/>
                <w:sz w:val="21"/>
                <w:szCs w:val="24"/>
                <w:lang w:val="en-US" w:eastAsia="zh-CN"/>
              </w:rPr>
              <w:t>60</w:t>
            </w:r>
          </w:p>
        </w:tc>
        <w:tc>
          <w:tcPr>
            <w:tcW w:w="6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default" w:ascii="Times New Roman" w:hAnsi="Times New Roman" w:eastAsia="仿宋" w:cs="Times New Roman"/>
                <w:color w:val="auto"/>
                <w:kern w:val="0"/>
                <w:sz w:val="21"/>
                <w:szCs w:val="24"/>
                <w:lang w:val="en-US" w:eastAsia="zh-CN"/>
              </w:rPr>
              <w:t>84</w:t>
            </w:r>
          </w:p>
        </w:tc>
        <w:tc>
          <w:tcPr>
            <w:tcW w:w="114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default" w:ascii="Times New Roman" w:hAnsi="Times New Roman" w:eastAsia="仿宋" w:cs="Times New Roman"/>
                <w:color w:val="auto"/>
                <w:kern w:val="0"/>
                <w:sz w:val="21"/>
                <w:szCs w:val="24"/>
                <w:lang w:val="en-US" w:eastAsia="zh-CN"/>
              </w:rPr>
              <w:t>131</w:t>
            </w:r>
          </w:p>
        </w:tc>
        <w:tc>
          <w:tcPr>
            <w:tcW w:w="8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default" w:ascii="Times New Roman" w:hAnsi="Times New Roman" w:eastAsia="仿宋" w:cs="Times New Roman"/>
                <w:color w:val="auto"/>
                <w:kern w:val="0"/>
                <w:sz w:val="21"/>
                <w:szCs w:val="24"/>
                <w:lang w:val="en-US" w:eastAsia="zh-CN"/>
              </w:rPr>
              <w:t>19</w:t>
            </w:r>
          </w:p>
        </w:tc>
        <w:tc>
          <w:tcPr>
            <w:tcW w:w="6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default" w:ascii="Times New Roman" w:hAnsi="Times New Roman" w:eastAsia="仿宋" w:cs="Times New Roman"/>
                <w:color w:val="auto"/>
                <w:kern w:val="0"/>
                <w:sz w:val="21"/>
                <w:szCs w:val="24"/>
                <w:lang w:val="en-US" w:eastAsia="zh-CN"/>
              </w:rPr>
              <w:t>74</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default" w:ascii="Times New Roman" w:hAnsi="Times New Roman" w:eastAsia="仿宋" w:cs="Times New Roman"/>
                <w:color w:val="auto"/>
                <w:kern w:val="0"/>
                <w:sz w:val="21"/>
                <w:szCs w:val="24"/>
                <w:lang w:val="en-US" w:eastAsia="zh-CN"/>
              </w:rPr>
              <w:t>103</w:t>
            </w:r>
          </w:p>
        </w:tc>
        <w:tc>
          <w:tcPr>
            <w:tcW w:w="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default" w:ascii="Times New Roman" w:hAnsi="Times New Roman" w:eastAsia="仿宋" w:cs="Times New Roman"/>
                <w:color w:val="auto"/>
                <w:kern w:val="0"/>
                <w:sz w:val="21"/>
                <w:szCs w:val="24"/>
                <w:lang w:val="en-US" w:eastAsia="zh-CN"/>
              </w:rPr>
              <w:t>192525</w:t>
            </w:r>
          </w:p>
        </w:tc>
        <w:tc>
          <w:tcPr>
            <w:tcW w:w="78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default" w:ascii="Times New Roman" w:hAnsi="Times New Roman" w:eastAsia="仿宋" w:cs="Times New Roman"/>
                <w:color w:val="auto"/>
                <w:kern w:val="0"/>
                <w:sz w:val="21"/>
                <w:szCs w:val="24"/>
                <w:lang w:val="en-US" w:eastAsia="zh-CN"/>
              </w:rPr>
              <w:t>5490</w:t>
            </w: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default" w:ascii="Times New Roman" w:hAnsi="Times New Roman" w:eastAsia="仿宋" w:cs="Times New Roman"/>
                <w:color w:val="auto"/>
                <w:kern w:val="0"/>
                <w:sz w:val="21"/>
                <w:szCs w:val="24"/>
                <w:lang w:val="en-US" w:eastAsia="zh-CN"/>
              </w:rPr>
              <w:t>9426.53</w:t>
            </w: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default" w:ascii="Times New Roman" w:hAnsi="Times New Roman" w:eastAsia="仿宋" w:cs="Times New Roman"/>
                <w:color w:val="auto"/>
                <w:kern w:val="0"/>
                <w:sz w:val="21"/>
                <w:szCs w:val="24"/>
                <w:lang w:val="en-US" w:eastAsia="zh-CN"/>
              </w:rPr>
            </w:pPr>
            <w:r>
              <w:rPr>
                <w:rFonts w:hint="eastAsia" w:eastAsia="仿宋" w:cs="Times New Roman"/>
                <w:color w:val="auto"/>
                <w:kern w:val="0"/>
                <w:sz w:val="21"/>
                <w:szCs w:val="24"/>
                <w:lang w:val="en-US" w:eastAsia="zh-CN"/>
              </w:rPr>
              <w:t>5093.39</w:t>
            </w:r>
          </w:p>
        </w:tc>
      </w:tr>
    </w:tbl>
    <w:p>
      <w:pPr>
        <w:spacing w:beforeLines="0" w:afterLines="0" w:line="590" w:lineRule="exact"/>
        <w:ind w:firstLine="2188" w:firstLineChars="684"/>
        <w:jc w:val="left"/>
        <w:rPr>
          <w:rFonts w:hint="default" w:ascii="仿宋" w:hAnsi="仿宋" w:eastAsia="仿宋"/>
          <w:color w:val="0000FF"/>
          <w:kern w:val="0"/>
          <w:sz w:val="32"/>
          <w:szCs w:val="24"/>
          <w:lang w:eastAsia="zh-CN"/>
        </w:rPr>
      </w:pPr>
      <w:r>
        <w:rPr>
          <w:rFonts w:hint="default" w:ascii="Times New Roman" w:hAnsi="Times New Roman" w:eastAsia="仿宋" w:cs="Times New Roman"/>
          <w:color w:val="auto"/>
          <w:kern w:val="0"/>
          <w:sz w:val="32"/>
          <w:szCs w:val="24"/>
          <w:lang w:eastAsia="zh-CN"/>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1" name="Objec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2" o:spid="_x0000_s1026" o:spt="1"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HCX9zwAAAP8AAAAPAAAAAAAAAAEA&#10;IAAAACIAAABkcnMvZG93bnJldi54bWxQSwECFAAUAAAACACHTuJAhMZk+6YBAABnAwAADgAAAAAA&#10;AAABACAAAAAeAQAAZHJzL2Uyb0RvYy54bWxQSwUGAAAAAAYABgBZAQAANgUAAAAA&#10;">
                <v:fill on="f" focussize="0,0"/>
                <v:stroke on="f"/>
                <v:imagedata o:title=""/>
                <o:lock v:ext="edit" aspectratio="t"/>
              </v:rect>
            </w:pict>
          </mc:Fallback>
        </mc:AlternateContent>
      </w:r>
      <w:r>
        <w:rPr>
          <w:rFonts w:hint="default" w:ascii="Times New Roman" w:hAnsi="Times New Roman" w:eastAsia="仿宋" w:cs="Times New Roman"/>
          <w:color w:val="auto"/>
          <w:kern w:val="0"/>
          <w:sz w:val="32"/>
          <w:szCs w:val="24"/>
          <w:lang w:eastAsia="zh-CN"/>
        </w:rPr>
        <mc:AlternateContent>
          <mc:Choice Requires="wps">
            <w:drawing>
              <wp:inline distT="0" distB="0" distL="114300" distR="114300">
                <wp:extent cx="635" cy="0"/>
                <wp:effectExtent l="0" t="0" r="0" b="0"/>
                <wp:docPr id="8"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图片 1"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ME2uLLIB&#10;AABnAwAADgAAAAAAAAABACAAAAAeAQAAZHJzL2Uyb0RvYy54bWxQSwUGAAAAAAYABgBZAQAAQgUA&#10;AAAA&#10;">
                <v:fill on="f" focussize="0,0"/>
                <v:stroke on="f"/>
                <v:imagedata o:title=""/>
                <o:lock v:ext="edit" aspectratio="t"/>
                <w10:wrap type="none"/>
                <w10:anchorlock/>
              </v:rect>
            </w:pict>
          </mc:Fallback>
        </mc:AlternateContent>
      </w:r>
      <w:r>
        <w:rPr>
          <w:rFonts w:hint="default" w:ascii="仿宋" w:hAnsi="仿宋" w:eastAsia="仿宋"/>
          <w:color w:val="0000FF"/>
          <w:kern w:val="0"/>
          <w:sz w:val="32"/>
          <w:szCs w:val="24"/>
          <w:lang w:eastAsia="zh-CN"/>
        </w:rP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635" cy="0"/>
                <wp:effectExtent l="0" t="0" r="0" b="0"/>
                <wp:wrapNone/>
                <wp:docPr id="2" name="Objec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3" o:spid="_x0000_s1026" o:spt="1" style="position:absolute;left:0pt;margin-left:0pt;margin-top:0pt;height:0pt;width:0.05pt;mso-position-horizontal-relative:page;mso-position-vertical-relative:page;z-index:251661312;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CPx8xNqAEAAGcDAAAOAAAA&#10;AAAAAAEAIAAAAB4BAABkcnMvZTJvRG9jLnhtbFBLBQYAAAAABgAGAFkBAAA4BQAAAAA=&#10;">
                <v:fill on="f" focussize="0,0"/>
                <v:stroke on="f"/>
                <v:imagedata o:title=""/>
                <o:lock v:ext="edit" aspectratio="t"/>
              </v:rect>
            </w:pict>
          </mc:Fallback>
        </mc:AlternateContent>
      </w:r>
    </w:p>
    <w:p>
      <w:pPr>
        <w:numPr>
          <w:ilvl w:val="0"/>
          <w:numId w:val="1"/>
        </w:numPr>
        <w:spacing w:beforeLines="0" w:afterLines="0" w:line="590" w:lineRule="exact"/>
        <w:jc w:val="center"/>
        <w:rPr>
          <w:rFonts w:hint="eastAsia" w:ascii="黑体" w:hAnsi="黑体" w:eastAsia="黑体"/>
          <w:color w:val="auto"/>
          <w:sz w:val="32"/>
          <w:szCs w:val="24"/>
        </w:rPr>
      </w:pPr>
      <w:r>
        <w:rPr>
          <w:rFonts w:hint="default" w:ascii="仿宋" w:hAnsi="仿宋" w:eastAsia="仿宋"/>
          <w:color w:val="0000FF"/>
          <w:kern w:val="0"/>
          <w:sz w:val="32"/>
          <w:szCs w:val="24"/>
          <w:lang w:eastAsia="zh-CN"/>
        </w:rPr>
        <mc:AlternateContent>
          <mc:Choice Requires="wps">
            <w:drawing>
              <wp:anchor distT="0" distB="0" distL="114300" distR="114300" simplePos="0" relativeHeight="251662336" behindDoc="0" locked="0" layoutInCell="1" allowOverlap="1">
                <wp:simplePos x="0" y="0"/>
                <wp:positionH relativeFrom="page">
                  <wp:posOffset>0</wp:posOffset>
                </wp:positionH>
                <wp:positionV relativeFrom="page">
                  <wp:posOffset>0</wp:posOffset>
                </wp:positionV>
                <wp:extent cx="635" cy="0"/>
                <wp:effectExtent l="0" t="0" r="0" b="0"/>
                <wp:wrapNone/>
                <wp:docPr id="3" name="Object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4" o:spid="_x0000_s1026" o:spt="1" style="position:absolute;left:0pt;margin-left:0pt;margin-top:0pt;height:0pt;width:0.05pt;mso-position-horizontal-relative:page;mso-position-vertical-relative:page;z-index:251662336;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DE5i9kqAEAAGcDAAAOAAAA&#10;AAAAAAEAIAAAAB4BAABkcnMvZTJvRG9jLnhtbFBLBQYAAAAABgAGAFkBAAA4BQAAAAA=&#10;">
                <v:fill on="f" focussize="0,0"/>
                <v:stroke on="f"/>
                <v:imagedata o:title=""/>
                <o:lock v:ext="edit" aspectratio="t"/>
              </v:rect>
            </w:pict>
          </mc:Fallback>
        </mc:AlternateContent>
      </w:r>
      <w:r>
        <w:rPr>
          <w:rFonts w:hint="default" w:ascii="仿宋" w:hAnsi="仿宋" w:eastAsia="仿宋"/>
          <w:color w:val="0000FF"/>
          <w:kern w:val="0"/>
          <w:sz w:val="32"/>
          <w:szCs w:val="24"/>
          <w:lang w:eastAsia="zh-CN"/>
        </w:rPr>
        <mc:AlternateContent>
          <mc:Choice Requires="wps">
            <w:drawing>
              <wp:anchor distT="0" distB="0" distL="114300" distR="114300" simplePos="0" relativeHeight="251663360" behindDoc="0" locked="0" layoutInCell="1" allowOverlap="1">
                <wp:simplePos x="0" y="0"/>
                <wp:positionH relativeFrom="page">
                  <wp:posOffset>0</wp:posOffset>
                </wp:positionH>
                <wp:positionV relativeFrom="page">
                  <wp:posOffset>0</wp:posOffset>
                </wp:positionV>
                <wp:extent cx="635" cy="0"/>
                <wp:effectExtent l="0" t="0" r="0" b="0"/>
                <wp:wrapNone/>
                <wp:docPr id="4" name="Object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5" o:spid="_x0000_s1026" o:spt="1" style="position:absolute;left:0pt;margin-left:0pt;margin-top:0pt;height:0pt;width:0.05pt;mso-position-horizontal-relative:page;mso-position-vertical-relative:page;z-index:251663360;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CzcqudqAEAAGcDAAAOAAAA&#10;AAAAAAEAIAAAAB4BAABkcnMvZTJvRG9jLnhtbFBLBQYAAAAABgAGAFkBAAA4BQAAAAA=&#10;">
                <v:fill on="f" focussize="0,0"/>
                <v:stroke on="f"/>
                <v:imagedata o:title=""/>
                <o:lock v:ext="edit" aspectratio="t"/>
              </v:rect>
            </w:pict>
          </mc:Fallback>
        </mc:AlternateContent>
      </w:r>
      <w:r>
        <w:rPr>
          <w:rFonts w:hint="default" w:ascii="仿宋" w:hAnsi="仿宋" w:eastAsia="仿宋"/>
          <w:color w:val="0000FF"/>
          <w:kern w:val="0"/>
          <w:sz w:val="32"/>
          <w:szCs w:val="24"/>
          <w:lang w:eastAsia="zh-CN"/>
        </w:rPr>
        <mc:AlternateContent>
          <mc:Choice Requires="wps">
            <w:drawing>
              <wp:anchor distT="0" distB="0" distL="114300" distR="114300" simplePos="0" relativeHeight="251664384" behindDoc="0" locked="0" layoutInCell="1" allowOverlap="1">
                <wp:simplePos x="0" y="0"/>
                <wp:positionH relativeFrom="page">
                  <wp:posOffset>0</wp:posOffset>
                </wp:positionH>
                <wp:positionV relativeFrom="page">
                  <wp:posOffset>0</wp:posOffset>
                </wp:positionV>
                <wp:extent cx="635" cy="0"/>
                <wp:effectExtent l="0" t="0" r="0" b="0"/>
                <wp:wrapNone/>
                <wp:docPr id="5" name="Object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6" o:spid="_x0000_s1026" o:spt="1" style="position:absolute;left:0pt;margin-left:0pt;margin-top:0pt;height:0pt;width:0.05pt;mso-position-horizontal-relative:page;mso-position-vertical-relative:page;z-index:251664384;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hwl/c8AAAD/AAAADwAAAAAAAAAB&#10;ACAAAAAiAAAAZHJzL2Rvd25yZXYueG1sUEsBAhQAFAAAAAgAh07iQJPiDtKnAQAAZwMAAA4AAAAA&#10;AAAAAQAgAAAAHgEAAGRycy9lMm9Eb2MueG1sUEsFBgAAAAAGAAYAWQEAADcFAAAAAA==&#10;">
                <v:fill on="f" focussize="0,0"/>
                <v:stroke on="f"/>
                <v:imagedata o:title=""/>
                <o:lock v:ext="edit" aspectratio="t"/>
              </v:rect>
            </w:pict>
          </mc:Fallback>
        </mc:AlternateContent>
      </w:r>
      <w:r>
        <w:rPr>
          <w:rFonts w:hint="default" w:ascii="仿宋" w:hAnsi="仿宋" w:eastAsia="仿宋"/>
          <w:color w:val="0000FF"/>
          <w:kern w:val="0"/>
          <w:sz w:val="32"/>
          <w:szCs w:val="24"/>
          <w:lang w:eastAsia="zh-CN"/>
        </w:rPr>
        <mc:AlternateContent>
          <mc:Choice Requires="wps">
            <w:drawing>
              <wp:anchor distT="0" distB="0" distL="114300" distR="114300" simplePos="0" relativeHeight="251665408" behindDoc="0" locked="0" layoutInCell="1" allowOverlap="1">
                <wp:simplePos x="0" y="0"/>
                <wp:positionH relativeFrom="page">
                  <wp:posOffset>0</wp:posOffset>
                </wp:positionH>
                <wp:positionV relativeFrom="page">
                  <wp:posOffset>0</wp:posOffset>
                </wp:positionV>
                <wp:extent cx="635" cy="0"/>
                <wp:effectExtent l="0" t="0" r="0" b="0"/>
                <wp:wrapNone/>
                <wp:docPr id="6" name="Object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7" o:spid="_x0000_s1026" o:spt="1" style="position:absolute;left:0pt;margin-left:0pt;margin-top:0pt;height:0pt;width:0.05pt;mso-position-horizontal-relative:page;mso-position-vertical-relative:page;z-index:251665408;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CY46ZkqAEAAGcDAAAOAAAA&#10;AAAAAAEAIAAAAB4BAABkcnMvZTJvRG9jLnhtbFBLBQYAAAAABgAGAFkBAAA4BQAAAAA=&#10;">
                <v:fill on="f" focussize="0,0"/>
                <v:stroke on="f"/>
                <v:imagedata o:title=""/>
                <o:lock v:ext="edit" aspectratio="t"/>
              </v:rect>
            </w:pict>
          </mc:Fallback>
        </mc:AlternateContent>
      </w:r>
      <w:r>
        <w:rPr>
          <w:rFonts w:hint="eastAsia" w:ascii="黑体" w:hAnsi="黑体" w:eastAsia="黑体"/>
          <w:color w:val="auto"/>
          <w:sz w:val="32"/>
          <w:szCs w:val="24"/>
        </w:rPr>
        <w:t>2020年度部门决算表</w:t>
      </w:r>
    </w:p>
    <w:p>
      <w:pPr>
        <w:numPr>
          <w:ilvl w:val="0"/>
          <w:numId w:val="0"/>
        </w:numPr>
        <w:spacing w:beforeLines="0" w:afterLines="0" w:line="590" w:lineRule="exact"/>
        <w:jc w:val="center"/>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（详见附件）</w:t>
      </w:r>
    </w:p>
    <w:p>
      <w:pPr>
        <w:spacing w:beforeLines="0" w:afterLines="0" w:line="590" w:lineRule="exact"/>
        <w:jc w:val="center"/>
        <w:rPr>
          <w:rFonts w:hint="default" w:eastAsia="Times New Roman"/>
          <w:color w:val="auto"/>
          <w:sz w:val="32"/>
          <w:szCs w:val="24"/>
        </w:rPr>
      </w:pPr>
      <w:r>
        <w:rPr>
          <w:rFonts w:hint="eastAsia" w:ascii="黑体" w:hAnsi="黑体" w:eastAsia="黑体"/>
          <w:color w:val="auto"/>
          <w:sz w:val="32"/>
          <w:szCs w:val="24"/>
        </w:rPr>
        <w:t>第三部分  2020年度部门决算情况说明</w:t>
      </w:r>
    </w:p>
    <w:p>
      <w:pPr>
        <w:spacing w:beforeLines="0" w:afterLines="0" w:line="590" w:lineRule="exact"/>
        <w:ind w:firstLine="600"/>
        <w:jc w:val="left"/>
        <w:rPr>
          <w:rFonts w:hint="eastAsia" w:ascii="楷体" w:hAnsi="楷体" w:eastAsia="楷体" w:cs="楷体"/>
          <w:color w:val="auto"/>
          <w:sz w:val="32"/>
          <w:szCs w:val="24"/>
        </w:rPr>
      </w:pPr>
      <w:r>
        <w:rPr>
          <w:rFonts w:hint="eastAsia" w:ascii="楷体" w:hAnsi="楷体" w:eastAsia="楷体" w:cs="楷体"/>
          <w:color w:val="auto"/>
          <w:sz w:val="32"/>
          <w:szCs w:val="24"/>
        </w:rPr>
        <w:t>一、收入决算情况说明</w:t>
      </w:r>
    </w:p>
    <w:p>
      <w:pPr>
        <w:spacing w:beforeLines="0" w:afterLines="0" w:line="590" w:lineRule="exact"/>
        <w:ind w:firstLine="600"/>
        <w:jc w:val="left"/>
        <w:rPr>
          <w:rFonts w:hint="eastAsia"/>
          <w:color w:val="auto"/>
          <w:lang w:val="en-US" w:eastAsia="zh-CN"/>
        </w:rPr>
      </w:pPr>
      <w:r>
        <w:rPr>
          <w:rFonts w:hint="eastAsia" w:ascii="仿宋_GB2312" w:hAnsi="仿宋_GB2312" w:eastAsia="仿宋_GB2312" w:cs="仿宋_GB2312"/>
          <w:color w:val="auto"/>
          <w:sz w:val="32"/>
          <w:szCs w:val="24"/>
        </w:rPr>
        <w:t>芒市遮放镇中心卫生院</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年度收入合计</w:t>
      </w:r>
      <w:r>
        <w:rPr>
          <w:rFonts w:hint="default" w:ascii="Times New Roman" w:hAnsi="Times New Roman" w:eastAsia="仿宋_GB2312" w:cs="Times New Roman"/>
          <w:color w:val="auto"/>
          <w:sz w:val="32"/>
          <w:szCs w:val="24"/>
        </w:rPr>
        <w:t>2789.03</w:t>
      </w:r>
      <w:r>
        <w:rPr>
          <w:rFonts w:hint="eastAsia" w:ascii="仿宋_GB2312" w:hAnsi="仿宋_GB2312" w:eastAsia="仿宋_GB2312" w:cs="仿宋_GB2312"/>
          <w:color w:val="auto"/>
          <w:sz w:val="32"/>
          <w:szCs w:val="24"/>
        </w:rPr>
        <w:t>万元。其中：财政拨款收入</w:t>
      </w:r>
      <w:r>
        <w:rPr>
          <w:rFonts w:hint="default" w:ascii="Times New Roman" w:hAnsi="Times New Roman" w:eastAsia="仿宋_GB2312" w:cs="Times New Roman"/>
          <w:color w:val="auto"/>
          <w:sz w:val="32"/>
          <w:szCs w:val="24"/>
        </w:rPr>
        <w:t>1071.4</w:t>
      </w:r>
      <w:r>
        <w:rPr>
          <w:rFonts w:hint="eastAsia" w:ascii="仿宋_GB2312" w:hAnsi="仿宋_GB2312" w:eastAsia="仿宋_GB2312" w:cs="仿宋_GB2312"/>
          <w:color w:val="auto"/>
          <w:sz w:val="32"/>
          <w:szCs w:val="24"/>
        </w:rPr>
        <w:t>万元，占总收入的</w:t>
      </w:r>
      <w:r>
        <w:rPr>
          <w:rFonts w:hint="default" w:ascii="Times New Roman" w:hAnsi="Times New Roman" w:eastAsia="仿宋_GB2312" w:cs="Times New Roman"/>
          <w:color w:val="auto"/>
          <w:sz w:val="32"/>
          <w:szCs w:val="24"/>
        </w:rPr>
        <w:t>38.41%</w:t>
      </w:r>
      <w:r>
        <w:rPr>
          <w:rFonts w:hint="eastAsia" w:ascii="仿宋_GB2312" w:hAnsi="仿宋_GB2312" w:eastAsia="仿宋_GB2312" w:cs="仿宋_GB2312"/>
          <w:color w:val="auto"/>
          <w:sz w:val="32"/>
          <w:szCs w:val="24"/>
        </w:rPr>
        <w:t>；上级补助收入</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万元，占总收入的</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；事业收入</w:t>
      </w:r>
      <w:r>
        <w:rPr>
          <w:rFonts w:hint="default" w:ascii="Times New Roman" w:hAnsi="Times New Roman" w:eastAsia="仿宋_GB2312" w:cs="Times New Roman"/>
          <w:color w:val="auto"/>
          <w:sz w:val="32"/>
          <w:szCs w:val="24"/>
        </w:rPr>
        <w:t>1667.91</w:t>
      </w:r>
      <w:r>
        <w:rPr>
          <w:rFonts w:hint="eastAsia" w:ascii="仿宋_GB2312" w:hAnsi="仿宋_GB2312" w:eastAsia="仿宋_GB2312" w:cs="仿宋_GB2312"/>
          <w:color w:val="auto"/>
          <w:sz w:val="32"/>
          <w:szCs w:val="24"/>
        </w:rPr>
        <w:t>万元，占总收入的</w:t>
      </w:r>
      <w:r>
        <w:rPr>
          <w:rFonts w:hint="default" w:ascii="Times New Roman" w:hAnsi="Times New Roman" w:eastAsia="仿宋_GB2312" w:cs="Times New Roman"/>
          <w:color w:val="auto"/>
          <w:sz w:val="32"/>
          <w:szCs w:val="24"/>
        </w:rPr>
        <w:t>59.8%</w:t>
      </w:r>
      <w:r>
        <w:rPr>
          <w:rFonts w:hint="eastAsia" w:ascii="仿宋_GB2312" w:hAnsi="仿宋_GB2312" w:eastAsia="仿宋_GB2312" w:cs="仿宋_GB2312"/>
          <w:color w:val="auto"/>
          <w:sz w:val="32"/>
          <w:szCs w:val="24"/>
        </w:rPr>
        <w:t>；经营收入</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万元，占总收入的</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；附属单位缴款收入</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万元，占总收入的</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；其他收入</w:t>
      </w:r>
      <w:r>
        <w:rPr>
          <w:rFonts w:hint="default" w:ascii="Times New Roman" w:hAnsi="Times New Roman" w:eastAsia="仿宋_GB2312" w:cs="Times New Roman"/>
          <w:color w:val="auto"/>
          <w:sz w:val="32"/>
          <w:szCs w:val="24"/>
        </w:rPr>
        <w:t>49.72</w:t>
      </w:r>
      <w:r>
        <w:rPr>
          <w:rFonts w:hint="eastAsia" w:ascii="仿宋_GB2312" w:hAnsi="仿宋_GB2312" w:eastAsia="仿宋_GB2312" w:cs="仿宋_GB2312"/>
          <w:color w:val="auto"/>
          <w:sz w:val="32"/>
          <w:szCs w:val="24"/>
        </w:rPr>
        <w:t>万元，占总收入的</w:t>
      </w:r>
      <w:r>
        <w:rPr>
          <w:rFonts w:hint="default" w:ascii="Times New Roman" w:hAnsi="Times New Roman" w:eastAsia="仿宋_GB2312" w:cs="Times New Roman"/>
          <w:color w:val="auto"/>
          <w:sz w:val="32"/>
          <w:szCs w:val="24"/>
        </w:rPr>
        <w:t>1.78%</w:t>
      </w:r>
      <w:r>
        <w:rPr>
          <w:rFonts w:hint="eastAsia" w:ascii="仿宋_GB2312" w:hAnsi="仿宋_GB2312" w:eastAsia="仿宋_GB2312" w:cs="仿宋_GB2312"/>
          <w:color w:val="auto"/>
          <w:sz w:val="32"/>
          <w:szCs w:val="24"/>
        </w:rPr>
        <w:t>。</w:t>
      </w:r>
      <w:r>
        <w:rPr>
          <w:color w:val="auto"/>
        </w:rPr>
        <w:drawing>
          <wp:anchor distT="0" distB="0" distL="114300" distR="114300" simplePos="0" relativeHeight="251667456" behindDoc="0" locked="0" layoutInCell="1" allowOverlap="1">
            <wp:simplePos x="0" y="0"/>
            <wp:positionH relativeFrom="column">
              <wp:posOffset>252095</wp:posOffset>
            </wp:positionH>
            <wp:positionV relativeFrom="paragraph">
              <wp:posOffset>8890</wp:posOffset>
            </wp:positionV>
            <wp:extent cx="5108575" cy="3866515"/>
            <wp:effectExtent l="4445" t="4445" r="11430" b="15240"/>
            <wp:wrapSquare wrapText="bothSides"/>
            <wp:docPr id="2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color w:val="auto"/>
          <w:lang w:val="en-US" w:eastAsia="zh-CN"/>
        </w:rPr>
        <w:t xml:space="preserve"> </w:t>
      </w:r>
    </w:p>
    <w:p>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年度收入合计</w:t>
      </w:r>
      <w:r>
        <w:rPr>
          <w:rFonts w:hint="default" w:ascii="Times New Roman" w:hAnsi="Times New Roman" w:eastAsia="仿宋_GB2312" w:cs="Times New Roman"/>
          <w:color w:val="auto"/>
          <w:sz w:val="32"/>
          <w:szCs w:val="24"/>
          <w:lang w:val="en-US" w:eastAsia="zh-CN"/>
        </w:rPr>
        <w:t>2789.03</w:t>
      </w:r>
      <w:r>
        <w:rPr>
          <w:rFonts w:hint="eastAsia" w:ascii="仿宋_GB2312" w:hAnsi="仿宋_GB2312" w:eastAsia="仿宋_GB2312" w:cs="仿宋_GB2312"/>
          <w:color w:val="auto"/>
          <w:sz w:val="32"/>
          <w:szCs w:val="24"/>
          <w:lang w:val="en-US" w:eastAsia="zh-CN"/>
        </w:rPr>
        <w:t>万元，与上年相比减少</w:t>
      </w:r>
      <w:r>
        <w:rPr>
          <w:rFonts w:hint="default" w:ascii="Times New Roman" w:hAnsi="Times New Roman" w:eastAsia="仿宋_GB2312" w:cs="Times New Roman"/>
          <w:color w:val="auto"/>
          <w:sz w:val="32"/>
          <w:szCs w:val="24"/>
          <w:lang w:val="en-US" w:eastAsia="zh-CN"/>
        </w:rPr>
        <w:t>274.36</w:t>
      </w:r>
      <w:r>
        <w:rPr>
          <w:rFonts w:hint="eastAsia" w:ascii="仿宋_GB2312" w:hAnsi="仿宋_GB2312" w:eastAsia="仿宋_GB2312" w:cs="仿宋_GB2312"/>
          <w:color w:val="auto"/>
          <w:sz w:val="32"/>
          <w:szCs w:val="24"/>
          <w:lang w:val="en-US" w:eastAsia="zh-CN"/>
        </w:rPr>
        <w:t>，下降</w:t>
      </w:r>
      <w:r>
        <w:rPr>
          <w:rFonts w:hint="default" w:ascii="Times New Roman" w:hAnsi="Times New Roman" w:eastAsia="仿宋_GB2312" w:cs="Times New Roman"/>
          <w:color w:val="auto"/>
          <w:sz w:val="32"/>
          <w:szCs w:val="24"/>
          <w:lang w:val="en-US" w:eastAsia="zh-CN"/>
        </w:rPr>
        <w:t>8.96%</w:t>
      </w:r>
      <w:r>
        <w:rPr>
          <w:rFonts w:hint="eastAsia" w:ascii="仿宋_GB2312" w:hAnsi="仿宋_GB2312" w:eastAsia="仿宋_GB2312" w:cs="仿宋_GB2312"/>
          <w:color w:val="auto"/>
          <w:sz w:val="32"/>
          <w:szCs w:val="24"/>
          <w:lang w:val="en-US" w:eastAsia="zh-CN"/>
        </w:rPr>
        <w:t>；其中：财政拨款收入</w:t>
      </w:r>
      <w:r>
        <w:rPr>
          <w:rFonts w:hint="default" w:ascii="Times New Roman" w:hAnsi="Times New Roman" w:eastAsia="仿宋_GB2312" w:cs="Times New Roman"/>
          <w:color w:val="auto"/>
          <w:sz w:val="32"/>
          <w:szCs w:val="24"/>
          <w:lang w:val="en-US" w:eastAsia="zh-CN"/>
        </w:rPr>
        <w:t>1071.4</w:t>
      </w:r>
      <w:r>
        <w:rPr>
          <w:rFonts w:hint="eastAsia" w:ascii="仿宋_GB2312" w:hAnsi="仿宋_GB2312" w:eastAsia="仿宋_GB2312" w:cs="仿宋_GB2312"/>
          <w:color w:val="auto"/>
          <w:sz w:val="32"/>
          <w:szCs w:val="24"/>
          <w:lang w:val="en-US" w:eastAsia="zh-CN"/>
        </w:rPr>
        <w:t>万元，与上年相比减少</w:t>
      </w:r>
      <w:r>
        <w:rPr>
          <w:rFonts w:hint="default" w:ascii="Times New Roman" w:hAnsi="Times New Roman" w:eastAsia="仿宋_GB2312" w:cs="Times New Roman"/>
          <w:color w:val="auto"/>
          <w:sz w:val="32"/>
          <w:szCs w:val="24"/>
          <w:lang w:val="en-US" w:eastAsia="zh-CN"/>
        </w:rPr>
        <w:t>125.48</w:t>
      </w:r>
      <w:r>
        <w:rPr>
          <w:rFonts w:hint="eastAsia" w:ascii="仿宋_GB2312" w:hAnsi="仿宋_GB2312" w:eastAsia="仿宋_GB2312" w:cs="仿宋_GB2312"/>
          <w:color w:val="auto"/>
          <w:sz w:val="32"/>
          <w:szCs w:val="24"/>
          <w:lang w:val="en-US" w:eastAsia="zh-CN"/>
        </w:rPr>
        <w:t>万元，下降</w:t>
      </w:r>
      <w:r>
        <w:rPr>
          <w:rFonts w:hint="default" w:ascii="Times New Roman" w:hAnsi="Times New Roman" w:eastAsia="仿宋_GB2312" w:cs="Times New Roman"/>
          <w:color w:val="auto"/>
          <w:sz w:val="32"/>
          <w:szCs w:val="24"/>
          <w:lang w:val="en-US" w:eastAsia="zh-CN"/>
        </w:rPr>
        <w:t>10.48%</w:t>
      </w:r>
      <w:r>
        <w:rPr>
          <w:rFonts w:hint="eastAsia" w:ascii="仿宋_GB2312" w:hAnsi="仿宋_GB2312" w:eastAsia="仿宋_GB2312" w:cs="仿宋_GB2312"/>
          <w:color w:val="auto"/>
          <w:sz w:val="32"/>
          <w:szCs w:val="24"/>
          <w:lang w:val="en-US" w:eastAsia="zh-CN"/>
        </w:rPr>
        <w:t>；事业收入</w:t>
      </w:r>
      <w:r>
        <w:rPr>
          <w:rFonts w:hint="default" w:ascii="Times New Roman" w:hAnsi="Times New Roman" w:eastAsia="仿宋_GB2312" w:cs="Times New Roman"/>
          <w:color w:val="auto"/>
          <w:sz w:val="32"/>
          <w:szCs w:val="24"/>
          <w:lang w:val="en-US" w:eastAsia="zh-CN"/>
        </w:rPr>
        <w:t>1667.91</w:t>
      </w:r>
      <w:r>
        <w:rPr>
          <w:rFonts w:hint="eastAsia" w:ascii="仿宋_GB2312" w:hAnsi="仿宋_GB2312" w:eastAsia="仿宋_GB2312" w:cs="仿宋_GB2312"/>
          <w:color w:val="auto"/>
          <w:sz w:val="32"/>
          <w:szCs w:val="24"/>
          <w:lang w:val="en-US" w:eastAsia="zh-CN"/>
        </w:rPr>
        <w:t>万元，与上年相比减少</w:t>
      </w:r>
      <w:r>
        <w:rPr>
          <w:rFonts w:hint="default" w:ascii="Times New Roman" w:hAnsi="Times New Roman" w:eastAsia="仿宋_GB2312" w:cs="Times New Roman"/>
          <w:color w:val="auto"/>
          <w:sz w:val="32"/>
          <w:szCs w:val="24"/>
          <w:lang w:val="en-US" w:eastAsia="zh-CN"/>
        </w:rPr>
        <w:t>174.12</w:t>
      </w:r>
      <w:r>
        <w:rPr>
          <w:rFonts w:hint="eastAsia" w:ascii="仿宋_GB2312" w:hAnsi="仿宋_GB2312" w:eastAsia="仿宋_GB2312" w:cs="仿宋_GB2312"/>
          <w:color w:val="auto"/>
          <w:sz w:val="32"/>
          <w:szCs w:val="24"/>
          <w:lang w:val="en-US" w:eastAsia="zh-CN"/>
        </w:rPr>
        <w:t>万元，下降</w:t>
      </w:r>
      <w:r>
        <w:rPr>
          <w:rFonts w:hint="default" w:ascii="Times New Roman" w:hAnsi="Times New Roman" w:eastAsia="仿宋_GB2312" w:cs="Times New Roman"/>
          <w:color w:val="auto"/>
          <w:sz w:val="32"/>
          <w:szCs w:val="24"/>
          <w:lang w:val="en-US" w:eastAsia="zh-CN"/>
        </w:rPr>
        <w:t>9.45%</w:t>
      </w:r>
      <w:r>
        <w:rPr>
          <w:rFonts w:hint="eastAsia" w:ascii="仿宋_GB2312" w:hAnsi="仿宋_GB2312" w:eastAsia="仿宋_GB2312" w:cs="仿宋_GB2312"/>
          <w:color w:val="auto"/>
          <w:sz w:val="32"/>
          <w:szCs w:val="24"/>
          <w:lang w:val="en-US" w:eastAsia="zh-CN"/>
        </w:rPr>
        <w:t>；其他收入</w:t>
      </w:r>
      <w:r>
        <w:rPr>
          <w:rFonts w:hint="default" w:ascii="Times New Roman" w:hAnsi="Times New Roman" w:eastAsia="仿宋_GB2312" w:cs="Times New Roman"/>
          <w:color w:val="auto"/>
          <w:sz w:val="32"/>
          <w:szCs w:val="24"/>
          <w:lang w:val="en-US" w:eastAsia="zh-CN"/>
        </w:rPr>
        <w:t>49.72</w:t>
      </w:r>
      <w:r>
        <w:rPr>
          <w:rFonts w:hint="eastAsia" w:ascii="仿宋_GB2312" w:hAnsi="仿宋_GB2312" w:eastAsia="仿宋_GB2312" w:cs="仿宋_GB2312"/>
          <w:color w:val="auto"/>
          <w:sz w:val="32"/>
          <w:szCs w:val="24"/>
          <w:lang w:val="en-US" w:eastAsia="zh-CN"/>
        </w:rPr>
        <w:t>万元，与上年相比增加</w:t>
      </w:r>
      <w:r>
        <w:rPr>
          <w:rFonts w:hint="default" w:ascii="Times New Roman" w:hAnsi="Times New Roman" w:eastAsia="仿宋_GB2312" w:cs="Times New Roman"/>
          <w:color w:val="auto"/>
          <w:sz w:val="32"/>
          <w:szCs w:val="24"/>
          <w:lang w:val="en-US" w:eastAsia="zh-CN"/>
        </w:rPr>
        <w:t>25.24</w:t>
      </w:r>
      <w:r>
        <w:rPr>
          <w:rFonts w:hint="eastAsia" w:ascii="仿宋_GB2312" w:hAnsi="仿宋_GB2312" w:eastAsia="仿宋_GB2312" w:cs="仿宋_GB2312"/>
          <w:color w:val="auto"/>
          <w:sz w:val="32"/>
          <w:szCs w:val="24"/>
          <w:lang w:val="en-US" w:eastAsia="zh-CN"/>
        </w:rPr>
        <w:t>万元，增长</w:t>
      </w:r>
      <w:r>
        <w:rPr>
          <w:rFonts w:hint="default" w:ascii="Times New Roman" w:hAnsi="Times New Roman" w:eastAsia="仿宋_GB2312" w:cs="Times New Roman"/>
          <w:color w:val="auto"/>
          <w:sz w:val="32"/>
          <w:szCs w:val="24"/>
          <w:lang w:val="en-US" w:eastAsia="zh-CN"/>
        </w:rPr>
        <w:t>103.1%</w:t>
      </w:r>
      <w:r>
        <w:rPr>
          <w:rFonts w:hint="eastAsia" w:ascii="仿宋_GB2312" w:hAnsi="仿宋_GB2312" w:eastAsia="仿宋_GB2312" w:cs="仿宋_GB2312"/>
          <w:color w:val="auto"/>
          <w:sz w:val="32"/>
          <w:szCs w:val="24"/>
          <w:lang w:val="en-US" w:eastAsia="zh-CN"/>
        </w:rPr>
        <w:t xml:space="preserve">。   </w:t>
      </w:r>
    </w:p>
    <w:p>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财政拨款收入和事业收入</w:t>
      </w:r>
      <w:r>
        <w:rPr>
          <w:rFonts w:hint="eastAsia" w:ascii="仿宋_GB2312" w:hAnsi="仿宋_GB2312" w:eastAsia="仿宋_GB2312" w:cs="仿宋_GB2312"/>
          <w:color w:val="auto"/>
          <w:sz w:val="32"/>
          <w:szCs w:val="24"/>
          <w:lang w:val="en-US" w:eastAsia="zh-CN"/>
        </w:rPr>
        <w:t>减少主要原因是受财政项目拨款收入及住院人次减少导致。</w:t>
      </w:r>
      <w:r>
        <w:rPr>
          <w:rFonts w:hint="eastAsia" w:ascii="楷体" w:hAnsi="楷体" w:eastAsia="楷体" w:cs="楷体"/>
          <w:color w:val="auto"/>
          <w:sz w:val="32"/>
          <w:szCs w:val="24"/>
          <w:lang w:val="en-US" w:eastAsia="zh-CN"/>
        </w:rPr>
        <w:t>其他收入</w:t>
      </w:r>
      <w:r>
        <w:rPr>
          <w:rFonts w:hint="eastAsia" w:ascii="仿宋_GB2312" w:hAnsi="仿宋_GB2312" w:eastAsia="仿宋_GB2312" w:cs="仿宋_GB2312"/>
          <w:color w:val="auto"/>
          <w:sz w:val="32"/>
          <w:szCs w:val="24"/>
          <w:lang w:val="en-US" w:eastAsia="zh-CN"/>
        </w:rPr>
        <w:t>增加主要原因是受疫情影响非同级财政拨款收入增加导致。</w:t>
      </w:r>
    </w:p>
    <w:p>
      <w:pPr>
        <w:spacing w:beforeLines="0" w:afterLines="0" w:line="590" w:lineRule="exact"/>
        <w:ind w:firstLine="600"/>
        <w:jc w:val="left"/>
        <w:rPr>
          <w:rFonts w:hint="eastAsia" w:ascii="仿宋" w:hAnsi="仿宋" w:eastAsia="仿宋"/>
          <w:color w:val="FF0000"/>
          <w:sz w:val="32"/>
          <w:szCs w:val="24"/>
          <w:lang w:val="en-US" w:eastAsia="zh-CN"/>
        </w:rPr>
      </w:pPr>
      <w:r>
        <w:rPr>
          <w:rFonts w:hint="eastAsia" w:ascii="仿宋" w:hAnsi="仿宋" w:eastAsia="仿宋"/>
          <w:color w:val="FF0000"/>
          <w:sz w:val="32"/>
          <w:szCs w:val="24"/>
          <w:lang w:val="en-US" w:eastAsia="zh-CN"/>
        </w:rPr>
        <w:drawing>
          <wp:anchor distT="0" distB="0" distL="114300" distR="114300" simplePos="0" relativeHeight="251668480" behindDoc="0" locked="0" layoutInCell="1" allowOverlap="1">
            <wp:simplePos x="0" y="0"/>
            <wp:positionH relativeFrom="column">
              <wp:posOffset>328295</wp:posOffset>
            </wp:positionH>
            <wp:positionV relativeFrom="paragraph">
              <wp:posOffset>139700</wp:posOffset>
            </wp:positionV>
            <wp:extent cx="4803775" cy="2867025"/>
            <wp:effectExtent l="4445" t="5080" r="11430" b="4445"/>
            <wp:wrapSquare wrapText="bothSides"/>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beforeLines="0" w:afterLines="0" w:line="590" w:lineRule="exact"/>
        <w:ind w:firstLine="600"/>
        <w:jc w:val="left"/>
        <w:rPr>
          <w:rFonts w:hint="eastAsia" w:ascii="仿宋" w:hAnsi="仿宋" w:eastAsia="仿宋"/>
          <w:color w:val="FF0000"/>
          <w:sz w:val="32"/>
          <w:szCs w:val="24"/>
          <w:lang w:val="en-US" w:eastAsia="zh-CN"/>
        </w:rPr>
      </w:pPr>
    </w:p>
    <w:p>
      <w:pPr>
        <w:spacing w:beforeLines="0" w:afterLines="0" w:line="590" w:lineRule="exact"/>
        <w:jc w:val="left"/>
        <w:rPr>
          <w:rFonts w:hint="eastAsia" w:ascii="仿宋" w:hAnsi="仿宋" w:eastAsia="仿宋"/>
          <w:color w:val="FF0000"/>
          <w:sz w:val="32"/>
          <w:szCs w:val="24"/>
          <w:lang w:val="en-US" w:eastAsia="zh-CN"/>
        </w:rPr>
      </w:pPr>
    </w:p>
    <w:p>
      <w:pPr>
        <w:spacing w:beforeLines="0" w:afterLines="0" w:line="590" w:lineRule="exact"/>
        <w:ind w:firstLine="600"/>
        <w:jc w:val="left"/>
        <w:rPr>
          <w:rFonts w:hint="eastAsia" w:ascii="仿宋" w:hAnsi="仿宋" w:eastAsia="仿宋"/>
          <w:color w:val="FF0000"/>
          <w:sz w:val="32"/>
          <w:szCs w:val="24"/>
          <w:lang w:val="en-US" w:eastAsia="zh-CN"/>
        </w:rPr>
      </w:pPr>
    </w:p>
    <w:p>
      <w:pPr>
        <w:spacing w:beforeLines="0" w:afterLines="0" w:line="590" w:lineRule="exact"/>
        <w:ind w:firstLine="600"/>
        <w:jc w:val="left"/>
        <w:rPr>
          <w:rFonts w:hint="eastAsia" w:ascii="仿宋" w:hAnsi="仿宋" w:eastAsia="仿宋"/>
          <w:color w:val="FF0000"/>
          <w:sz w:val="32"/>
          <w:szCs w:val="24"/>
          <w:lang w:val="en-US" w:eastAsia="zh-CN"/>
        </w:rPr>
      </w:pPr>
    </w:p>
    <w:p>
      <w:pPr>
        <w:spacing w:beforeLines="0" w:afterLines="0" w:line="590" w:lineRule="exact"/>
        <w:ind w:firstLine="600"/>
        <w:jc w:val="left"/>
        <w:rPr>
          <w:rFonts w:hint="eastAsia" w:ascii="仿宋" w:hAnsi="仿宋" w:eastAsia="仿宋"/>
          <w:color w:val="FF0000"/>
          <w:sz w:val="32"/>
          <w:szCs w:val="24"/>
          <w:lang w:val="en-US" w:eastAsia="zh-CN"/>
        </w:rPr>
      </w:pPr>
    </w:p>
    <w:p>
      <w:pPr>
        <w:spacing w:beforeLines="0" w:afterLines="0" w:line="590" w:lineRule="exact"/>
        <w:ind w:firstLine="600"/>
        <w:jc w:val="left"/>
        <w:rPr>
          <w:rFonts w:hint="eastAsia" w:ascii="仿宋" w:hAnsi="仿宋" w:eastAsia="仿宋"/>
          <w:color w:val="FF0000"/>
          <w:sz w:val="32"/>
          <w:szCs w:val="24"/>
          <w:lang w:val="en-US" w:eastAsia="zh-CN"/>
        </w:rPr>
      </w:pPr>
    </w:p>
    <w:p>
      <w:pPr>
        <w:spacing w:beforeLines="0" w:afterLines="0" w:line="590" w:lineRule="exact"/>
        <w:jc w:val="left"/>
        <w:rPr>
          <w:rFonts w:hint="eastAsia" w:ascii="黑体" w:hAnsi="黑体" w:eastAsia="黑体"/>
          <w:color w:val="auto"/>
          <w:sz w:val="32"/>
          <w:szCs w:val="24"/>
        </w:rPr>
      </w:pPr>
    </w:p>
    <w:p>
      <w:pPr>
        <w:spacing w:beforeLines="0" w:afterLines="0" w:line="590" w:lineRule="exact"/>
        <w:jc w:val="left"/>
        <w:rPr>
          <w:rFonts w:hint="eastAsia" w:ascii="黑体" w:hAnsi="黑体" w:eastAsia="黑体"/>
          <w:color w:val="auto"/>
          <w:sz w:val="32"/>
          <w:szCs w:val="24"/>
        </w:rPr>
      </w:pPr>
    </w:p>
    <w:p>
      <w:pPr>
        <w:spacing w:beforeLines="0" w:afterLines="0" w:line="590" w:lineRule="exact"/>
        <w:jc w:val="center"/>
        <w:rPr>
          <w:rFonts w:hint="default" w:eastAsia="Times New Roman"/>
          <w:color w:val="auto"/>
          <w:sz w:val="32"/>
          <w:szCs w:val="24"/>
        </w:rPr>
      </w:pPr>
      <w:r>
        <w:rPr>
          <w:rFonts w:hint="eastAsia" w:ascii="黑体" w:hAnsi="黑体" w:eastAsia="黑体"/>
          <w:color w:val="auto"/>
          <w:sz w:val="32"/>
          <w:szCs w:val="24"/>
        </w:rPr>
        <w:t>二、支出决算情况说明</w:t>
      </w:r>
    </w:p>
    <w:p>
      <w:pPr>
        <w:spacing w:beforeLines="0" w:afterLines="0" w:line="590" w:lineRule="exact"/>
        <w:ind w:firstLine="600"/>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芒市遮放镇中心卫生院</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年度支出合计</w:t>
      </w:r>
      <w:r>
        <w:rPr>
          <w:rFonts w:hint="default" w:ascii="Times New Roman" w:hAnsi="Times New Roman" w:eastAsia="仿宋_GB2312" w:cs="Times New Roman"/>
          <w:color w:val="auto"/>
          <w:sz w:val="32"/>
          <w:szCs w:val="24"/>
        </w:rPr>
        <w:t>2670.08</w:t>
      </w:r>
      <w:r>
        <w:rPr>
          <w:rFonts w:hint="eastAsia" w:ascii="仿宋_GB2312" w:hAnsi="仿宋_GB2312" w:eastAsia="仿宋_GB2312" w:cs="仿宋_GB2312"/>
          <w:color w:val="auto"/>
          <w:sz w:val="32"/>
          <w:szCs w:val="24"/>
        </w:rPr>
        <w:t>万元。其中：</w:t>
      </w:r>
      <w:r>
        <w:rPr>
          <w:rFonts w:hint="eastAsia" w:ascii="仿宋_GB2312" w:hAnsi="仿宋_GB2312" w:eastAsia="仿宋_GB2312" w:cs="仿宋_GB2312"/>
          <w:color w:val="auto"/>
          <w:kern w:val="0"/>
          <w:sz w:val="32"/>
          <w:szCs w:val="24"/>
        </w:rPr>
        <w:t>基本支出</w:t>
      </w:r>
      <w:r>
        <w:rPr>
          <w:rFonts w:hint="default" w:ascii="Times New Roman" w:hAnsi="Times New Roman" w:eastAsia="仿宋_GB2312" w:cs="Times New Roman"/>
          <w:color w:val="auto"/>
          <w:sz w:val="32"/>
          <w:szCs w:val="24"/>
        </w:rPr>
        <w:t>2472.21</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auto"/>
          <w:kern w:val="0"/>
          <w:sz w:val="32"/>
          <w:szCs w:val="24"/>
        </w:rPr>
        <w:t>，占总支出的</w:t>
      </w:r>
      <w:r>
        <w:rPr>
          <w:rFonts w:hint="default" w:ascii="Times New Roman" w:hAnsi="Times New Roman" w:eastAsia="仿宋_GB2312" w:cs="Times New Roman"/>
          <w:color w:val="auto"/>
          <w:sz w:val="32"/>
          <w:szCs w:val="24"/>
        </w:rPr>
        <w:t>92.59%</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kern w:val="0"/>
          <w:sz w:val="32"/>
          <w:szCs w:val="24"/>
        </w:rPr>
        <w:t>项目支出</w:t>
      </w:r>
      <w:r>
        <w:rPr>
          <w:rFonts w:hint="default" w:ascii="Times New Roman" w:hAnsi="Times New Roman" w:eastAsia="仿宋_GB2312" w:cs="Times New Roman"/>
          <w:color w:val="auto"/>
          <w:sz w:val="32"/>
          <w:szCs w:val="24"/>
        </w:rPr>
        <w:t>197.87</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auto"/>
          <w:kern w:val="0"/>
          <w:sz w:val="32"/>
          <w:szCs w:val="24"/>
        </w:rPr>
        <w:t>，占总支出的</w:t>
      </w:r>
      <w:r>
        <w:rPr>
          <w:rFonts w:hint="default" w:ascii="Times New Roman" w:hAnsi="Times New Roman" w:eastAsia="仿宋_GB2312" w:cs="Times New Roman"/>
          <w:color w:val="auto"/>
          <w:sz w:val="32"/>
          <w:szCs w:val="24"/>
        </w:rPr>
        <w:t>7.41%</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kern w:val="0"/>
          <w:sz w:val="32"/>
          <w:szCs w:val="24"/>
        </w:rPr>
        <w:t>上缴上级支出、经营支出、对附属单位补助支出共</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auto"/>
          <w:kern w:val="0"/>
          <w:sz w:val="32"/>
          <w:szCs w:val="24"/>
        </w:rPr>
        <w:t>，占总支出的</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w:t>
      </w:r>
    </w:p>
    <w:p>
      <w:pPr>
        <w:spacing w:beforeLines="0" w:afterLines="0" w:line="590" w:lineRule="exact"/>
        <w:ind w:firstLine="600"/>
        <w:rPr>
          <w:rFonts w:hint="eastAsia" w:ascii="仿宋_GB2312" w:hAnsi="仿宋_GB2312" w:eastAsia="仿宋_GB2312" w:cs="仿宋_GB2312"/>
          <w:color w:val="auto"/>
          <w:sz w:val="32"/>
          <w:szCs w:val="24"/>
          <w:lang w:val="en-US" w:eastAsia="zh-CN"/>
        </w:rPr>
      </w:pP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年度支出合计</w:t>
      </w:r>
      <w:r>
        <w:rPr>
          <w:rFonts w:hint="default" w:ascii="Times New Roman" w:hAnsi="Times New Roman" w:eastAsia="仿宋_GB2312" w:cs="Times New Roman"/>
          <w:color w:val="auto"/>
          <w:sz w:val="32"/>
          <w:szCs w:val="24"/>
          <w:lang w:val="en-US" w:eastAsia="zh-CN"/>
        </w:rPr>
        <w:t>2670.08</w:t>
      </w:r>
      <w:r>
        <w:rPr>
          <w:rFonts w:hint="eastAsia" w:ascii="仿宋_GB2312" w:hAnsi="仿宋_GB2312" w:eastAsia="仿宋_GB2312" w:cs="仿宋_GB2312"/>
          <w:color w:val="auto"/>
          <w:sz w:val="32"/>
          <w:szCs w:val="24"/>
          <w:lang w:val="en-US" w:eastAsia="zh-CN"/>
        </w:rPr>
        <w:t>万元，与上年相比减少</w:t>
      </w:r>
      <w:r>
        <w:rPr>
          <w:rFonts w:hint="default" w:ascii="Times New Roman" w:hAnsi="Times New Roman" w:eastAsia="仿宋_GB2312" w:cs="Times New Roman"/>
          <w:color w:val="auto"/>
          <w:sz w:val="32"/>
          <w:szCs w:val="24"/>
          <w:lang w:val="en-US" w:eastAsia="zh-CN"/>
        </w:rPr>
        <w:t>466.85</w:t>
      </w:r>
      <w:r>
        <w:rPr>
          <w:rFonts w:hint="eastAsia" w:ascii="仿宋_GB2312" w:hAnsi="仿宋_GB2312" w:eastAsia="仿宋_GB2312" w:cs="仿宋_GB2312"/>
          <w:color w:val="auto"/>
          <w:sz w:val="32"/>
          <w:szCs w:val="24"/>
          <w:lang w:val="en-US" w:eastAsia="zh-CN"/>
        </w:rPr>
        <w:t>万元，下降</w:t>
      </w:r>
      <w:r>
        <w:rPr>
          <w:rFonts w:hint="default" w:ascii="Times New Roman" w:hAnsi="Times New Roman" w:eastAsia="仿宋_GB2312" w:cs="Times New Roman"/>
          <w:color w:val="auto"/>
          <w:sz w:val="32"/>
          <w:szCs w:val="24"/>
          <w:lang w:val="en-US" w:eastAsia="zh-CN"/>
        </w:rPr>
        <w:t>14.88%</w:t>
      </w:r>
      <w:r>
        <w:rPr>
          <w:rFonts w:hint="eastAsia" w:ascii="仿宋_GB2312" w:hAnsi="仿宋_GB2312" w:eastAsia="仿宋_GB2312" w:cs="仿宋_GB2312"/>
          <w:color w:val="auto"/>
          <w:sz w:val="32"/>
          <w:szCs w:val="24"/>
          <w:lang w:val="en-US" w:eastAsia="zh-CN"/>
        </w:rPr>
        <w:t>。主要原因是专用材料费和设备购置支出减少导致。</w:t>
      </w:r>
    </w:p>
    <w:p>
      <w:pPr>
        <w:spacing w:beforeLines="0" w:afterLines="0" w:line="590" w:lineRule="exact"/>
        <w:ind w:firstLine="600"/>
        <w:rPr>
          <w:rFonts w:hint="default" w:eastAsia="Times New Roman"/>
          <w:color w:val="auto"/>
          <w:sz w:val="32"/>
          <w:szCs w:val="24"/>
        </w:rPr>
      </w:pPr>
      <w:r>
        <w:rPr>
          <w:rFonts w:hint="eastAsia" w:ascii="仿宋" w:hAnsi="仿宋" w:eastAsia="仿宋"/>
          <w:color w:val="FF0000"/>
          <w:kern w:val="0"/>
          <w:sz w:val="32"/>
          <w:szCs w:val="24"/>
          <w:lang w:eastAsia="zh-CN"/>
        </w:rPr>
        <w:drawing>
          <wp:anchor distT="0" distB="0" distL="114300" distR="114300" simplePos="0" relativeHeight="251669504" behindDoc="0" locked="0" layoutInCell="1" allowOverlap="1">
            <wp:simplePos x="0" y="0"/>
            <wp:positionH relativeFrom="column">
              <wp:posOffset>128270</wp:posOffset>
            </wp:positionH>
            <wp:positionV relativeFrom="paragraph">
              <wp:posOffset>129540</wp:posOffset>
            </wp:positionV>
            <wp:extent cx="5080000" cy="3810000"/>
            <wp:effectExtent l="4445" t="4445" r="20955" b="14605"/>
            <wp:wrapSquare wrapText="bothSides"/>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楷体" w:hAnsi="楷体" w:eastAsia="楷体"/>
          <w:color w:val="auto"/>
          <w:sz w:val="32"/>
          <w:szCs w:val="24"/>
        </w:rPr>
        <w:t>（一）基本支出情况</w:t>
      </w:r>
    </w:p>
    <w:p>
      <w:pPr>
        <w:spacing w:beforeLines="0" w:afterLines="0" w:line="590" w:lineRule="exact"/>
        <w:ind w:firstLine="600"/>
        <w:jc w:val="left"/>
        <w:rPr>
          <w:rFonts w:hint="eastAsia" w:ascii="仿宋_GB2312" w:hAnsi="仿宋_GB2312" w:eastAsia="仿宋_GB2312" w:cs="仿宋_GB2312"/>
          <w:color w:val="auto"/>
          <w:sz w:val="32"/>
          <w:szCs w:val="24"/>
        </w:rPr>
      </w:pP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年度用于保障芒市遮放镇中心卫生院机关、下属事业单位等机构正常运转的日常支出</w:t>
      </w:r>
      <w:r>
        <w:rPr>
          <w:rFonts w:hint="default" w:ascii="Times New Roman" w:hAnsi="Times New Roman" w:eastAsia="仿宋_GB2312" w:cs="Times New Roman"/>
          <w:color w:val="auto"/>
          <w:sz w:val="32"/>
          <w:szCs w:val="24"/>
        </w:rPr>
        <w:t>2472.21</w:t>
      </w:r>
      <w:r>
        <w:rPr>
          <w:rFonts w:hint="eastAsia" w:ascii="仿宋_GB2312" w:hAnsi="仿宋_GB2312" w:eastAsia="仿宋_GB2312" w:cs="仿宋_GB2312"/>
          <w:color w:val="auto"/>
          <w:sz w:val="32"/>
          <w:szCs w:val="24"/>
        </w:rPr>
        <w:t>万元。</w:t>
      </w:r>
    </w:p>
    <w:p>
      <w:pPr>
        <w:spacing w:beforeLines="0" w:afterLines="0" w:line="590" w:lineRule="exact"/>
        <w:jc w:val="center"/>
        <w:rPr>
          <w:rFonts w:hint="eastAsia" w:ascii="仿宋_GB2312" w:hAnsi="仿宋_GB2312" w:eastAsia="仿宋_GB2312" w:cs="仿宋_GB2312"/>
          <w:b w:val="0"/>
          <w:bCs w:val="0"/>
          <w:color w:val="auto"/>
          <w:sz w:val="32"/>
          <w:szCs w:val="32"/>
          <w:lang w:val="en-US" w:eastAsia="zh-CN"/>
        </w:rPr>
      </w:pPr>
    </w:p>
    <w:p>
      <w:pPr>
        <w:spacing w:beforeLines="0" w:afterLines="0" w:line="590" w:lineRule="exact"/>
        <w:jc w:val="center"/>
        <w:rPr>
          <w:rFonts w:hint="eastAsia" w:ascii="仿宋_GB2312" w:hAnsi="仿宋_GB2312" w:eastAsia="仿宋_GB2312" w:cs="仿宋_GB2312"/>
          <w:b w:val="0"/>
          <w:bCs w:val="0"/>
          <w:color w:val="auto"/>
          <w:sz w:val="32"/>
          <w:szCs w:val="32"/>
          <w:lang w:val="en-US" w:eastAsia="zh-CN"/>
        </w:rPr>
      </w:pPr>
    </w:p>
    <w:p>
      <w:pPr>
        <w:spacing w:beforeLines="0" w:afterLines="0" w:line="590" w:lineRule="exact"/>
        <w:jc w:val="center"/>
        <w:rPr>
          <w:rFonts w:hint="eastAsia" w:ascii="仿宋_GB2312" w:hAnsi="仿宋_GB2312" w:eastAsia="仿宋_GB2312" w:cs="仿宋_GB2312"/>
          <w:b w:val="0"/>
          <w:bCs w:val="0"/>
          <w:color w:val="auto"/>
          <w:sz w:val="32"/>
          <w:szCs w:val="32"/>
          <w:lang w:val="en-US" w:eastAsia="zh-CN"/>
        </w:rPr>
      </w:pPr>
    </w:p>
    <w:p>
      <w:pPr>
        <w:spacing w:beforeLines="0" w:afterLines="0" w:line="590" w:lineRule="exact"/>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2019-2020年</w:t>
      </w:r>
      <w:r>
        <w:rPr>
          <w:rFonts w:hint="eastAsia" w:ascii="仿宋_GB2312" w:hAnsi="仿宋_GB2312" w:eastAsia="仿宋_GB2312" w:cs="仿宋_GB2312"/>
          <w:b w:val="0"/>
          <w:bCs w:val="0"/>
          <w:color w:val="auto"/>
          <w:sz w:val="32"/>
          <w:szCs w:val="32"/>
          <w:lang w:eastAsia="zh-CN"/>
        </w:rPr>
        <w:t>基本支出情况表</w:t>
      </w:r>
    </w:p>
    <w:p>
      <w:pPr>
        <w:spacing w:beforeLines="0" w:afterLines="0" w:line="590" w:lineRule="exact"/>
        <w:rPr>
          <w:rFonts w:hint="eastAsia" w:ascii="仿宋" w:hAnsi="仿宋" w:eastAsia="仿宋"/>
          <w:color w:val="auto"/>
          <w:sz w:val="21"/>
          <w:szCs w:val="24"/>
          <w:lang w:val="en-US" w:eastAsia="zh-CN"/>
        </w:rPr>
      </w:pPr>
      <w:r>
        <w:rPr>
          <w:rFonts w:hint="eastAsia" w:ascii="仿宋" w:hAnsi="仿宋" w:eastAsia="仿宋"/>
          <w:color w:val="auto"/>
          <w:sz w:val="32"/>
          <w:szCs w:val="24"/>
          <w:lang w:val="en-US" w:eastAsia="zh-CN"/>
        </w:rPr>
        <w:t xml:space="preserve">                                       </w:t>
      </w:r>
      <w:r>
        <w:rPr>
          <w:rFonts w:hint="eastAsia" w:ascii="仿宋_GB2312" w:hAnsi="仿宋_GB2312" w:eastAsia="仿宋_GB2312" w:cs="仿宋_GB2312"/>
          <w:color w:val="auto"/>
          <w:sz w:val="24"/>
          <w:szCs w:val="24"/>
          <w:lang w:val="en-US" w:eastAsia="zh-CN"/>
        </w:rPr>
        <w:t>单位：万元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1"/>
        <w:gridCol w:w="1740"/>
        <w:gridCol w:w="1732"/>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5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rPr>
                <w:rFonts w:hint="eastAsia" w:ascii="仿宋_GB2312" w:hAnsi="仿宋_GB2312" w:eastAsia="仿宋_GB2312" w:cs="仿宋_GB2312"/>
                <w:color w:val="auto"/>
                <w:sz w:val="28"/>
                <w:szCs w:val="24"/>
                <w:lang w:val="en-US" w:eastAsia="zh-CN"/>
              </w:rPr>
            </w:pPr>
            <w:r>
              <w:rPr>
                <w:rFonts w:hint="eastAsia" w:ascii="仿宋_GB2312" w:hAnsi="仿宋_GB2312" w:eastAsia="仿宋_GB2312" w:cs="仿宋_GB2312"/>
                <w:color w:val="auto"/>
                <w:sz w:val="32"/>
                <w:szCs w:val="24"/>
              </w:rPr>
              <mc:AlternateContent>
                <mc:Choice Requires="wps">
                  <w:drawing>
                    <wp:anchor distT="0" distB="0" distL="114300" distR="114300" simplePos="0" relativeHeight="251666432" behindDoc="0" locked="0" layoutInCell="1" allowOverlap="1">
                      <wp:simplePos x="0" y="0"/>
                      <wp:positionH relativeFrom="column">
                        <wp:posOffset>-90170</wp:posOffset>
                      </wp:positionH>
                      <wp:positionV relativeFrom="paragraph">
                        <wp:posOffset>27305</wp:posOffset>
                      </wp:positionV>
                      <wp:extent cx="2266950" cy="714375"/>
                      <wp:effectExtent l="1270" t="4445" r="17780" b="5080"/>
                      <wp:wrapNone/>
                      <wp:docPr id="7" name="直线 3"/>
                      <wp:cNvGraphicFramePr/>
                      <a:graphic xmlns:a="http://schemas.openxmlformats.org/drawingml/2006/main">
                        <a:graphicData uri="http://schemas.microsoft.com/office/word/2010/wordprocessingShape">
                          <wps:wsp>
                            <wps:cNvCnPr/>
                            <wps:spPr>
                              <a:xfrm>
                                <a:off x="0" y="0"/>
                                <a:ext cx="2266950" cy="7143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1pt;margin-top:2.15pt;height:56.25pt;width:178.5pt;z-index:251666432;mso-width-relative:page;mso-height-relative:page;" filled="f" stroked="t" coordsize="21600,21600" o:gfxdata="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Ml&#10;R7XWAAAACQEAAA8AAAAAAAAAAQAgAAAAIgAAAGRycy9kb3ducmV2LnhtbFBLAQIUABQAAAAIAIdO&#10;4kCcWawH7AEAAOADAAAOAAAAAAAAAAEAIAAAACUBAABkcnMvZTJvRG9jLnhtbFBLBQYAAAAABgAG&#10;AFkBAACDBQ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24"/>
                <w:lang w:val="en-US" w:eastAsia="zh-CN"/>
              </w:rPr>
              <w:t xml:space="preserve">            </w:t>
            </w:r>
            <w:r>
              <w:rPr>
                <w:rFonts w:hint="eastAsia" w:ascii="仿宋_GB2312" w:hAnsi="仿宋_GB2312" w:eastAsia="仿宋_GB2312" w:cs="仿宋_GB2312"/>
                <w:color w:val="auto"/>
                <w:sz w:val="24"/>
                <w:szCs w:val="24"/>
                <w:lang w:val="en-US" w:eastAsia="zh-CN"/>
              </w:rPr>
              <w:t xml:space="preserve"> 明细</w:t>
            </w:r>
          </w:p>
          <w:p>
            <w:pPr>
              <w:spacing w:beforeLines="0" w:afterLines="0" w:line="590" w:lineRule="exac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年度</w:t>
            </w:r>
            <w:r>
              <w:rPr>
                <w:rFonts w:hint="eastAsia" w:ascii="仿宋_GB2312" w:hAnsi="仿宋_GB2312" w:eastAsia="仿宋_GB2312" w:cs="仿宋_GB2312"/>
                <w:color w:val="auto"/>
                <w:sz w:val="32"/>
                <w:szCs w:val="24"/>
                <w:lang w:val="en-US" w:eastAsia="zh-CN"/>
              </w:rPr>
              <w:t xml:space="preserve">                        </w:t>
            </w:r>
            <w:r>
              <w:rPr>
                <w:rFonts w:hint="eastAsia" w:ascii="仿宋_GB2312" w:hAnsi="仿宋_GB2312" w:eastAsia="仿宋_GB2312" w:cs="仿宋_GB2312"/>
                <w:color w:val="auto"/>
                <w:sz w:val="24"/>
                <w:szCs w:val="24"/>
                <w:lang w:val="en-US" w:eastAsia="zh-CN"/>
              </w:rPr>
              <w:t xml:space="preserve">            </w:t>
            </w: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人员</w:t>
            </w:r>
          </w:p>
          <w:p>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经费</w:t>
            </w: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公用</w:t>
            </w:r>
          </w:p>
          <w:p>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经费</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合计</w:t>
            </w:r>
          </w:p>
          <w:p>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2019年</w:t>
            </w: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1262.53</w:t>
            </w: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1562.84</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2825.37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2020年</w:t>
            </w: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985.77</w:t>
            </w: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1486.44</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2472.21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相比增加（+）减少（-）</w:t>
            </w: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-276.76</w:t>
            </w: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-76.4</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增长率/减少率</w:t>
            </w: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-21.92%</w:t>
            </w: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-4.89%</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-12.50%</w:t>
            </w:r>
          </w:p>
        </w:tc>
      </w:tr>
    </w:tbl>
    <w:p>
      <w:pPr>
        <w:numPr>
          <w:ilvl w:val="0"/>
          <w:numId w:val="0"/>
        </w:numPr>
        <w:spacing w:beforeLines="0" w:afterLines="0" w:line="590" w:lineRule="exact"/>
        <w:ind w:firstLine="640" w:firstLineChars="200"/>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1.</w:t>
      </w:r>
      <w:r>
        <w:rPr>
          <w:rFonts w:hint="eastAsia" w:ascii="仿宋_GB2312" w:hAnsi="仿宋_GB2312" w:eastAsia="仿宋_GB2312" w:cs="仿宋_GB2312"/>
          <w:color w:val="auto"/>
          <w:sz w:val="32"/>
          <w:szCs w:val="24"/>
          <w:lang w:eastAsia="zh-CN"/>
        </w:rPr>
        <w:t>基本支出中人员经费</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年与上年相比减少</w:t>
      </w:r>
      <w:r>
        <w:rPr>
          <w:rFonts w:hint="default" w:ascii="Times New Roman" w:hAnsi="Times New Roman" w:eastAsia="仿宋_GB2312" w:cs="Times New Roman"/>
          <w:color w:val="auto"/>
          <w:sz w:val="32"/>
          <w:szCs w:val="24"/>
          <w:lang w:val="en-US" w:eastAsia="zh-CN"/>
        </w:rPr>
        <w:t>276.76</w:t>
      </w:r>
      <w:r>
        <w:rPr>
          <w:rFonts w:hint="eastAsia" w:ascii="仿宋_GB2312" w:hAnsi="仿宋_GB2312" w:eastAsia="仿宋_GB2312" w:cs="仿宋_GB2312"/>
          <w:color w:val="auto"/>
          <w:sz w:val="32"/>
          <w:szCs w:val="24"/>
          <w:lang w:val="en-US" w:eastAsia="zh-CN"/>
        </w:rPr>
        <w:t>万元，主要原因是</w:t>
      </w:r>
      <w:r>
        <w:rPr>
          <w:rFonts w:hint="default" w:ascii="Times New Roman" w:hAnsi="Times New Roman" w:eastAsia="仿宋_GB2312" w:cs="Times New Roman"/>
          <w:color w:val="auto"/>
          <w:sz w:val="32"/>
          <w:szCs w:val="24"/>
          <w:lang w:val="en-US" w:eastAsia="zh-CN"/>
        </w:rPr>
        <w:t>2019</w:t>
      </w:r>
      <w:r>
        <w:rPr>
          <w:rFonts w:hint="eastAsia" w:ascii="仿宋_GB2312" w:hAnsi="仿宋_GB2312" w:eastAsia="仿宋_GB2312" w:cs="仿宋_GB2312"/>
          <w:color w:val="auto"/>
          <w:sz w:val="32"/>
          <w:szCs w:val="24"/>
          <w:lang w:val="en-US" w:eastAsia="zh-CN"/>
        </w:rPr>
        <w:t>年度临时聘用人员工资纳入人员经费/其他工资福利支出，而</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年度纳入商品和服务支出/劳务费。</w:t>
      </w:r>
    </w:p>
    <w:p>
      <w:pPr>
        <w:numPr>
          <w:ilvl w:val="0"/>
          <w:numId w:val="0"/>
        </w:numPr>
        <w:spacing w:beforeLines="0" w:afterLines="0" w:line="590" w:lineRule="exact"/>
        <w:jc w:val="left"/>
        <w:rPr>
          <w:rFonts w:hint="default"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 xml:space="preserve">    2.基本支出中公用经费</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年与上年相比减少</w:t>
      </w:r>
      <w:r>
        <w:rPr>
          <w:rFonts w:hint="default" w:ascii="Times New Roman" w:hAnsi="Times New Roman" w:eastAsia="仿宋_GB2312" w:cs="Times New Roman"/>
          <w:color w:val="auto"/>
          <w:sz w:val="32"/>
          <w:szCs w:val="24"/>
          <w:lang w:val="en-US" w:eastAsia="zh-CN"/>
        </w:rPr>
        <w:t>76.4</w:t>
      </w:r>
      <w:r>
        <w:rPr>
          <w:rFonts w:hint="eastAsia" w:ascii="仿宋_GB2312" w:hAnsi="仿宋_GB2312" w:eastAsia="仿宋_GB2312" w:cs="仿宋_GB2312"/>
          <w:color w:val="auto"/>
          <w:sz w:val="32"/>
          <w:szCs w:val="24"/>
          <w:lang w:val="en-US" w:eastAsia="zh-CN"/>
        </w:rPr>
        <w:t>万元，主要原因是专用材料费相比上年减少导致。</w:t>
      </w:r>
    </w:p>
    <w:p>
      <w:pPr>
        <w:spacing w:beforeLines="0" w:afterLines="0" w:line="590" w:lineRule="exact"/>
        <w:ind w:firstLine="600"/>
        <w:jc w:val="left"/>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auto"/>
          <w:sz w:val="32"/>
          <w:szCs w:val="24"/>
          <w:lang w:val="en-US" w:eastAsia="zh-CN"/>
        </w:rPr>
        <w:t>3.</w:t>
      </w:r>
      <w:r>
        <w:rPr>
          <w:rFonts w:hint="eastAsia" w:ascii="仿宋_GB2312" w:hAnsi="仿宋_GB2312" w:eastAsia="仿宋_GB2312" w:cs="仿宋_GB2312"/>
          <w:color w:val="auto"/>
          <w:sz w:val="32"/>
          <w:szCs w:val="24"/>
          <w:lang w:eastAsia="zh-CN"/>
        </w:rPr>
        <w:t>基本支出中</w:t>
      </w:r>
      <w:r>
        <w:rPr>
          <w:rFonts w:hint="eastAsia" w:ascii="仿宋_GB2312" w:hAnsi="仿宋_GB2312" w:eastAsia="仿宋_GB2312" w:cs="仿宋_GB2312"/>
          <w:color w:val="auto"/>
          <w:sz w:val="32"/>
          <w:szCs w:val="24"/>
        </w:rPr>
        <w:t>基本工资、津贴补贴等人员经费支出</w:t>
      </w:r>
      <w:r>
        <w:rPr>
          <w:rFonts w:hint="default" w:ascii="Times New Roman" w:hAnsi="Times New Roman" w:eastAsia="仿宋_GB2312" w:cs="Times New Roman"/>
          <w:color w:val="auto"/>
          <w:sz w:val="32"/>
          <w:szCs w:val="24"/>
        </w:rPr>
        <w:t>985.77</w:t>
      </w:r>
      <w:r>
        <w:rPr>
          <w:rFonts w:hint="eastAsia" w:ascii="仿宋_GB2312" w:hAnsi="仿宋_GB2312" w:eastAsia="仿宋_GB2312" w:cs="仿宋_GB2312"/>
          <w:color w:val="auto"/>
          <w:sz w:val="32"/>
          <w:szCs w:val="24"/>
        </w:rPr>
        <w:t>万元，占基本支出的</w:t>
      </w:r>
      <w:r>
        <w:rPr>
          <w:rFonts w:hint="default" w:ascii="Times New Roman" w:hAnsi="Times New Roman" w:eastAsia="仿宋_GB2312" w:cs="Times New Roman"/>
          <w:color w:val="auto"/>
          <w:sz w:val="32"/>
          <w:szCs w:val="24"/>
        </w:rPr>
        <w:t>39.87%</w:t>
      </w:r>
      <w:r>
        <w:rPr>
          <w:rFonts w:hint="eastAsia" w:ascii="仿宋_GB2312" w:hAnsi="仿宋_GB2312" w:eastAsia="仿宋_GB2312" w:cs="仿宋_GB2312"/>
          <w:color w:val="auto"/>
          <w:sz w:val="32"/>
          <w:szCs w:val="24"/>
        </w:rPr>
        <w:t>。办公费、印刷费、水电费、办公设备购置等公用经费</w:t>
      </w:r>
      <w:r>
        <w:rPr>
          <w:rFonts w:hint="default" w:ascii="Times New Roman" w:hAnsi="Times New Roman" w:eastAsia="仿宋_GB2312" w:cs="Times New Roman"/>
          <w:color w:val="auto"/>
          <w:sz w:val="32"/>
          <w:szCs w:val="24"/>
        </w:rPr>
        <w:t>1486.44</w:t>
      </w:r>
      <w:r>
        <w:rPr>
          <w:rFonts w:hint="eastAsia" w:ascii="仿宋_GB2312" w:hAnsi="仿宋_GB2312" w:eastAsia="仿宋_GB2312" w:cs="仿宋_GB2312"/>
          <w:color w:val="auto"/>
          <w:sz w:val="32"/>
          <w:szCs w:val="24"/>
        </w:rPr>
        <w:t>万元，占基本支出的</w:t>
      </w:r>
      <w:r>
        <w:rPr>
          <w:rFonts w:hint="default" w:ascii="Times New Roman" w:hAnsi="Times New Roman" w:eastAsia="仿宋_GB2312" w:cs="Times New Roman"/>
          <w:color w:val="auto"/>
          <w:sz w:val="32"/>
          <w:szCs w:val="24"/>
        </w:rPr>
        <w:t>60.13%</w:t>
      </w:r>
      <w:r>
        <w:rPr>
          <w:rFonts w:hint="eastAsia" w:ascii="仿宋_GB2312" w:hAnsi="仿宋_GB2312" w:eastAsia="仿宋_GB2312" w:cs="仿宋_GB2312"/>
          <w:color w:val="000000"/>
          <w:sz w:val="32"/>
          <w:szCs w:val="24"/>
        </w:rPr>
        <w:t>。</w:t>
      </w:r>
    </w:p>
    <w:p>
      <w:pPr>
        <w:spacing w:beforeLines="0" w:afterLines="0" w:line="590" w:lineRule="exact"/>
        <w:jc w:val="left"/>
        <w:rPr>
          <w:rFonts w:hint="default" w:ascii="仿宋" w:hAnsi="仿宋" w:eastAsia="仿宋"/>
          <w:color w:val="FF0000"/>
          <w:sz w:val="32"/>
          <w:szCs w:val="24"/>
          <w:lang w:val="en-US" w:eastAsia="zh-CN"/>
        </w:rPr>
      </w:pPr>
      <w:r>
        <w:rPr>
          <w:rFonts w:hint="eastAsia" w:ascii="仿宋" w:hAnsi="仿宋" w:eastAsia="仿宋"/>
          <w:color w:val="FF0000"/>
          <w:sz w:val="32"/>
          <w:szCs w:val="24"/>
          <w:lang w:val="en-US" w:eastAsia="zh-CN"/>
        </w:rPr>
        <w:t xml:space="preserve">    </w:t>
      </w: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 w:hAnsi="仿宋" w:eastAsia="仿宋"/>
          <w:color w:val="FF0000"/>
          <w:sz w:val="32"/>
          <w:szCs w:val="24"/>
          <w:lang w:eastAsia="zh-CN"/>
        </w:rPr>
      </w:pPr>
      <w:r>
        <w:rPr>
          <w:rFonts w:hint="eastAsia" w:ascii="仿宋" w:hAnsi="仿宋" w:eastAsia="仿宋"/>
          <w:color w:val="FF0000"/>
          <w:sz w:val="32"/>
          <w:szCs w:val="24"/>
          <w:lang w:eastAsia="zh-CN"/>
        </w:rPr>
        <w:drawing>
          <wp:anchor distT="0" distB="0" distL="114300" distR="114300" simplePos="0" relativeHeight="251670528" behindDoc="0" locked="0" layoutInCell="1" allowOverlap="1">
            <wp:simplePos x="0" y="0"/>
            <wp:positionH relativeFrom="column">
              <wp:posOffset>4445</wp:posOffset>
            </wp:positionH>
            <wp:positionV relativeFrom="paragraph">
              <wp:posOffset>-3524885</wp:posOffset>
            </wp:positionV>
            <wp:extent cx="5080000" cy="3810000"/>
            <wp:effectExtent l="4445" t="4445" r="20955" b="14605"/>
            <wp:wrapSquare wrapText="bothSides"/>
            <wp:docPr id="27"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beforeLines="0" w:afterLines="0" w:line="590" w:lineRule="exact"/>
        <w:jc w:val="left"/>
        <w:rPr>
          <w:rFonts w:hint="eastAsia" w:ascii="仿宋" w:hAnsi="仿宋" w:eastAsia="仿宋"/>
          <w:color w:val="FF0000"/>
          <w:sz w:val="32"/>
          <w:szCs w:val="24"/>
        </w:rPr>
      </w:pPr>
    </w:p>
    <w:p>
      <w:pPr>
        <w:spacing w:beforeLines="0" w:afterLines="0" w:line="590" w:lineRule="exact"/>
        <w:jc w:val="left"/>
        <w:rPr>
          <w:rFonts w:hint="eastAsia" w:ascii="仿宋_GB2312" w:hAnsi="仿宋_GB2312" w:eastAsia="仿宋_GB2312" w:cs="仿宋_GB2312"/>
          <w:color w:val="auto"/>
          <w:sz w:val="32"/>
          <w:szCs w:val="24"/>
        </w:rPr>
      </w:pPr>
    </w:p>
    <w:p>
      <w:pPr>
        <w:spacing w:beforeLines="0" w:afterLines="0" w:line="590" w:lineRule="exact"/>
        <w:jc w:val="left"/>
        <w:rPr>
          <w:rFonts w:hint="eastAsia" w:ascii="仿宋_GB2312" w:hAnsi="仿宋_GB2312" w:eastAsia="仿宋_GB2312" w:cs="仿宋_GB2312"/>
          <w:color w:val="auto"/>
          <w:sz w:val="32"/>
          <w:szCs w:val="24"/>
        </w:rPr>
      </w:pPr>
    </w:p>
    <w:p>
      <w:pPr>
        <w:spacing w:beforeLines="0" w:afterLines="0" w:line="590" w:lineRule="exact"/>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color w:val="FF0000"/>
          <w:sz w:val="32"/>
          <w:szCs w:val="24"/>
          <w:lang w:eastAsia="zh-CN"/>
        </w:rPr>
        <w:drawing>
          <wp:anchor distT="0" distB="0" distL="114300" distR="114300" simplePos="0" relativeHeight="251671552" behindDoc="0" locked="0" layoutInCell="1" allowOverlap="1">
            <wp:simplePos x="0" y="0"/>
            <wp:positionH relativeFrom="column">
              <wp:posOffset>52070</wp:posOffset>
            </wp:positionH>
            <wp:positionV relativeFrom="paragraph">
              <wp:posOffset>4445</wp:posOffset>
            </wp:positionV>
            <wp:extent cx="5080000" cy="3810000"/>
            <wp:effectExtent l="4445" t="4445" r="20955" b="14605"/>
            <wp:wrapSquare wrapText="bothSides"/>
            <wp:docPr id="28"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color w:val="FF0000"/>
          <w:sz w:val="32"/>
          <w:szCs w:val="24"/>
          <w:lang w:val="en-US" w:eastAsia="zh-CN"/>
        </w:rPr>
        <w:t xml:space="preserve">      </w:t>
      </w:r>
      <w:r>
        <w:rPr>
          <w:rFonts w:hint="eastAsia" w:ascii="楷体" w:hAnsi="楷体" w:eastAsia="楷体" w:cs="楷体"/>
          <w:color w:val="auto"/>
          <w:sz w:val="32"/>
          <w:szCs w:val="24"/>
        </w:rPr>
        <w:t>（二）项目支出情况</w:t>
      </w:r>
    </w:p>
    <w:p>
      <w:pPr>
        <w:spacing w:beforeLines="0" w:afterLines="0" w:line="590" w:lineRule="exact"/>
        <w:ind w:firstLine="600"/>
        <w:jc w:val="left"/>
        <w:rPr>
          <w:rFonts w:hint="eastAsia" w:ascii="仿宋_GB2312" w:hAnsi="仿宋_GB2312" w:eastAsia="仿宋_GB2312" w:cs="仿宋_GB2312"/>
          <w:color w:val="auto"/>
          <w:sz w:val="32"/>
          <w:szCs w:val="24"/>
          <w:lang w:eastAsia="zh-CN"/>
        </w:rPr>
      </w:pP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年度用于保障芒市遮放镇中心卫生院机构、下属事业单位等机构为完成特定的行政工作任务或事业发展目标，用于专项业务工作的经费支出</w:t>
      </w:r>
      <w:r>
        <w:rPr>
          <w:rFonts w:hint="default" w:ascii="Times New Roman" w:hAnsi="Times New Roman" w:eastAsia="仿宋_GB2312" w:cs="Times New Roman"/>
          <w:color w:val="auto"/>
          <w:sz w:val="32"/>
          <w:szCs w:val="24"/>
        </w:rPr>
        <w:t>197.87</w:t>
      </w:r>
      <w:r>
        <w:rPr>
          <w:rFonts w:hint="eastAsia" w:ascii="仿宋_GB2312" w:hAnsi="仿宋_GB2312" w:eastAsia="仿宋_GB2312" w:cs="仿宋_GB2312"/>
          <w:color w:val="auto"/>
          <w:sz w:val="32"/>
          <w:szCs w:val="24"/>
        </w:rPr>
        <w:t>万元。</w:t>
      </w:r>
    </w:p>
    <w:p>
      <w:pPr>
        <w:spacing w:beforeLines="0" w:afterLines="0" w:line="590" w:lineRule="exact"/>
        <w:ind w:firstLine="600"/>
        <w:jc w:val="left"/>
        <w:rPr>
          <w:rFonts w:hint="eastAsia" w:ascii="仿宋" w:hAnsi="仿宋" w:eastAsia="仿宋"/>
          <w:color w:val="auto"/>
          <w:sz w:val="32"/>
          <w:szCs w:val="24"/>
          <w:lang w:val="en-US" w:eastAsia="zh-CN"/>
        </w:rPr>
      </w:pPr>
      <w:r>
        <w:rPr>
          <w:rFonts w:hint="eastAsia" w:ascii="仿宋" w:hAnsi="仿宋" w:eastAsia="仿宋"/>
          <w:color w:val="auto"/>
          <w:sz w:val="32"/>
          <w:szCs w:val="24"/>
          <w:lang w:val="en-US" w:eastAsia="zh-CN"/>
        </w:rPr>
        <w:t xml:space="preserve">               </w:t>
      </w:r>
      <w:r>
        <w:rPr>
          <w:rFonts w:hint="default" w:ascii="Times New Roman" w:hAnsi="Times New Roman" w:eastAsia="仿宋_GB2312" w:cs="Times New Roman"/>
          <w:color w:val="auto"/>
          <w:sz w:val="32"/>
          <w:szCs w:val="24"/>
          <w:lang w:val="en-US" w:eastAsia="zh-CN"/>
        </w:rPr>
        <w:t>2019-2020</w:t>
      </w:r>
      <w:r>
        <w:rPr>
          <w:rFonts w:hint="eastAsia" w:ascii="仿宋_GB2312" w:hAnsi="仿宋_GB2312" w:eastAsia="仿宋_GB2312" w:cs="仿宋_GB2312"/>
          <w:color w:val="auto"/>
          <w:sz w:val="32"/>
          <w:szCs w:val="24"/>
          <w:lang w:val="en-US" w:eastAsia="zh-CN"/>
        </w:rPr>
        <w:t xml:space="preserve">年度项目支出情况表 </w:t>
      </w:r>
      <w:r>
        <w:rPr>
          <w:rFonts w:hint="eastAsia" w:ascii="仿宋" w:hAnsi="仿宋" w:eastAsia="仿宋"/>
          <w:color w:val="auto"/>
          <w:sz w:val="32"/>
          <w:szCs w:val="24"/>
          <w:lang w:val="en-US" w:eastAsia="zh-CN"/>
        </w:rPr>
        <w:t xml:space="preserve">                       </w:t>
      </w:r>
    </w:p>
    <w:p>
      <w:pPr>
        <w:spacing w:beforeLines="0" w:afterLines="0" w:line="590" w:lineRule="exact"/>
        <w:ind w:firstLine="600"/>
        <w:jc w:val="left"/>
        <w:rPr>
          <w:rFonts w:hint="eastAsia" w:ascii="仿宋" w:hAnsi="仿宋" w:eastAsia="仿宋"/>
          <w:color w:val="auto"/>
          <w:sz w:val="24"/>
          <w:szCs w:val="24"/>
          <w:lang w:val="en-US" w:eastAsia="zh-CN"/>
        </w:rPr>
      </w:pPr>
      <w:r>
        <w:rPr>
          <w:rFonts w:hint="eastAsia" w:ascii="仿宋" w:hAnsi="仿宋" w:eastAsia="仿宋"/>
          <w:color w:val="auto"/>
          <w:sz w:val="32"/>
          <w:szCs w:val="24"/>
          <w:lang w:val="en-US" w:eastAsia="zh-CN"/>
        </w:rPr>
        <w:t xml:space="preserve">                                      </w:t>
      </w:r>
      <w:r>
        <w:rPr>
          <w:rFonts w:hint="eastAsia" w:ascii="仿宋_GB2312" w:hAnsi="仿宋_GB2312" w:eastAsia="仿宋_GB2312" w:cs="仿宋_GB2312"/>
          <w:color w:val="auto"/>
          <w:sz w:val="24"/>
          <w:szCs w:val="24"/>
          <w:lang w:val="en-US" w:eastAsia="zh-CN"/>
        </w:rPr>
        <w:t>单位：万元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6"/>
        <w:gridCol w:w="1485"/>
        <w:gridCol w:w="1635"/>
        <w:gridCol w:w="127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rPr>
              <mc:AlternateContent>
                <mc:Choice Requires="wps">
                  <w:drawing>
                    <wp:anchor distT="0" distB="0" distL="114300" distR="114300" simplePos="0" relativeHeight="251672576" behindDoc="0" locked="0" layoutInCell="1" allowOverlap="1">
                      <wp:simplePos x="0" y="0"/>
                      <wp:positionH relativeFrom="column">
                        <wp:posOffset>-52070</wp:posOffset>
                      </wp:positionH>
                      <wp:positionV relativeFrom="paragraph">
                        <wp:posOffset>48895</wp:posOffset>
                      </wp:positionV>
                      <wp:extent cx="1809750" cy="704850"/>
                      <wp:effectExtent l="1905" t="4445" r="17145" b="14605"/>
                      <wp:wrapNone/>
                      <wp:docPr id="29" name="直接连接符 29"/>
                      <wp:cNvGraphicFramePr/>
                      <a:graphic xmlns:a="http://schemas.openxmlformats.org/drawingml/2006/main">
                        <a:graphicData uri="http://schemas.microsoft.com/office/word/2010/wordprocessingShape">
                          <wps:wsp>
                            <wps:cNvCnPr/>
                            <wps:spPr>
                              <a:xfrm>
                                <a:off x="1090930" y="7313930"/>
                                <a:ext cx="1809750" cy="704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pt;margin-top:3.85pt;height:55.5pt;width:142.5pt;z-index:251672576;mso-width-relative:page;mso-height-relative:page;" filled="f" stroked="t" coordsize="21600,21600" o:gfxdata="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aowe1gAA&#10;AAgBAAAPAAAAAAAAAAEAIAAAACIAAABkcnMvZG93bnJldi54bWxQSwECFAAUAAAACACHTuJAjQA4&#10;wecBAACtAwAADgAAAAAAAAABACAAAAAlAQAAZHJzL2Uyb0RvYy54bWxQSwUGAAAAAAYABgBZAQAA&#10;fgUAAAAA&#10;">
                      <v:fill on="f" focussize="0,0"/>
                      <v:stroke color="#000000 [3213]" joinstyle="round"/>
                      <v:imagedata o:title=""/>
                      <o:lock v:ext="edit" aspectratio="f"/>
                    </v:line>
                  </w:pict>
                </mc:Fallback>
              </mc:AlternateContent>
            </w:r>
            <w:r>
              <w:rPr>
                <w:rFonts w:hint="eastAsia" w:ascii="仿宋_GB2312" w:hAnsi="仿宋_GB2312" w:eastAsia="仿宋_GB2312" w:cs="仿宋_GB2312"/>
                <w:color w:val="auto"/>
                <w:sz w:val="24"/>
                <w:szCs w:val="24"/>
                <w:lang w:val="en-US" w:eastAsia="zh-CN"/>
              </w:rPr>
              <w:t xml:space="preserve">              明细</w:t>
            </w:r>
          </w:p>
          <w:p>
            <w:pPr>
              <w:spacing w:beforeLines="0" w:afterLines="0" w:line="59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年度          </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人员</w:t>
            </w:r>
          </w:p>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经费</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商品和</w:t>
            </w:r>
          </w:p>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服务支出</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资本性</w:t>
            </w:r>
          </w:p>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支出</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合计</w:t>
            </w:r>
          </w:p>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2019年</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0.1</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204.62</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106.83</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311.55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2020年</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0.82</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120.11</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76.94</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197.87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相比增加（+）减少（-）</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0.72</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-84.51</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-29.89</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增长率/减少率</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720%</w:t>
            </w:r>
          </w:p>
        </w:tc>
        <w:tc>
          <w:tcPr>
            <w:tcW w:w="16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-41.3%</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-27.98%</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-36.49%</w:t>
            </w:r>
          </w:p>
        </w:tc>
      </w:tr>
    </w:tbl>
    <w:p>
      <w:pPr>
        <w:spacing w:beforeLines="0" w:afterLines="0" w:line="590" w:lineRule="exact"/>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与上年相比</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年度项目支出减少</w:t>
      </w:r>
      <w:r>
        <w:rPr>
          <w:rFonts w:hint="default" w:ascii="Times New Roman" w:hAnsi="Times New Roman" w:eastAsia="仿宋_GB2312" w:cs="Times New Roman"/>
          <w:color w:val="auto"/>
          <w:sz w:val="32"/>
          <w:szCs w:val="24"/>
          <w:lang w:val="en-US" w:eastAsia="zh-CN"/>
        </w:rPr>
        <w:t>113.68</w:t>
      </w:r>
      <w:r>
        <w:rPr>
          <w:rFonts w:hint="eastAsia" w:ascii="仿宋_GB2312" w:hAnsi="仿宋_GB2312" w:eastAsia="仿宋_GB2312" w:cs="仿宋_GB2312"/>
          <w:color w:val="auto"/>
          <w:sz w:val="32"/>
          <w:szCs w:val="24"/>
          <w:lang w:val="en-US" w:eastAsia="zh-CN"/>
        </w:rPr>
        <w:t>万元，主要原因：</w:t>
      </w:r>
    </w:p>
    <w:p>
      <w:pPr>
        <w:numPr>
          <w:ilvl w:val="0"/>
          <w:numId w:val="0"/>
        </w:numPr>
        <w:spacing w:beforeLines="0" w:afterLines="0" w:line="590" w:lineRule="exact"/>
        <w:ind w:firstLine="320" w:firstLineChars="100"/>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1.专用材料费和劳务费支出减少导致。</w:t>
      </w:r>
    </w:p>
    <w:p>
      <w:pPr>
        <w:numPr>
          <w:ilvl w:val="0"/>
          <w:numId w:val="0"/>
        </w:numPr>
        <w:spacing w:beforeLines="0" w:afterLines="0" w:line="590" w:lineRule="exact"/>
        <w:ind w:firstLine="320" w:firstLineChars="100"/>
        <w:jc w:val="left"/>
        <w:rPr>
          <w:rFonts w:hint="eastAsia" w:ascii="仿宋" w:hAnsi="仿宋" w:eastAsia="仿宋"/>
          <w:color w:val="auto"/>
          <w:sz w:val="32"/>
          <w:szCs w:val="24"/>
          <w:lang w:val="en-US" w:eastAsia="zh-CN"/>
        </w:rPr>
      </w:pPr>
      <w:r>
        <w:rPr>
          <w:rFonts w:hint="eastAsia" w:ascii="仿宋" w:hAnsi="仿宋" w:eastAsia="仿宋"/>
          <w:color w:val="auto"/>
          <w:sz w:val="32"/>
          <w:szCs w:val="24"/>
          <w:lang w:val="en-US" w:eastAsia="zh-CN"/>
        </w:rPr>
        <w:drawing>
          <wp:anchor distT="0" distB="0" distL="114300" distR="114300" simplePos="0" relativeHeight="251673600" behindDoc="0" locked="0" layoutInCell="1" allowOverlap="1">
            <wp:simplePos x="0" y="0"/>
            <wp:positionH relativeFrom="column">
              <wp:posOffset>204470</wp:posOffset>
            </wp:positionH>
            <wp:positionV relativeFrom="paragraph">
              <wp:posOffset>439420</wp:posOffset>
            </wp:positionV>
            <wp:extent cx="5080000" cy="3810000"/>
            <wp:effectExtent l="4445" t="4445" r="20955" b="14605"/>
            <wp:wrapSquare wrapText="bothSides"/>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color w:val="auto"/>
          <w:sz w:val="32"/>
          <w:szCs w:val="24"/>
          <w:lang w:val="en-US" w:eastAsia="zh-CN"/>
        </w:rPr>
        <w:t>2.是资本性支出减少导致。</w:t>
      </w:r>
    </w:p>
    <w:p>
      <w:pPr>
        <w:spacing w:beforeLines="0" w:afterLines="0" w:line="590" w:lineRule="exact"/>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drawing>
          <wp:anchor distT="0" distB="0" distL="114300" distR="114300" simplePos="0" relativeHeight="251674624" behindDoc="0" locked="0" layoutInCell="1" allowOverlap="1">
            <wp:simplePos x="0" y="0"/>
            <wp:positionH relativeFrom="column">
              <wp:posOffset>118745</wp:posOffset>
            </wp:positionH>
            <wp:positionV relativeFrom="paragraph">
              <wp:posOffset>185420</wp:posOffset>
            </wp:positionV>
            <wp:extent cx="5080000" cy="3810000"/>
            <wp:effectExtent l="4445" t="4445" r="20955" b="14605"/>
            <wp:wrapSquare wrapText="bothSides"/>
            <wp:docPr id="31"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s="仿宋_GB2312"/>
          <w:color w:val="auto"/>
          <w:sz w:val="32"/>
          <w:szCs w:val="24"/>
          <w:lang w:val="en-US" w:eastAsia="zh-CN"/>
        </w:rPr>
        <w:t>具体工作开展情况：</w:t>
      </w:r>
    </w:p>
    <w:p>
      <w:pPr>
        <w:numPr>
          <w:ilvl w:val="0"/>
          <w:numId w:val="0"/>
        </w:numPr>
        <w:spacing w:beforeLines="0" w:afterLines="0" w:line="590" w:lineRule="exact"/>
        <w:ind w:firstLine="640" w:firstLineChars="200"/>
        <w:jc w:val="left"/>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1.公共卫生。</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年度全市年终考核第</w:t>
      </w:r>
      <w:r>
        <w:rPr>
          <w:rFonts w:hint="default" w:ascii="Times New Roman" w:hAnsi="Times New Roman" w:eastAsia="仿宋_GB2312" w:cs="Times New Roman"/>
          <w:color w:val="auto"/>
          <w:sz w:val="32"/>
          <w:szCs w:val="24"/>
          <w:lang w:val="en-US" w:eastAsia="zh-CN"/>
        </w:rPr>
        <w:t>五</w:t>
      </w:r>
      <w:r>
        <w:rPr>
          <w:rFonts w:hint="eastAsia" w:ascii="仿宋_GB2312" w:hAnsi="仿宋_GB2312" w:eastAsia="仿宋_GB2312" w:cs="仿宋_GB2312"/>
          <w:color w:val="auto"/>
          <w:sz w:val="32"/>
          <w:szCs w:val="24"/>
          <w:lang w:val="en-US" w:eastAsia="zh-CN"/>
        </w:rPr>
        <w:t>名，考核得分</w:t>
      </w:r>
      <w:r>
        <w:rPr>
          <w:rFonts w:hint="default" w:ascii="Times New Roman" w:hAnsi="Times New Roman" w:eastAsia="仿宋_GB2312" w:cs="Times New Roman"/>
          <w:color w:val="auto"/>
          <w:sz w:val="32"/>
          <w:szCs w:val="24"/>
          <w:lang w:val="en-US" w:eastAsia="zh-CN"/>
        </w:rPr>
        <w:t>94.55</w:t>
      </w:r>
      <w:r>
        <w:rPr>
          <w:rFonts w:hint="eastAsia" w:ascii="仿宋_GB2312" w:hAnsi="仿宋_GB2312" w:eastAsia="仿宋_GB2312" w:cs="仿宋_GB2312"/>
          <w:color w:val="auto"/>
          <w:sz w:val="32"/>
          <w:szCs w:val="24"/>
          <w:lang w:val="en-US" w:eastAsia="zh-CN"/>
        </w:rPr>
        <w:t>分。健康管理情况：</w:t>
      </w:r>
      <w:r>
        <w:rPr>
          <w:rFonts w:hint="default" w:ascii="Times New Roman" w:hAnsi="Times New Roman" w:eastAsia="仿宋_GB2312" w:cs="Times New Roman"/>
          <w:color w:val="auto"/>
          <w:sz w:val="32"/>
          <w:szCs w:val="24"/>
          <w:lang w:val="en-US" w:eastAsia="zh-CN"/>
        </w:rPr>
        <w:t>65</w:t>
      </w:r>
      <w:r>
        <w:rPr>
          <w:rFonts w:hint="eastAsia" w:ascii="仿宋_GB2312" w:hAnsi="仿宋_GB2312" w:eastAsia="仿宋_GB2312" w:cs="仿宋_GB2312"/>
          <w:color w:val="auto"/>
          <w:sz w:val="32"/>
          <w:szCs w:val="24"/>
          <w:lang w:val="en-US" w:eastAsia="zh-CN"/>
        </w:rPr>
        <w:t>岁以上老年人健康管理人数</w:t>
      </w:r>
      <w:r>
        <w:rPr>
          <w:rFonts w:hint="default" w:ascii="Times New Roman" w:hAnsi="Times New Roman" w:eastAsia="仿宋_GB2312" w:cs="Times New Roman"/>
          <w:color w:val="auto"/>
          <w:sz w:val="32"/>
          <w:szCs w:val="24"/>
          <w:lang w:val="en-US" w:eastAsia="zh-CN"/>
        </w:rPr>
        <w:t>3109</w:t>
      </w:r>
      <w:r>
        <w:rPr>
          <w:rFonts w:hint="eastAsia" w:ascii="仿宋_GB2312" w:hAnsi="仿宋_GB2312" w:eastAsia="仿宋_GB2312" w:cs="仿宋_GB2312"/>
          <w:color w:val="auto"/>
          <w:sz w:val="32"/>
          <w:szCs w:val="24"/>
          <w:lang w:val="en-US" w:eastAsia="zh-CN"/>
        </w:rPr>
        <w:t>人次、预防接种人数</w:t>
      </w:r>
      <w:r>
        <w:rPr>
          <w:rFonts w:hint="default" w:ascii="Times New Roman" w:hAnsi="Times New Roman" w:eastAsia="仿宋_GB2312" w:cs="Times New Roman"/>
          <w:color w:val="auto"/>
          <w:sz w:val="32"/>
          <w:szCs w:val="24"/>
          <w:lang w:val="en-US" w:eastAsia="zh-CN"/>
        </w:rPr>
        <w:t>6417</w:t>
      </w:r>
      <w:r>
        <w:rPr>
          <w:rFonts w:hint="eastAsia" w:ascii="仿宋_GB2312" w:hAnsi="仿宋_GB2312" w:eastAsia="仿宋_GB2312" w:cs="仿宋_GB2312"/>
          <w:color w:val="auto"/>
          <w:sz w:val="32"/>
          <w:szCs w:val="24"/>
          <w:lang w:val="en-US" w:eastAsia="zh-CN"/>
        </w:rPr>
        <w:t>人次、</w:t>
      </w:r>
      <w:r>
        <w:rPr>
          <w:rFonts w:hint="default" w:ascii="Times New Roman" w:hAnsi="Times New Roman" w:eastAsia="仿宋_GB2312" w:cs="Times New Roman"/>
          <w:color w:val="auto"/>
          <w:sz w:val="32"/>
          <w:szCs w:val="24"/>
          <w:lang w:val="en-US" w:eastAsia="zh-CN"/>
        </w:rPr>
        <w:t>0-6</w:t>
      </w:r>
      <w:r>
        <w:rPr>
          <w:rFonts w:hint="eastAsia" w:ascii="仿宋_GB2312" w:hAnsi="仿宋_GB2312" w:eastAsia="仿宋_GB2312" w:cs="仿宋_GB2312"/>
          <w:color w:val="auto"/>
          <w:sz w:val="32"/>
          <w:szCs w:val="24"/>
          <w:lang w:val="en-US" w:eastAsia="zh-CN"/>
        </w:rPr>
        <w:t>岁儿童健康管理人数</w:t>
      </w:r>
      <w:r>
        <w:rPr>
          <w:rFonts w:hint="default" w:ascii="Times New Roman" w:hAnsi="Times New Roman" w:eastAsia="仿宋_GB2312" w:cs="Times New Roman"/>
          <w:color w:val="auto"/>
          <w:sz w:val="32"/>
          <w:szCs w:val="24"/>
          <w:lang w:val="en-US" w:eastAsia="zh-CN"/>
        </w:rPr>
        <w:t>4055</w:t>
      </w:r>
      <w:r>
        <w:rPr>
          <w:rFonts w:hint="eastAsia" w:ascii="仿宋_GB2312" w:hAnsi="仿宋_GB2312" w:eastAsia="仿宋_GB2312" w:cs="仿宋_GB2312"/>
          <w:color w:val="auto"/>
          <w:sz w:val="32"/>
          <w:szCs w:val="24"/>
          <w:lang w:val="en-US" w:eastAsia="zh-CN"/>
        </w:rPr>
        <w:t>人次、高血压患者管理人数</w:t>
      </w:r>
      <w:r>
        <w:rPr>
          <w:rFonts w:hint="default" w:ascii="Times New Roman" w:hAnsi="Times New Roman" w:eastAsia="仿宋_GB2312" w:cs="Times New Roman"/>
          <w:color w:val="auto"/>
          <w:sz w:val="32"/>
          <w:szCs w:val="24"/>
          <w:lang w:val="en-US" w:eastAsia="zh-CN"/>
        </w:rPr>
        <w:t>3247</w:t>
      </w:r>
      <w:r>
        <w:rPr>
          <w:rFonts w:hint="eastAsia" w:ascii="仿宋_GB2312" w:hAnsi="仿宋_GB2312" w:eastAsia="仿宋_GB2312" w:cs="仿宋_GB2312"/>
          <w:color w:val="auto"/>
          <w:sz w:val="32"/>
          <w:szCs w:val="24"/>
          <w:lang w:val="en-US" w:eastAsia="zh-CN"/>
        </w:rPr>
        <w:t>人次、糖尿病患者管理人数</w:t>
      </w:r>
      <w:r>
        <w:rPr>
          <w:rFonts w:hint="default" w:ascii="Times New Roman" w:hAnsi="Times New Roman" w:eastAsia="仿宋_GB2312" w:cs="Times New Roman"/>
          <w:color w:val="auto"/>
          <w:sz w:val="32"/>
          <w:szCs w:val="24"/>
          <w:lang w:val="en-US" w:eastAsia="zh-CN"/>
        </w:rPr>
        <w:t>1023</w:t>
      </w:r>
      <w:r>
        <w:rPr>
          <w:rFonts w:hint="eastAsia" w:ascii="仿宋_GB2312" w:hAnsi="仿宋_GB2312" w:eastAsia="仿宋_GB2312" w:cs="仿宋_GB2312"/>
          <w:color w:val="auto"/>
          <w:sz w:val="32"/>
          <w:szCs w:val="24"/>
          <w:lang w:val="en-US" w:eastAsia="zh-CN"/>
        </w:rPr>
        <w:t>人次、严重精神病障碍患者管理人数</w:t>
      </w:r>
      <w:r>
        <w:rPr>
          <w:rFonts w:hint="default" w:ascii="Times New Roman" w:hAnsi="Times New Roman" w:eastAsia="仿宋_GB2312" w:cs="Times New Roman"/>
          <w:color w:val="auto"/>
          <w:sz w:val="32"/>
          <w:szCs w:val="24"/>
          <w:lang w:val="en-US" w:eastAsia="zh-CN"/>
        </w:rPr>
        <w:t>210</w:t>
      </w:r>
      <w:r>
        <w:rPr>
          <w:rFonts w:hint="eastAsia" w:ascii="仿宋_GB2312" w:hAnsi="仿宋_GB2312" w:eastAsia="仿宋_GB2312" w:cs="仿宋_GB2312"/>
          <w:color w:val="auto"/>
          <w:sz w:val="32"/>
          <w:szCs w:val="24"/>
          <w:lang w:val="en-US" w:eastAsia="zh-CN"/>
        </w:rPr>
        <w:t>人次、肺结核病患者健康管理人数</w:t>
      </w:r>
      <w:r>
        <w:rPr>
          <w:rFonts w:hint="default" w:ascii="Times New Roman" w:hAnsi="Times New Roman" w:eastAsia="仿宋_GB2312" w:cs="Times New Roman"/>
          <w:color w:val="auto"/>
          <w:sz w:val="32"/>
          <w:szCs w:val="24"/>
          <w:lang w:val="en-US" w:eastAsia="zh-CN"/>
        </w:rPr>
        <w:t>31</w:t>
      </w:r>
      <w:r>
        <w:rPr>
          <w:rFonts w:hint="eastAsia" w:ascii="仿宋_GB2312" w:hAnsi="仿宋_GB2312" w:eastAsia="仿宋_GB2312" w:cs="仿宋_GB2312"/>
          <w:color w:val="auto"/>
          <w:sz w:val="32"/>
          <w:szCs w:val="24"/>
          <w:lang w:val="en-US" w:eastAsia="zh-CN"/>
        </w:rPr>
        <w:t>人次、年内传染病和突发公共卫生事件报告例数</w:t>
      </w:r>
      <w:r>
        <w:rPr>
          <w:rFonts w:hint="default" w:ascii="Times New Roman" w:hAnsi="Times New Roman" w:eastAsia="仿宋_GB2312" w:cs="Times New Roman"/>
          <w:color w:val="auto"/>
          <w:sz w:val="32"/>
          <w:szCs w:val="24"/>
          <w:lang w:val="en-US" w:eastAsia="zh-CN"/>
        </w:rPr>
        <w:t>420</w:t>
      </w:r>
      <w:r>
        <w:rPr>
          <w:rFonts w:hint="eastAsia" w:ascii="仿宋_GB2312" w:hAnsi="仿宋_GB2312" w:eastAsia="仿宋_GB2312" w:cs="仿宋_GB2312"/>
          <w:color w:val="auto"/>
          <w:sz w:val="32"/>
          <w:szCs w:val="24"/>
          <w:lang w:val="en-US" w:eastAsia="zh-CN"/>
        </w:rPr>
        <w:t>例、卫生监督协管巡查次数</w:t>
      </w:r>
      <w:r>
        <w:rPr>
          <w:rFonts w:hint="default" w:ascii="Times New Roman" w:hAnsi="Times New Roman" w:eastAsia="仿宋_GB2312" w:cs="Times New Roman"/>
          <w:color w:val="auto"/>
          <w:sz w:val="32"/>
          <w:szCs w:val="24"/>
          <w:lang w:val="en-US" w:eastAsia="zh-CN"/>
        </w:rPr>
        <w:t>915</w:t>
      </w:r>
      <w:r>
        <w:rPr>
          <w:rFonts w:hint="eastAsia" w:ascii="仿宋_GB2312" w:hAnsi="仿宋_GB2312" w:eastAsia="仿宋_GB2312" w:cs="仿宋_GB2312"/>
          <w:color w:val="auto"/>
          <w:sz w:val="32"/>
          <w:szCs w:val="24"/>
          <w:lang w:val="en-US" w:eastAsia="zh-CN"/>
        </w:rPr>
        <w:t>次、中医药健康管理人数</w:t>
      </w:r>
      <w:r>
        <w:rPr>
          <w:rFonts w:hint="default" w:ascii="Times New Roman" w:hAnsi="Times New Roman" w:eastAsia="仿宋_GB2312" w:cs="Times New Roman"/>
          <w:color w:val="auto"/>
          <w:sz w:val="32"/>
          <w:szCs w:val="24"/>
          <w:lang w:val="en-US" w:eastAsia="zh-CN"/>
        </w:rPr>
        <w:t>4849</w:t>
      </w:r>
      <w:r>
        <w:rPr>
          <w:rFonts w:hint="eastAsia" w:ascii="仿宋_GB2312" w:hAnsi="仿宋_GB2312" w:eastAsia="仿宋_GB2312" w:cs="仿宋_GB2312"/>
          <w:color w:val="auto"/>
          <w:sz w:val="32"/>
          <w:szCs w:val="24"/>
          <w:lang w:val="en-US" w:eastAsia="zh-CN"/>
        </w:rPr>
        <w:t>人、居民健康档案累计建档人数</w:t>
      </w:r>
      <w:r>
        <w:rPr>
          <w:rFonts w:hint="default" w:ascii="Times New Roman" w:hAnsi="Times New Roman" w:eastAsia="仿宋_GB2312" w:cs="Times New Roman"/>
          <w:color w:val="auto"/>
          <w:sz w:val="32"/>
          <w:szCs w:val="24"/>
          <w:lang w:val="en-US" w:eastAsia="zh-CN"/>
        </w:rPr>
        <w:t>47796</w:t>
      </w:r>
      <w:r>
        <w:rPr>
          <w:rFonts w:hint="eastAsia" w:ascii="仿宋_GB2312" w:hAnsi="仿宋_GB2312" w:eastAsia="仿宋_GB2312" w:cs="仿宋_GB2312"/>
          <w:color w:val="auto"/>
          <w:sz w:val="32"/>
          <w:szCs w:val="24"/>
          <w:lang w:val="en-US" w:eastAsia="zh-CN"/>
        </w:rPr>
        <w:t>人次。</w:t>
      </w:r>
    </w:p>
    <w:p>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2.乡镇卫生院。</w:t>
      </w:r>
      <w:r>
        <w:rPr>
          <w:rFonts w:hint="eastAsia" w:ascii="仿宋_GB2312" w:hAnsi="仿宋_GB2312" w:eastAsia="仿宋_GB2312" w:cs="仿宋_GB2312"/>
          <w:color w:val="auto"/>
          <w:sz w:val="32"/>
          <w:szCs w:val="24"/>
          <w:lang w:val="en-US" w:eastAsia="zh-CN"/>
        </w:rPr>
        <w:t>已完成慢病管理中心和心脑血管救治站建设任务，并成功通过省级专家组验收。</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年，心脑血管救治站救治并转诊患者</w:t>
      </w:r>
      <w:r>
        <w:rPr>
          <w:rFonts w:hint="default" w:ascii="Times New Roman" w:hAnsi="Times New Roman" w:eastAsia="仿宋_GB2312" w:cs="Times New Roman"/>
          <w:color w:val="auto"/>
          <w:sz w:val="32"/>
          <w:szCs w:val="24"/>
          <w:lang w:val="en-US" w:eastAsia="zh-CN"/>
        </w:rPr>
        <w:t>100</w:t>
      </w:r>
      <w:r>
        <w:rPr>
          <w:rFonts w:hint="eastAsia" w:ascii="仿宋_GB2312" w:hAnsi="仿宋_GB2312" w:eastAsia="仿宋_GB2312" w:cs="仿宋_GB2312"/>
          <w:color w:val="auto"/>
          <w:sz w:val="32"/>
          <w:szCs w:val="24"/>
          <w:lang w:val="en-US" w:eastAsia="zh-CN"/>
        </w:rPr>
        <w:t>余人次。</w:t>
      </w:r>
    </w:p>
    <w:p>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3.基层医疗卫生机构。</w:t>
      </w:r>
      <w:r>
        <w:rPr>
          <w:rFonts w:hint="eastAsia" w:ascii="仿宋_GB2312" w:hAnsi="仿宋_GB2312" w:eastAsia="仿宋_GB2312" w:cs="仿宋_GB2312"/>
          <w:color w:val="auto"/>
          <w:sz w:val="32"/>
          <w:szCs w:val="24"/>
          <w:lang w:val="en-US" w:eastAsia="zh-CN"/>
        </w:rPr>
        <w:t>主要是实施国家基本药物制度、家庭医生签约服务工作和村卫生室管理工作。</w:t>
      </w:r>
    </w:p>
    <w:p>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（1）实施国家基本药物制度。</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年乡村两级基层医疗卫生机构已全覆盖实施国家基本药物制度，全市年度考核得分</w:t>
      </w:r>
      <w:r>
        <w:rPr>
          <w:rFonts w:hint="default" w:ascii="Times New Roman" w:hAnsi="Times New Roman" w:eastAsia="仿宋_GB2312" w:cs="Times New Roman"/>
          <w:color w:val="auto"/>
          <w:sz w:val="32"/>
          <w:szCs w:val="24"/>
          <w:lang w:val="en-US" w:eastAsia="zh-CN"/>
        </w:rPr>
        <w:t>98</w:t>
      </w:r>
      <w:r>
        <w:rPr>
          <w:rFonts w:hint="eastAsia" w:ascii="仿宋_GB2312" w:hAnsi="仿宋_GB2312" w:eastAsia="仿宋_GB2312" w:cs="仿宋_GB2312"/>
          <w:color w:val="auto"/>
          <w:sz w:val="32"/>
          <w:szCs w:val="24"/>
          <w:lang w:val="en-US" w:eastAsia="zh-CN"/>
        </w:rPr>
        <w:t>分。</w:t>
      </w:r>
    </w:p>
    <w:p>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（2）家庭医生签约服务。</w:t>
      </w:r>
      <w:r>
        <w:rPr>
          <w:rFonts w:hint="eastAsia" w:ascii="仿宋_GB2312" w:hAnsi="仿宋_GB2312" w:eastAsia="仿宋_GB2312" w:cs="仿宋_GB2312"/>
          <w:color w:val="auto"/>
          <w:sz w:val="32"/>
          <w:szCs w:val="24"/>
          <w:lang w:val="en-US" w:eastAsia="zh-CN"/>
        </w:rPr>
        <w:t>全镇已组建</w:t>
      </w:r>
      <w:r>
        <w:rPr>
          <w:rFonts w:hint="default" w:ascii="Times New Roman" w:hAnsi="Times New Roman" w:eastAsia="仿宋_GB2312" w:cs="Times New Roman"/>
          <w:color w:val="auto"/>
          <w:sz w:val="32"/>
          <w:szCs w:val="24"/>
          <w:lang w:val="en-US" w:eastAsia="zh-CN"/>
        </w:rPr>
        <w:t>13</w:t>
      </w:r>
      <w:r>
        <w:rPr>
          <w:rFonts w:hint="eastAsia" w:ascii="仿宋_GB2312" w:hAnsi="仿宋_GB2312" w:eastAsia="仿宋_GB2312" w:cs="仿宋_GB2312"/>
          <w:color w:val="auto"/>
          <w:sz w:val="32"/>
          <w:szCs w:val="24"/>
          <w:lang w:val="en-US" w:eastAsia="zh-CN"/>
        </w:rPr>
        <w:t>个服务团队，抽调医务人员</w:t>
      </w:r>
      <w:r>
        <w:rPr>
          <w:rFonts w:hint="default" w:ascii="Times New Roman" w:hAnsi="Times New Roman" w:eastAsia="仿宋_GB2312" w:cs="Times New Roman"/>
          <w:color w:val="auto"/>
          <w:sz w:val="32"/>
          <w:szCs w:val="24"/>
          <w:lang w:val="en-US" w:eastAsia="zh-CN"/>
        </w:rPr>
        <w:t>54</w:t>
      </w:r>
      <w:r>
        <w:rPr>
          <w:rFonts w:hint="eastAsia" w:ascii="仿宋_GB2312" w:hAnsi="仿宋_GB2312" w:eastAsia="仿宋_GB2312" w:cs="仿宋_GB2312"/>
          <w:color w:val="auto"/>
          <w:sz w:val="32"/>
          <w:szCs w:val="24"/>
          <w:lang w:val="en-US" w:eastAsia="zh-CN"/>
        </w:rPr>
        <w:t>人。</w:t>
      </w:r>
      <w:r>
        <w:rPr>
          <w:rFonts w:hint="default" w:ascii="Times New Roman" w:hAnsi="Times New Roman" w:eastAsia="仿宋_GB2312" w:cs="Times New Roman"/>
          <w:color w:val="auto"/>
          <w:sz w:val="32"/>
          <w:szCs w:val="24"/>
          <w:lang w:val="en-US" w:eastAsia="zh-CN"/>
        </w:rPr>
        <w:t>2020</w:t>
      </w:r>
      <w:r>
        <w:rPr>
          <w:rFonts w:hint="eastAsia" w:ascii="仿宋_GB2312" w:hAnsi="仿宋_GB2312" w:eastAsia="仿宋_GB2312" w:cs="仿宋_GB2312"/>
          <w:color w:val="auto"/>
          <w:sz w:val="32"/>
          <w:szCs w:val="24"/>
          <w:lang w:val="en-US" w:eastAsia="zh-CN"/>
        </w:rPr>
        <w:t>年度已完成目标任务的签约服务工作，并对目标人群开展健康体检、健康知识宣教等健康服务。签约服务情况：</w:t>
      </w:r>
      <w:r>
        <w:rPr>
          <w:rFonts w:hint="default" w:ascii="Times New Roman" w:hAnsi="Times New Roman" w:eastAsia="仿宋_GB2312" w:cs="Times New Roman"/>
          <w:color w:val="auto"/>
          <w:sz w:val="32"/>
          <w:szCs w:val="24"/>
          <w:lang w:val="en-US" w:eastAsia="zh-CN"/>
        </w:rPr>
        <w:t>0-6</w:t>
      </w:r>
      <w:r>
        <w:rPr>
          <w:rFonts w:hint="eastAsia" w:ascii="仿宋_GB2312" w:hAnsi="仿宋_GB2312" w:eastAsia="仿宋_GB2312" w:cs="仿宋_GB2312"/>
          <w:color w:val="auto"/>
          <w:sz w:val="32"/>
          <w:szCs w:val="24"/>
          <w:lang w:val="en-US" w:eastAsia="zh-CN"/>
        </w:rPr>
        <w:t>岁儿童</w:t>
      </w:r>
      <w:r>
        <w:rPr>
          <w:rFonts w:hint="default" w:ascii="Times New Roman" w:hAnsi="Times New Roman" w:eastAsia="仿宋_GB2312" w:cs="Times New Roman"/>
          <w:color w:val="auto"/>
          <w:sz w:val="32"/>
          <w:szCs w:val="24"/>
          <w:lang w:val="en-US" w:eastAsia="zh-CN"/>
        </w:rPr>
        <w:t>370</w:t>
      </w:r>
      <w:r>
        <w:rPr>
          <w:rFonts w:hint="eastAsia" w:ascii="仿宋_GB2312" w:hAnsi="仿宋_GB2312" w:eastAsia="仿宋_GB2312" w:cs="仿宋_GB2312"/>
          <w:color w:val="auto"/>
          <w:sz w:val="32"/>
          <w:szCs w:val="24"/>
          <w:lang w:val="en-US" w:eastAsia="zh-CN"/>
        </w:rPr>
        <w:t>人次、肺结核患者</w:t>
      </w:r>
      <w:r>
        <w:rPr>
          <w:rFonts w:hint="default" w:ascii="Times New Roman" w:hAnsi="Times New Roman" w:eastAsia="仿宋_GB2312" w:cs="Times New Roman"/>
          <w:color w:val="auto"/>
          <w:sz w:val="32"/>
          <w:szCs w:val="24"/>
          <w:lang w:val="en-US" w:eastAsia="zh-CN"/>
        </w:rPr>
        <w:t>7</w:t>
      </w:r>
      <w:r>
        <w:rPr>
          <w:rFonts w:hint="eastAsia" w:ascii="仿宋_GB2312" w:hAnsi="仿宋_GB2312" w:eastAsia="仿宋_GB2312" w:cs="仿宋_GB2312"/>
          <w:color w:val="auto"/>
          <w:sz w:val="32"/>
          <w:szCs w:val="24"/>
          <w:lang w:val="en-US" w:eastAsia="zh-CN"/>
        </w:rPr>
        <w:t>人次、高血压患者</w:t>
      </w:r>
      <w:r>
        <w:rPr>
          <w:rFonts w:hint="default" w:ascii="Times New Roman" w:hAnsi="Times New Roman" w:eastAsia="仿宋_GB2312" w:cs="Times New Roman"/>
          <w:color w:val="auto"/>
          <w:sz w:val="32"/>
          <w:szCs w:val="24"/>
          <w:lang w:val="en-US" w:eastAsia="zh-CN"/>
        </w:rPr>
        <w:t>1392</w:t>
      </w:r>
      <w:r>
        <w:rPr>
          <w:rFonts w:hint="eastAsia" w:ascii="仿宋_GB2312" w:hAnsi="仿宋_GB2312" w:eastAsia="仿宋_GB2312" w:cs="仿宋_GB2312"/>
          <w:color w:val="auto"/>
          <w:sz w:val="32"/>
          <w:szCs w:val="24"/>
          <w:lang w:val="en-US" w:eastAsia="zh-CN"/>
        </w:rPr>
        <w:t>人次、糖尿病患者</w:t>
      </w:r>
      <w:r>
        <w:rPr>
          <w:rFonts w:hint="default" w:ascii="Times New Roman" w:hAnsi="Times New Roman" w:eastAsia="仿宋_GB2312" w:cs="Times New Roman"/>
          <w:color w:val="auto"/>
          <w:sz w:val="32"/>
          <w:szCs w:val="24"/>
          <w:lang w:val="en-US" w:eastAsia="zh-CN"/>
        </w:rPr>
        <w:t>149</w:t>
      </w:r>
      <w:r>
        <w:rPr>
          <w:rFonts w:hint="eastAsia" w:ascii="仿宋_GB2312" w:hAnsi="仿宋_GB2312" w:eastAsia="仿宋_GB2312" w:cs="仿宋_GB2312"/>
          <w:color w:val="auto"/>
          <w:sz w:val="32"/>
          <w:szCs w:val="24"/>
          <w:lang w:val="en-US" w:eastAsia="zh-CN"/>
        </w:rPr>
        <w:t>人次、严重精神病障碍患者</w:t>
      </w:r>
      <w:r>
        <w:rPr>
          <w:rFonts w:hint="default" w:ascii="Times New Roman" w:hAnsi="Times New Roman" w:eastAsia="仿宋_GB2312" w:cs="Times New Roman"/>
          <w:color w:val="auto"/>
          <w:sz w:val="32"/>
          <w:szCs w:val="24"/>
          <w:lang w:val="en-US" w:eastAsia="zh-CN"/>
        </w:rPr>
        <w:t>56</w:t>
      </w:r>
      <w:r>
        <w:rPr>
          <w:rFonts w:hint="eastAsia" w:ascii="仿宋_GB2312" w:hAnsi="仿宋_GB2312" w:eastAsia="仿宋_GB2312" w:cs="仿宋_GB2312"/>
          <w:color w:val="auto"/>
          <w:sz w:val="32"/>
          <w:szCs w:val="24"/>
          <w:lang w:val="en-US" w:eastAsia="zh-CN"/>
        </w:rPr>
        <w:t>人次、孕产妇</w:t>
      </w:r>
      <w:r>
        <w:rPr>
          <w:rFonts w:hint="default" w:ascii="Times New Roman" w:hAnsi="Times New Roman" w:eastAsia="仿宋_GB2312" w:cs="Times New Roman"/>
          <w:color w:val="auto"/>
          <w:sz w:val="32"/>
          <w:szCs w:val="24"/>
          <w:lang w:val="en-US" w:eastAsia="zh-CN"/>
        </w:rPr>
        <w:t>9</w:t>
      </w:r>
      <w:r>
        <w:rPr>
          <w:rFonts w:hint="eastAsia" w:ascii="仿宋_GB2312" w:hAnsi="仿宋_GB2312" w:eastAsia="仿宋_GB2312" w:cs="仿宋_GB2312"/>
          <w:color w:val="auto"/>
          <w:sz w:val="32"/>
          <w:szCs w:val="24"/>
          <w:lang w:val="en-US" w:eastAsia="zh-CN"/>
        </w:rPr>
        <w:t>人次、</w:t>
      </w:r>
      <w:r>
        <w:rPr>
          <w:rFonts w:hint="default" w:ascii="Times New Roman" w:hAnsi="Times New Roman" w:eastAsia="仿宋_GB2312" w:cs="Times New Roman"/>
          <w:color w:val="auto"/>
          <w:sz w:val="32"/>
          <w:szCs w:val="24"/>
          <w:lang w:val="en-US" w:eastAsia="zh-CN"/>
        </w:rPr>
        <w:t>65</w:t>
      </w:r>
      <w:r>
        <w:rPr>
          <w:rFonts w:hint="eastAsia" w:ascii="仿宋_GB2312" w:hAnsi="仿宋_GB2312" w:eastAsia="仿宋_GB2312" w:cs="仿宋_GB2312"/>
          <w:color w:val="auto"/>
          <w:sz w:val="32"/>
          <w:szCs w:val="24"/>
          <w:lang w:val="en-US" w:eastAsia="zh-CN"/>
        </w:rPr>
        <w:t>岁以上老年人</w:t>
      </w:r>
      <w:r>
        <w:rPr>
          <w:rFonts w:hint="default" w:ascii="Times New Roman" w:hAnsi="Times New Roman" w:eastAsia="仿宋_GB2312" w:cs="Times New Roman"/>
          <w:color w:val="auto"/>
          <w:sz w:val="32"/>
          <w:szCs w:val="24"/>
          <w:lang w:val="en-US" w:eastAsia="zh-CN"/>
        </w:rPr>
        <w:t>422</w:t>
      </w:r>
      <w:r>
        <w:rPr>
          <w:rFonts w:hint="eastAsia" w:ascii="仿宋_GB2312" w:hAnsi="仿宋_GB2312" w:eastAsia="仿宋_GB2312" w:cs="仿宋_GB2312"/>
          <w:color w:val="auto"/>
          <w:sz w:val="32"/>
          <w:szCs w:val="24"/>
          <w:lang w:val="en-US" w:eastAsia="zh-CN"/>
        </w:rPr>
        <w:t>人次、普通居民</w:t>
      </w:r>
      <w:r>
        <w:rPr>
          <w:rFonts w:hint="default" w:ascii="Times New Roman" w:hAnsi="Times New Roman" w:eastAsia="仿宋_GB2312" w:cs="Times New Roman"/>
          <w:color w:val="auto"/>
          <w:sz w:val="32"/>
          <w:szCs w:val="24"/>
          <w:lang w:val="en-US" w:eastAsia="zh-CN"/>
        </w:rPr>
        <w:t>2760</w:t>
      </w:r>
      <w:r>
        <w:rPr>
          <w:rFonts w:hint="eastAsia" w:ascii="仿宋_GB2312" w:hAnsi="仿宋_GB2312" w:eastAsia="仿宋_GB2312" w:cs="仿宋_GB2312"/>
          <w:color w:val="auto"/>
          <w:sz w:val="32"/>
          <w:szCs w:val="24"/>
          <w:lang w:val="en-US" w:eastAsia="zh-CN"/>
        </w:rPr>
        <w:t>人次、残疾人</w:t>
      </w:r>
      <w:r>
        <w:rPr>
          <w:rFonts w:hint="default" w:ascii="Times New Roman" w:hAnsi="Times New Roman" w:eastAsia="仿宋_GB2312" w:cs="Times New Roman"/>
          <w:color w:val="auto"/>
          <w:sz w:val="32"/>
          <w:szCs w:val="24"/>
          <w:lang w:val="en-US" w:eastAsia="zh-CN"/>
        </w:rPr>
        <w:t>428</w:t>
      </w:r>
      <w:r>
        <w:rPr>
          <w:rFonts w:hint="eastAsia" w:ascii="仿宋_GB2312" w:hAnsi="仿宋_GB2312" w:eastAsia="仿宋_GB2312" w:cs="仿宋_GB2312"/>
          <w:color w:val="auto"/>
          <w:sz w:val="32"/>
          <w:szCs w:val="24"/>
          <w:lang w:val="en-US" w:eastAsia="zh-CN"/>
        </w:rPr>
        <w:t>人次、计生特殊家庭</w:t>
      </w:r>
      <w:r>
        <w:rPr>
          <w:rFonts w:hint="default" w:ascii="Times New Roman" w:hAnsi="Times New Roman" w:eastAsia="仿宋_GB2312" w:cs="Times New Roman"/>
          <w:color w:val="auto"/>
          <w:sz w:val="32"/>
          <w:szCs w:val="24"/>
          <w:lang w:val="en-US" w:eastAsia="zh-CN"/>
        </w:rPr>
        <w:t>20</w:t>
      </w:r>
      <w:r>
        <w:rPr>
          <w:rFonts w:hint="eastAsia" w:ascii="仿宋_GB2312" w:hAnsi="仿宋_GB2312" w:eastAsia="仿宋_GB2312" w:cs="仿宋_GB2312"/>
          <w:color w:val="auto"/>
          <w:sz w:val="32"/>
          <w:szCs w:val="24"/>
          <w:lang w:val="en-US" w:eastAsia="zh-CN"/>
        </w:rPr>
        <w:t>人。</w:t>
      </w:r>
    </w:p>
    <w:p>
      <w:pPr>
        <w:spacing w:beforeLines="0" w:afterLines="0" w:line="590" w:lineRule="exact"/>
        <w:ind w:firstLine="600"/>
        <w:jc w:val="left"/>
        <w:rPr>
          <w:rFonts w:hint="default" w:ascii="仿宋_GB2312" w:hAnsi="仿宋_GB2312" w:eastAsia="仿宋_GB2312" w:cs="仿宋_GB2312"/>
          <w:color w:val="auto"/>
          <w:sz w:val="32"/>
          <w:szCs w:val="24"/>
          <w:lang w:val="en-US" w:eastAsia="zh-CN"/>
        </w:rPr>
      </w:pPr>
      <w:r>
        <w:rPr>
          <w:rFonts w:hint="eastAsia" w:ascii="楷体" w:hAnsi="楷体" w:eastAsia="楷体" w:cs="楷体"/>
          <w:color w:val="auto"/>
          <w:sz w:val="32"/>
          <w:szCs w:val="24"/>
          <w:lang w:val="en-US" w:eastAsia="zh-CN"/>
        </w:rPr>
        <w:t>（3）村卫生室。</w:t>
      </w:r>
      <w:r>
        <w:rPr>
          <w:rFonts w:hint="eastAsia" w:ascii="仿宋_GB2312" w:hAnsi="仿宋_GB2312" w:eastAsia="仿宋_GB2312" w:cs="仿宋_GB2312"/>
          <w:color w:val="auto"/>
          <w:sz w:val="32"/>
          <w:szCs w:val="24"/>
          <w:lang w:val="en-US" w:eastAsia="zh-CN"/>
        </w:rPr>
        <w:t>全镇共12个村卫生室，乡村医生共43人，都已达到村卫生室建设标准。</w:t>
      </w:r>
    </w:p>
    <w:p>
      <w:pPr>
        <w:spacing w:beforeLines="0" w:afterLines="0" w:line="590" w:lineRule="exact"/>
        <w:ind w:firstLine="640" w:firstLineChars="200"/>
        <w:jc w:val="left"/>
        <w:outlineLvl w:val="1"/>
        <w:rPr>
          <w:rFonts w:hint="default" w:eastAsia="Times New Roman"/>
          <w:color w:val="auto"/>
          <w:sz w:val="32"/>
          <w:szCs w:val="24"/>
        </w:rPr>
      </w:pPr>
      <w:r>
        <w:rPr>
          <w:rFonts w:hint="eastAsia" w:ascii="黑体" w:hAnsi="黑体" w:eastAsia="黑体"/>
          <w:color w:val="auto"/>
          <w:sz w:val="32"/>
          <w:szCs w:val="24"/>
        </w:rPr>
        <w:t>三、一般公共预算财政拨款支出决算情况说明</w:t>
      </w:r>
    </w:p>
    <w:p>
      <w:pPr>
        <w:spacing w:beforeLines="0" w:afterLines="0" w:line="590" w:lineRule="exact"/>
        <w:ind w:firstLine="600"/>
        <w:jc w:val="left"/>
        <w:outlineLvl w:val="2"/>
        <w:rPr>
          <w:rFonts w:hint="default" w:eastAsia="Times New Roman"/>
          <w:color w:val="auto"/>
          <w:sz w:val="32"/>
          <w:szCs w:val="24"/>
        </w:rPr>
      </w:pPr>
      <w:r>
        <w:rPr>
          <w:rFonts w:hint="eastAsia" w:ascii="楷体" w:hAnsi="楷体" w:eastAsia="楷体"/>
          <w:color w:val="auto"/>
          <w:sz w:val="32"/>
          <w:szCs w:val="24"/>
        </w:rPr>
        <w:t>（一）一般公共预算财政拨款支出决算总体情况</w:t>
      </w:r>
    </w:p>
    <w:p>
      <w:pPr>
        <w:spacing w:beforeLines="0" w:afterLines="0" w:line="590" w:lineRule="exact"/>
        <w:ind w:firstLine="600"/>
        <w:jc w:val="left"/>
        <w:rPr>
          <w:rFonts w:hint="eastAsia" w:ascii="仿宋_GB2312" w:hAnsi="仿宋_GB2312" w:eastAsia="仿宋_GB2312" w:cs="仿宋_GB2312"/>
          <w:color w:val="000000"/>
          <w:kern w:val="0"/>
          <w:sz w:val="32"/>
          <w:szCs w:val="24"/>
          <w:lang w:val="en-US" w:eastAsia="zh-CN"/>
        </w:rPr>
      </w:pPr>
      <w:r>
        <w:rPr>
          <w:rFonts w:hint="eastAsia" w:ascii="仿宋_GB2312" w:hAnsi="仿宋_GB2312" w:eastAsia="仿宋_GB2312" w:cs="仿宋_GB2312"/>
          <w:color w:val="auto"/>
          <w:sz w:val="32"/>
          <w:szCs w:val="24"/>
        </w:rPr>
        <w:t>芒市遮放镇中心卫生院</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年度一般公共预算财政拨款支出</w:t>
      </w:r>
      <w:r>
        <w:rPr>
          <w:rFonts w:hint="default" w:ascii="Times New Roman" w:hAnsi="Times New Roman" w:eastAsia="仿宋_GB2312" w:cs="Times New Roman"/>
          <w:color w:val="auto"/>
          <w:kern w:val="0"/>
          <w:sz w:val="32"/>
          <w:szCs w:val="24"/>
        </w:rPr>
        <w:t>1071.4</w:t>
      </w:r>
      <w:r>
        <w:rPr>
          <w:rFonts w:hint="eastAsia" w:ascii="仿宋_GB2312" w:hAnsi="仿宋_GB2312" w:eastAsia="仿宋_GB2312" w:cs="仿宋_GB2312"/>
          <w:color w:val="auto"/>
          <w:kern w:val="0"/>
          <w:sz w:val="32"/>
          <w:szCs w:val="24"/>
        </w:rPr>
        <w:t>万元，占本年支出合计的</w:t>
      </w:r>
      <w:r>
        <w:rPr>
          <w:rFonts w:hint="default" w:ascii="Times New Roman" w:hAnsi="Times New Roman" w:eastAsia="仿宋_GB2312" w:cs="Times New Roman"/>
          <w:color w:val="auto"/>
          <w:sz w:val="32"/>
          <w:szCs w:val="24"/>
        </w:rPr>
        <w:t>40.13%</w:t>
      </w:r>
      <w:r>
        <w:rPr>
          <w:rFonts w:hint="eastAsia" w:ascii="仿宋_GB2312" w:hAnsi="仿宋_GB2312" w:eastAsia="仿宋_GB2312" w:cs="仿宋_GB2312"/>
          <w:color w:val="000000"/>
          <w:kern w:val="0"/>
          <w:sz w:val="32"/>
          <w:szCs w:val="24"/>
        </w:rPr>
        <w:t>。</w:t>
      </w:r>
      <w:r>
        <w:rPr>
          <w:rFonts w:hint="eastAsia" w:ascii="仿宋_GB2312" w:hAnsi="仿宋_GB2312" w:eastAsia="仿宋_GB2312" w:cs="仿宋_GB2312"/>
          <w:color w:val="000000"/>
          <w:kern w:val="0"/>
          <w:sz w:val="32"/>
          <w:szCs w:val="24"/>
          <w:lang w:eastAsia="zh-CN"/>
        </w:rPr>
        <w:t>与上年相比减少</w:t>
      </w:r>
      <w:r>
        <w:rPr>
          <w:rFonts w:hint="default" w:ascii="Times New Roman" w:hAnsi="Times New Roman" w:eastAsia="仿宋_GB2312" w:cs="Times New Roman"/>
          <w:color w:val="000000"/>
          <w:kern w:val="0"/>
          <w:sz w:val="32"/>
          <w:szCs w:val="24"/>
          <w:lang w:val="en-US" w:eastAsia="zh-CN"/>
        </w:rPr>
        <w:t>125.48</w:t>
      </w:r>
      <w:r>
        <w:rPr>
          <w:rFonts w:hint="eastAsia" w:ascii="仿宋_GB2312" w:hAnsi="仿宋_GB2312" w:eastAsia="仿宋_GB2312" w:cs="仿宋_GB2312"/>
          <w:color w:val="000000"/>
          <w:kern w:val="0"/>
          <w:sz w:val="32"/>
          <w:szCs w:val="24"/>
          <w:lang w:val="en-US" w:eastAsia="zh-CN"/>
        </w:rPr>
        <w:t>万元，下降</w:t>
      </w:r>
      <w:r>
        <w:rPr>
          <w:rFonts w:hint="default" w:ascii="Times New Roman" w:hAnsi="Times New Roman" w:eastAsia="仿宋_GB2312" w:cs="Times New Roman"/>
          <w:color w:val="000000"/>
          <w:kern w:val="0"/>
          <w:sz w:val="32"/>
          <w:szCs w:val="24"/>
          <w:lang w:val="en-US" w:eastAsia="zh-CN"/>
        </w:rPr>
        <w:t>10.48%</w:t>
      </w:r>
      <w:r>
        <w:rPr>
          <w:rFonts w:hint="eastAsia" w:ascii="仿宋_GB2312" w:hAnsi="仿宋_GB2312" w:eastAsia="仿宋_GB2312" w:cs="仿宋_GB2312"/>
          <w:color w:val="000000"/>
          <w:kern w:val="0"/>
          <w:sz w:val="32"/>
          <w:szCs w:val="24"/>
          <w:lang w:val="en-US" w:eastAsia="zh-CN"/>
        </w:rPr>
        <w:t>，主要原因是财政资金困难导致财政项目拨款减少。</w:t>
      </w:r>
    </w:p>
    <w:p>
      <w:pPr>
        <w:spacing w:beforeLines="0" w:afterLines="0" w:line="590" w:lineRule="exact"/>
        <w:ind w:firstLine="600"/>
        <w:jc w:val="left"/>
        <w:rPr>
          <w:rFonts w:hint="default" w:eastAsia="Times New Roman"/>
          <w:color w:val="auto"/>
          <w:kern w:val="0"/>
          <w:sz w:val="32"/>
          <w:szCs w:val="24"/>
        </w:rPr>
      </w:pPr>
      <w:r>
        <w:rPr>
          <w:rFonts w:hint="default" w:ascii="楷体" w:hAnsi="楷体" w:eastAsia="楷体"/>
          <w:color w:val="auto"/>
          <w:sz w:val="32"/>
          <w:szCs w:val="24"/>
          <w:lang w:eastAsia="zh-CN"/>
        </w:rPr>
        <mc:AlternateContent>
          <mc:Choice Requires="wps">
            <w:drawing>
              <wp:inline distT="0" distB="0" distL="114300" distR="114300">
                <wp:extent cx="635" cy="0"/>
                <wp:effectExtent l="0" t="0" r="0" b="0"/>
                <wp:docPr id="17" name="Object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Object 11"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3LtEqakBAABpAwAADgAA&#10;AAAAAAABACAAAAAeAQAAZHJzL2Uyb0RvYy54bWxQSwUGAAAAAAYABgBZAQAAOQUAAAAA&#10;">
                <v:fill on="f" focussize="0,0"/>
                <v:stroke on="f"/>
                <v:imagedata o:title=""/>
                <o:lock v:ext="edit" aspectratio="t"/>
                <w10:wrap type="none"/>
                <w10:anchorlock/>
              </v:rect>
            </w:pict>
          </mc:Fallback>
        </mc:AlternateContent>
      </w:r>
      <w:r>
        <w:rPr>
          <w:rFonts w:hint="eastAsia" w:ascii="楷体" w:hAnsi="楷体" w:eastAsia="楷体"/>
          <w:color w:val="auto"/>
          <w:sz w:val="32"/>
          <w:szCs w:val="24"/>
        </w:rPr>
        <w:t>（二）一般公共预算财政拨款支出决算具体情况</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1.一般公共服务（类）支出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 xml:space="preserve">。  </w:t>
      </w:r>
    </w:p>
    <w:p>
      <w:pPr>
        <w:spacing w:beforeLines="0" w:afterLines="0" w:line="590" w:lineRule="exact"/>
        <w:ind w:firstLine="960" w:firstLineChars="3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2.外交（类）支出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 xml:space="preserve">  3.国防（类）支出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万元，占一般公共预算财政拨款总支出的0%。</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4.公共安全（类）支出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 xml:space="preserve">。 </w:t>
      </w:r>
    </w:p>
    <w:p>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 xml:space="preserve"> 5.教育（类）支出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6.科学技术（类）支出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7.文化旅游体育与传媒（类）支出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8.社会保障和就业（类）支出</w:t>
      </w:r>
      <w:r>
        <w:rPr>
          <w:rFonts w:hint="default" w:ascii="Times New Roman" w:hAnsi="Times New Roman" w:eastAsia="仿宋_GB2312" w:cs="Times New Roman"/>
          <w:color w:val="auto"/>
          <w:kern w:val="0"/>
          <w:sz w:val="32"/>
          <w:szCs w:val="24"/>
        </w:rPr>
        <w:t>150.65</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14.06%</w:t>
      </w:r>
      <w:r>
        <w:rPr>
          <w:rFonts w:hint="eastAsia" w:ascii="仿宋_GB2312" w:hAnsi="仿宋_GB2312" w:eastAsia="仿宋_GB2312" w:cs="仿宋_GB2312"/>
          <w:color w:val="auto"/>
          <w:kern w:val="0"/>
          <w:sz w:val="32"/>
          <w:szCs w:val="24"/>
        </w:rPr>
        <w:t>。</w:t>
      </w:r>
    </w:p>
    <w:p>
      <w:pPr>
        <w:spacing w:beforeLines="0" w:afterLines="0" w:line="590" w:lineRule="exact"/>
        <w:jc w:val="center"/>
        <w:outlineLvl w:val="2"/>
        <w:rPr>
          <w:rFonts w:hint="eastAsia" w:ascii="仿宋_GB2312" w:hAnsi="仿宋_GB2312" w:eastAsia="仿宋_GB2312" w:cs="仿宋_GB2312"/>
          <w:color w:val="auto"/>
          <w:kern w:val="0"/>
          <w:sz w:val="32"/>
          <w:szCs w:val="32"/>
          <w:lang w:eastAsia="zh-CN"/>
        </w:rPr>
      </w:pPr>
    </w:p>
    <w:p>
      <w:pPr>
        <w:spacing w:beforeLines="0" w:afterLines="0" w:line="590" w:lineRule="exact"/>
        <w:jc w:val="center"/>
        <w:outlineLvl w:val="2"/>
        <w:rPr>
          <w:rFonts w:hint="eastAsia" w:ascii="仿宋_GB2312" w:hAnsi="仿宋_GB2312" w:eastAsia="仿宋_GB2312" w:cs="仿宋_GB2312"/>
          <w:color w:val="auto"/>
          <w:kern w:val="0"/>
          <w:sz w:val="32"/>
          <w:szCs w:val="32"/>
          <w:lang w:eastAsia="zh-CN"/>
        </w:rPr>
      </w:pPr>
    </w:p>
    <w:p>
      <w:pPr>
        <w:spacing w:beforeLines="0" w:afterLines="0" w:line="590" w:lineRule="exact"/>
        <w:jc w:val="center"/>
        <w:outlineLvl w:val="2"/>
        <w:rPr>
          <w:rFonts w:hint="eastAsia" w:ascii="仿宋_GB2312" w:hAnsi="仿宋_GB2312" w:eastAsia="仿宋_GB2312" w:cs="仿宋_GB2312"/>
          <w:color w:val="auto"/>
          <w:kern w:val="0"/>
          <w:sz w:val="32"/>
          <w:szCs w:val="32"/>
          <w:lang w:eastAsia="zh-CN"/>
        </w:rPr>
      </w:pPr>
    </w:p>
    <w:p>
      <w:pPr>
        <w:spacing w:beforeLines="0" w:afterLines="0" w:line="590" w:lineRule="exact"/>
        <w:jc w:val="center"/>
        <w:outlineLvl w:val="2"/>
        <w:rPr>
          <w:rFonts w:hint="eastAsia" w:ascii="仿宋_GB2312" w:hAnsi="仿宋_GB2312" w:eastAsia="仿宋_GB2312" w:cs="仿宋_GB2312"/>
          <w:color w:val="auto"/>
          <w:kern w:val="0"/>
          <w:sz w:val="32"/>
          <w:szCs w:val="32"/>
          <w:lang w:eastAsia="zh-CN"/>
        </w:rPr>
      </w:pPr>
    </w:p>
    <w:p>
      <w:pPr>
        <w:spacing w:beforeLines="0" w:afterLines="0" w:line="590" w:lineRule="exact"/>
        <w:jc w:val="center"/>
        <w:outlineLvl w:val="2"/>
        <w:rPr>
          <w:rFonts w:hint="eastAsia" w:ascii="仿宋" w:hAnsi="仿宋" w:eastAsia="仿宋"/>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2020</w:t>
      </w:r>
      <w:r>
        <w:rPr>
          <w:rFonts w:hint="eastAsia"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lang w:eastAsia="zh-CN"/>
        </w:rPr>
        <w:t>社会保障和就业（类）支出情况表</w:t>
      </w:r>
    </w:p>
    <w:p>
      <w:pPr>
        <w:spacing w:beforeLines="0" w:afterLines="0" w:line="590" w:lineRule="exact"/>
        <w:ind w:firstLine="600"/>
        <w:jc w:val="left"/>
        <w:rPr>
          <w:rFonts w:hint="eastAsia" w:ascii="仿宋_GB2312" w:hAnsi="仿宋_GB2312" w:eastAsia="仿宋_GB2312" w:cs="仿宋_GB2312"/>
          <w:color w:val="auto"/>
          <w:kern w:val="0"/>
          <w:sz w:val="24"/>
          <w:szCs w:val="24"/>
          <w:lang w:val="en-US" w:eastAsia="zh-CN"/>
        </w:rPr>
      </w:pPr>
      <w:r>
        <w:rPr>
          <w:rFonts w:hint="eastAsia" w:ascii="仿宋" w:hAnsi="仿宋" w:eastAsia="仿宋"/>
          <w:color w:val="auto"/>
          <w:kern w:val="0"/>
          <w:sz w:val="21"/>
          <w:szCs w:val="24"/>
          <w:lang w:val="en-US" w:eastAsia="zh-CN"/>
        </w:rPr>
        <w:t xml:space="preserve">                                                     </w:t>
      </w:r>
      <w:r>
        <w:rPr>
          <w:rFonts w:hint="eastAsia" w:ascii="仿宋" w:hAnsi="仿宋" w:eastAsia="仿宋"/>
          <w:color w:val="auto"/>
          <w:kern w:val="0"/>
          <w:sz w:val="28"/>
          <w:szCs w:val="24"/>
          <w:lang w:val="en-US" w:eastAsia="zh-CN"/>
        </w:rPr>
        <w:t xml:space="preserve">   </w:t>
      </w:r>
      <w:r>
        <w:rPr>
          <w:rFonts w:hint="eastAsia" w:ascii="仿宋" w:hAnsi="仿宋" w:eastAsia="仿宋"/>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val="en-US" w:eastAsia="zh-CN"/>
        </w:rPr>
        <w:t>单位：万元</w:t>
      </w:r>
    </w:p>
    <w:tbl>
      <w:tblPr>
        <w:tblStyle w:val="4"/>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1350"/>
        <w:gridCol w:w="1110"/>
        <w:gridCol w:w="1140"/>
        <w:gridCol w:w="153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机关事业单位基</w:t>
            </w:r>
          </w:p>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本养老保险缴费</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职业年</w:t>
            </w:r>
          </w:p>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金缴费</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工伤</w:t>
            </w:r>
          </w:p>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保险</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抚恤金</w:t>
            </w:r>
          </w:p>
        </w:tc>
        <w:tc>
          <w:tcPr>
            <w:tcW w:w="153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退休人员</w:t>
            </w:r>
          </w:p>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生活补助</w:t>
            </w:r>
          </w:p>
        </w:tc>
        <w:tc>
          <w:tcPr>
            <w:tcW w:w="13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合计</w:t>
            </w:r>
          </w:p>
          <w:p>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28.84</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3.20</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0.71</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12.82</w:t>
            </w:r>
          </w:p>
        </w:tc>
        <w:tc>
          <w:tcPr>
            <w:tcW w:w="153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105.08</w:t>
            </w:r>
          </w:p>
        </w:tc>
        <w:tc>
          <w:tcPr>
            <w:tcW w:w="13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150.65</w:t>
            </w:r>
          </w:p>
        </w:tc>
      </w:tr>
    </w:tbl>
    <w:p>
      <w:pPr>
        <w:numPr>
          <w:ilvl w:val="0"/>
          <w:numId w:val="0"/>
        </w:numPr>
        <w:spacing w:beforeLines="0" w:afterLines="0" w:line="590" w:lineRule="exact"/>
        <w:ind w:firstLine="640" w:firstLineChars="2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lang w:val="en-US" w:eastAsia="zh-CN"/>
        </w:rPr>
        <w:t>9.</w:t>
      </w:r>
      <w:r>
        <w:rPr>
          <w:rFonts w:hint="eastAsia" w:ascii="仿宋_GB2312" w:hAnsi="仿宋_GB2312" w:eastAsia="仿宋_GB2312" w:cs="仿宋_GB2312"/>
          <w:color w:val="auto"/>
          <w:kern w:val="0"/>
          <w:sz w:val="32"/>
          <w:szCs w:val="24"/>
        </w:rPr>
        <w:t>卫生健康（类）支出</w:t>
      </w:r>
      <w:r>
        <w:rPr>
          <w:rFonts w:hint="default" w:ascii="Times New Roman" w:hAnsi="Times New Roman" w:eastAsia="仿宋_GB2312" w:cs="Times New Roman"/>
          <w:color w:val="auto"/>
          <w:kern w:val="0"/>
          <w:sz w:val="32"/>
          <w:szCs w:val="24"/>
        </w:rPr>
        <w:t>920.75</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85.94%</w:t>
      </w:r>
      <w:r>
        <w:rPr>
          <w:rFonts w:hint="eastAsia" w:ascii="仿宋_GB2312" w:hAnsi="仿宋_GB2312" w:eastAsia="仿宋_GB2312" w:cs="仿宋_GB2312"/>
          <w:color w:val="auto"/>
          <w:kern w:val="0"/>
          <w:sz w:val="32"/>
          <w:szCs w:val="24"/>
        </w:rPr>
        <w:t>。</w:t>
      </w:r>
    </w:p>
    <w:p>
      <w:pPr>
        <w:numPr>
          <w:ilvl w:val="0"/>
          <w:numId w:val="0"/>
        </w:numPr>
        <w:spacing w:beforeLines="0" w:afterLines="0" w:line="590" w:lineRule="exact"/>
        <w:jc w:val="center"/>
        <w:outlineLvl w:val="2"/>
        <w:rPr>
          <w:rFonts w:hint="eastAsia" w:ascii="仿宋_GB2312" w:hAnsi="仿宋_GB2312" w:eastAsia="仿宋_GB2312" w:cs="仿宋_GB2312"/>
          <w:color w:val="auto"/>
          <w:kern w:val="0"/>
          <w:sz w:val="32"/>
          <w:szCs w:val="24"/>
          <w:lang w:val="en-US" w:eastAsia="zh-CN"/>
        </w:rPr>
      </w:pPr>
      <w:r>
        <w:rPr>
          <w:rFonts w:hint="eastAsia" w:ascii="仿宋_GB2312" w:hAnsi="仿宋_GB2312" w:eastAsia="仿宋_GB2312" w:cs="仿宋_GB2312"/>
          <w:color w:val="auto"/>
          <w:kern w:val="0"/>
          <w:sz w:val="32"/>
          <w:szCs w:val="24"/>
          <w:lang w:val="en-US" w:eastAsia="zh-CN"/>
        </w:rPr>
        <w:t>2020年卫生健康（类）支出情况表</w:t>
      </w:r>
    </w:p>
    <w:p>
      <w:pPr>
        <w:numPr>
          <w:ilvl w:val="0"/>
          <w:numId w:val="0"/>
        </w:numPr>
        <w:spacing w:beforeLines="0" w:afterLines="0" w:line="590" w:lineRule="exact"/>
        <w:jc w:val="center"/>
        <w:outlineLvl w:val="2"/>
        <w:rPr>
          <w:rFonts w:hint="eastAsia" w:ascii="仿宋_GB2312" w:hAnsi="仿宋_GB2312" w:eastAsia="仿宋_GB2312" w:cs="仿宋_GB2312"/>
          <w:color w:val="auto"/>
          <w:kern w:val="0"/>
          <w:sz w:val="32"/>
          <w:szCs w:val="24"/>
          <w:lang w:val="en-US" w:eastAsia="zh-CN"/>
        </w:rPr>
      </w:pPr>
      <w:r>
        <w:rPr>
          <w:rFonts w:hint="eastAsia" w:ascii="仿宋" w:hAnsi="仿宋" w:eastAsia="仿宋"/>
          <w:color w:val="auto"/>
          <w:kern w:val="0"/>
          <w:sz w:val="32"/>
          <w:szCs w:val="24"/>
          <w:lang w:val="en-US" w:eastAsia="zh-CN"/>
        </w:rPr>
        <w:t xml:space="preserve">                                   </w:t>
      </w:r>
      <w:r>
        <w:rPr>
          <w:rFonts w:hint="eastAsia" w:ascii="仿宋" w:hAnsi="仿宋" w:eastAsia="仿宋"/>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val="en-US" w:eastAsia="zh-CN"/>
        </w:rPr>
        <w:t>单位：万元</w:t>
      </w:r>
    </w:p>
    <w:tbl>
      <w:tblPr>
        <w:tblStyle w:val="4"/>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770"/>
        <w:gridCol w:w="1890"/>
        <w:gridCol w:w="204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工资福</w:t>
            </w:r>
          </w:p>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利支出</w:t>
            </w:r>
          </w:p>
        </w:tc>
        <w:tc>
          <w:tcPr>
            <w:tcW w:w="177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商品和服</w:t>
            </w:r>
          </w:p>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务支出</w:t>
            </w: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对个人和家庭的补助</w:t>
            </w:r>
          </w:p>
        </w:tc>
        <w:tc>
          <w:tcPr>
            <w:tcW w:w="204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资本性</w:t>
            </w:r>
          </w:p>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支出</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合计</w:t>
            </w:r>
          </w:p>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708.83</w:t>
            </w:r>
          </w:p>
        </w:tc>
        <w:tc>
          <w:tcPr>
            <w:tcW w:w="177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134.03</w:t>
            </w: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0.95</w:t>
            </w:r>
          </w:p>
        </w:tc>
        <w:tc>
          <w:tcPr>
            <w:tcW w:w="204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76.94</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920.75</w:t>
            </w:r>
          </w:p>
        </w:tc>
      </w:tr>
    </w:tbl>
    <w:p>
      <w:pPr>
        <w:spacing w:beforeLines="0" w:afterLines="0" w:line="590" w:lineRule="exact"/>
        <w:jc w:val="left"/>
        <w:rPr>
          <w:rFonts w:hint="eastAsia" w:ascii="仿宋_GB2312" w:hAnsi="仿宋_GB2312" w:eastAsia="仿宋_GB2312" w:cs="仿宋_GB2312"/>
          <w:color w:val="auto"/>
          <w:kern w:val="0"/>
          <w:sz w:val="32"/>
          <w:szCs w:val="24"/>
        </w:rPr>
      </w:pPr>
      <w:r>
        <w:rPr>
          <w:rFonts w:hint="eastAsia" w:ascii="仿宋" w:hAnsi="仿宋" w:eastAsia="仿宋"/>
          <w:color w:val="auto"/>
          <w:kern w:val="0"/>
          <w:sz w:val="32"/>
          <w:szCs w:val="24"/>
        </w:rPr>
        <w:t xml:space="preserve">  </w:t>
      </w:r>
      <w:r>
        <w:rPr>
          <w:rFonts w:hint="eastAsia" w:ascii="仿宋_GB2312" w:hAnsi="仿宋_GB2312" w:eastAsia="仿宋_GB2312" w:cs="仿宋_GB2312"/>
          <w:color w:val="auto"/>
          <w:kern w:val="0"/>
          <w:sz w:val="32"/>
          <w:szCs w:val="24"/>
          <w:lang w:val="en-US" w:eastAsia="zh-CN"/>
        </w:rPr>
        <w:t xml:space="preserve">  </w:t>
      </w:r>
      <w:r>
        <w:rPr>
          <w:rFonts w:hint="eastAsia" w:ascii="仿宋_GB2312" w:hAnsi="仿宋_GB2312" w:eastAsia="仿宋_GB2312" w:cs="仿宋_GB2312"/>
          <w:color w:val="auto"/>
          <w:kern w:val="0"/>
          <w:sz w:val="32"/>
          <w:szCs w:val="24"/>
        </w:rPr>
        <w:t>10.节能环保（类）支出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40" w:firstLineChars="2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11.城乡社区（类）支出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12.农林水（类）支出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FF0000"/>
          <w:kern w:val="0"/>
          <w:sz w:val="32"/>
          <w:szCs w:val="24"/>
          <w:lang w:eastAsia="zh-CN"/>
        </w:rPr>
      </w:pPr>
      <w:r>
        <w:rPr>
          <w:rFonts w:hint="eastAsia" w:ascii="仿宋_GB2312" w:hAnsi="仿宋_GB2312" w:eastAsia="仿宋_GB2312" w:cs="仿宋_GB2312"/>
          <w:color w:val="auto"/>
          <w:kern w:val="0"/>
          <w:sz w:val="32"/>
          <w:szCs w:val="24"/>
        </w:rPr>
        <w:t xml:space="preserve"> 13.交通运输（类）支出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14.资源勘探信息等（类）支出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15.商业服务业等（类）支出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16.金融（类）支出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17.援助其他地区（类）支出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18.自然资源海洋气象等（类）支出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 xml:space="preserve"> 19.住房保障（类）支出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20.粮油物资储备（类）支出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21.国有资本经营预算（类）支出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22.灾害防治及应急管理（类）支出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 xml:space="preserve"> 23.其他（类）支出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 xml:space="preserve"> 24.债务还本（类）支出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 25.债务付息（类）支出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 xml:space="preserve"> 26.抗疫特别国债安排（类）支出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pPr>
        <w:spacing w:beforeLines="0" w:afterLines="0" w:line="590" w:lineRule="exact"/>
        <w:ind w:firstLine="640" w:firstLineChars="200"/>
        <w:jc w:val="left"/>
        <w:outlineLvl w:val="1"/>
        <w:rPr>
          <w:rFonts w:hint="default" w:eastAsia="Times New Roman"/>
          <w:color w:val="auto"/>
          <w:sz w:val="32"/>
          <w:szCs w:val="24"/>
        </w:rPr>
      </w:pPr>
      <w:r>
        <w:rPr>
          <w:rFonts w:hint="eastAsia" w:ascii="黑体" w:hAnsi="黑体" w:eastAsia="黑体"/>
          <w:color w:val="auto"/>
          <w:sz w:val="32"/>
          <w:szCs w:val="24"/>
        </w:rPr>
        <w:t>四、一般公共预算财政拨款“三公”经费支出决算情况说明</w:t>
      </w:r>
    </w:p>
    <w:p>
      <w:pPr>
        <w:spacing w:beforeLines="0" w:afterLines="0" w:line="590" w:lineRule="exact"/>
        <w:ind w:firstLine="600"/>
        <w:jc w:val="left"/>
        <w:outlineLvl w:val="2"/>
        <w:rPr>
          <w:rFonts w:hint="eastAsia" w:ascii="楷体" w:hAnsi="楷体" w:eastAsia="楷体" w:cs="楷体"/>
          <w:color w:val="auto"/>
          <w:sz w:val="32"/>
          <w:szCs w:val="24"/>
        </w:rPr>
      </w:pPr>
      <w:r>
        <w:rPr>
          <w:rFonts w:hint="eastAsia" w:ascii="楷体" w:hAnsi="楷体" w:eastAsia="楷体" w:cs="楷体"/>
          <w:color w:val="auto"/>
          <w:sz w:val="32"/>
          <w:szCs w:val="24"/>
        </w:rPr>
        <w:t>(一) 一般公共预算财政拨款“三公”经费支出决算总体情况</w:t>
      </w:r>
    </w:p>
    <w:p>
      <w:pPr>
        <w:spacing w:beforeLines="0" w:afterLines="0" w:line="590" w:lineRule="exact"/>
        <w:ind w:firstLine="600"/>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芒市遮放镇中心卫生院</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年度一般公共预算财政拨款“三公”经费支出预算为</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rPr>
        <w:t>万元，支出决算为</w:t>
      </w:r>
      <w:r>
        <w:rPr>
          <w:rFonts w:hint="default" w:ascii="Times New Roman" w:hAnsi="Times New Roman" w:eastAsia="仿宋_GB2312" w:cs="Times New Roman"/>
          <w:color w:val="auto"/>
          <w:sz w:val="32"/>
          <w:szCs w:val="24"/>
        </w:rPr>
        <w:t>0.86</w:t>
      </w:r>
      <w:r>
        <w:rPr>
          <w:rFonts w:hint="eastAsia" w:ascii="仿宋_GB2312" w:hAnsi="仿宋_GB2312" w:eastAsia="仿宋_GB2312" w:cs="仿宋_GB2312"/>
          <w:color w:val="auto"/>
          <w:sz w:val="32"/>
          <w:szCs w:val="24"/>
        </w:rPr>
        <w:t>万元，完成预算的</w:t>
      </w:r>
      <w:r>
        <w:rPr>
          <w:rFonts w:hint="default" w:ascii="Times New Roman" w:hAnsi="Times New Roman" w:eastAsia="仿宋_GB2312" w:cs="Times New Roman"/>
          <w:color w:val="auto"/>
          <w:sz w:val="32"/>
          <w:szCs w:val="24"/>
          <w:lang w:val="en-US" w:eastAsia="zh-CN"/>
        </w:rPr>
        <w:t>0</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。其中：因公出国（境）费支出决算为</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万元，完成预算的</w:t>
      </w:r>
      <w:r>
        <w:rPr>
          <w:rFonts w:hint="default" w:ascii="Times New Roman" w:hAnsi="Times New Roman" w:eastAsia="仿宋_GB2312" w:cs="Times New Roman"/>
          <w:color w:val="auto"/>
          <w:sz w:val="32"/>
          <w:szCs w:val="24"/>
          <w:lang w:val="en-US" w:eastAsia="zh-CN"/>
        </w:rPr>
        <w:t>0</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；公务用车购置及运行费支出决算为</w:t>
      </w:r>
      <w:r>
        <w:rPr>
          <w:rFonts w:hint="default" w:ascii="Times New Roman" w:hAnsi="Times New Roman" w:eastAsia="仿宋_GB2312" w:cs="Times New Roman"/>
          <w:color w:val="auto"/>
          <w:sz w:val="32"/>
          <w:szCs w:val="24"/>
        </w:rPr>
        <w:t>0.86</w:t>
      </w:r>
      <w:r>
        <w:rPr>
          <w:rFonts w:hint="eastAsia" w:ascii="仿宋_GB2312" w:hAnsi="仿宋_GB2312" w:eastAsia="仿宋_GB2312" w:cs="仿宋_GB2312"/>
          <w:color w:val="auto"/>
          <w:sz w:val="32"/>
          <w:szCs w:val="24"/>
        </w:rPr>
        <w:t>万元，完成预算的</w:t>
      </w:r>
      <w:r>
        <w:rPr>
          <w:rFonts w:hint="default" w:ascii="Times New Roman" w:hAnsi="Times New Roman" w:eastAsia="仿宋_GB2312" w:cs="Times New Roman"/>
          <w:color w:val="auto"/>
          <w:sz w:val="32"/>
          <w:szCs w:val="24"/>
          <w:lang w:val="en-US" w:eastAsia="zh-CN"/>
        </w:rPr>
        <w:t>0</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；公务接待费支出决算为</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万元，完成预算的</w:t>
      </w:r>
      <w:r>
        <w:rPr>
          <w:rFonts w:hint="default" w:ascii="Times New Roman" w:hAnsi="Times New Roman" w:eastAsia="仿宋_GB2312" w:cs="Times New Roman"/>
          <w:color w:val="auto"/>
          <w:sz w:val="32"/>
          <w:szCs w:val="24"/>
          <w:lang w:val="en-US" w:eastAsia="zh-CN"/>
        </w:rPr>
        <w:t>0</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w:t>
      </w:r>
    </w:p>
    <w:p>
      <w:pPr>
        <w:spacing w:beforeLines="0" w:afterLines="0" w:line="590" w:lineRule="exact"/>
        <w:ind w:firstLine="640" w:firstLineChars="200"/>
        <w:rPr>
          <w:rFonts w:hint="eastAsia" w:ascii="仿宋_GB2312" w:hAnsi="仿宋_GB2312" w:eastAsia="仿宋_GB2312" w:cs="仿宋_GB2312"/>
          <w:color w:val="auto"/>
          <w:sz w:val="32"/>
          <w:szCs w:val="24"/>
        </w:rPr>
      </w:pP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年度一般公共预算财政拨款“三公”经费支出决算数大于预算数的主要原因</w:t>
      </w:r>
      <w:r>
        <w:rPr>
          <w:rFonts w:hint="eastAsia" w:ascii="仿宋_GB2312" w:hAnsi="仿宋_GB2312" w:eastAsia="仿宋_GB2312" w:cs="仿宋_GB2312"/>
          <w:color w:val="auto"/>
          <w:sz w:val="32"/>
          <w:szCs w:val="24"/>
          <w:lang w:eastAsia="zh-CN"/>
        </w:rPr>
        <w:t>是按照上级部门预算工作安排我单位不做“三公”经费预算</w:t>
      </w:r>
      <w:r>
        <w:rPr>
          <w:rFonts w:hint="eastAsia" w:ascii="仿宋_GB2312" w:hAnsi="仿宋_GB2312" w:eastAsia="仿宋_GB2312" w:cs="仿宋_GB2312"/>
          <w:color w:val="auto"/>
          <w:sz w:val="32"/>
          <w:szCs w:val="24"/>
        </w:rPr>
        <w:t>。</w:t>
      </w:r>
    </w:p>
    <w:p>
      <w:pPr>
        <w:spacing w:beforeLines="0" w:afterLines="0" w:line="590" w:lineRule="exact"/>
        <w:ind w:firstLine="600"/>
        <w:rPr>
          <w:rFonts w:hint="eastAsia" w:ascii="仿宋_GB2312" w:hAnsi="仿宋_GB2312" w:eastAsia="仿宋_GB2312" w:cs="仿宋_GB2312"/>
          <w:color w:val="auto"/>
          <w:sz w:val="32"/>
          <w:szCs w:val="24"/>
        </w:rPr>
      </w:pP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年度一般公共预算财政拨款“三公”经费支出决算数比</w:t>
      </w:r>
      <w:r>
        <w:rPr>
          <w:rFonts w:hint="default" w:ascii="Times New Roman" w:hAnsi="Times New Roman" w:eastAsia="仿宋_GB2312" w:cs="Times New Roman"/>
          <w:color w:val="auto"/>
          <w:sz w:val="32"/>
          <w:szCs w:val="24"/>
        </w:rPr>
        <w:t>2019</w:t>
      </w:r>
      <w:r>
        <w:rPr>
          <w:rFonts w:hint="eastAsia" w:ascii="仿宋_GB2312" w:hAnsi="仿宋_GB2312" w:eastAsia="仿宋_GB2312" w:cs="仿宋_GB2312"/>
          <w:color w:val="auto"/>
          <w:sz w:val="32"/>
          <w:szCs w:val="24"/>
        </w:rPr>
        <w:t>年减少</w:t>
      </w:r>
      <w:r>
        <w:rPr>
          <w:rFonts w:hint="default" w:ascii="Times New Roman" w:hAnsi="Times New Roman" w:eastAsia="仿宋_GB2312" w:cs="Times New Roman"/>
          <w:color w:val="auto"/>
          <w:sz w:val="32"/>
          <w:szCs w:val="24"/>
        </w:rPr>
        <w:t>-0.34</w:t>
      </w:r>
      <w:r>
        <w:rPr>
          <w:rFonts w:hint="eastAsia" w:ascii="仿宋_GB2312" w:hAnsi="仿宋_GB2312" w:eastAsia="仿宋_GB2312" w:cs="仿宋_GB2312"/>
          <w:color w:val="auto"/>
          <w:sz w:val="32"/>
          <w:szCs w:val="24"/>
        </w:rPr>
        <w:t>万元，下降</w:t>
      </w:r>
      <w:r>
        <w:rPr>
          <w:rFonts w:hint="default" w:ascii="Times New Roman" w:hAnsi="Times New Roman" w:eastAsia="仿宋_GB2312" w:cs="Times New Roman"/>
          <w:color w:val="auto"/>
          <w:sz w:val="32"/>
          <w:szCs w:val="24"/>
        </w:rPr>
        <w:t>-28.03</w:t>
      </w:r>
      <w:r>
        <w:rPr>
          <w:rFonts w:hint="eastAsia" w:ascii="仿宋_GB2312" w:hAnsi="仿宋_GB2312" w:eastAsia="仿宋_GB2312" w:cs="仿宋_GB2312"/>
          <w:color w:val="auto"/>
          <w:sz w:val="32"/>
          <w:szCs w:val="24"/>
        </w:rPr>
        <w:t>%。其中：因公出国（境）费支出决算</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万元，增长/下降</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；公务用车购置及运行费支出决算减少</w:t>
      </w:r>
      <w:r>
        <w:rPr>
          <w:rFonts w:hint="default" w:ascii="Times New Roman" w:hAnsi="Times New Roman" w:eastAsia="仿宋_GB2312" w:cs="Times New Roman"/>
          <w:color w:val="auto"/>
          <w:sz w:val="32"/>
          <w:szCs w:val="24"/>
        </w:rPr>
        <w:t>-0.34</w:t>
      </w:r>
      <w:r>
        <w:rPr>
          <w:rFonts w:hint="eastAsia" w:ascii="仿宋_GB2312" w:hAnsi="仿宋_GB2312" w:eastAsia="仿宋_GB2312" w:cs="仿宋_GB2312"/>
          <w:color w:val="auto"/>
          <w:sz w:val="32"/>
          <w:szCs w:val="24"/>
        </w:rPr>
        <w:t>万元，下降</w:t>
      </w:r>
      <w:r>
        <w:rPr>
          <w:rFonts w:hint="default" w:ascii="Times New Roman" w:hAnsi="Times New Roman" w:eastAsia="仿宋_GB2312" w:cs="Times New Roman"/>
          <w:color w:val="auto"/>
          <w:sz w:val="32"/>
          <w:szCs w:val="24"/>
        </w:rPr>
        <w:t>-28.03%</w:t>
      </w:r>
      <w:r>
        <w:rPr>
          <w:rFonts w:hint="eastAsia" w:ascii="仿宋_GB2312" w:hAnsi="仿宋_GB2312" w:eastAsia="仿宋_GB2312" w:cs="仿宋_GB2312"/>
          <w:color w:val="auto"/>
          <w:sz w:val="32"/>
          <w:szCs w:val="24"/>
        </w:rPr>
        <w:t>；公务接待费支出决算增加/减少</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万元，增长/下降</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w:t>
      </w:r>
    </w:p>
    <w:p>
      <w:pPr>
        <w:spacing w:beforeLines="0" w:afterLines="0" w:line="590" w:lineRule="exact"/>
        <w:ind w:firstLine="600"/>
        <w:rPr>
          <w:rFonts w:hint="eastAsia" w:ascii="仿宋_GB2312" w:hAnsi="仿宋_GB2312" w:eastAsia="仿宋_GB2312" w:cs="仿宋_GB2312"/>
          <w:color w:val="auto"/>
          <w:sz w:val="32"/>
          <w:szCs w:val="24"/>
          <w:lang w:eastAsia="zh-CN"/>
        </w:rPr>
      </w:pP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年度一般公共预算财政拨款“三公”经费支出决算减少的主要原因</w:t>
      </w:r>
      <w:r>
        <w:rPr>
          <w:rFonts w:hint="eastAsia" w:ascii="仿宋_GB2312" w:hAnsi="仿宋_GB2312" w:eastAsia="仿宋_GB2312" w:cs="仿宋_GB2312"/>
          <w:color w:val="auto"/>
          <w:sz w:val="32"/>
          <w:szCs w:val="24"/>
          <w:lang w:eastAsia="zh-CN"/>
        </w:rPr>
        <w:t>是受疫情影响，下村寨服务次数明显减少。</w:t>
      </w:r>
    </w:p>
    <w:p>
      <w:pPr>
        <w:spacing w:beforeLines="0" w:afterLines="0" w:line="590" w:lineRule="exact"/>
        <w:ind w:firstLine="600"/>
        <w:jc w:val="left"/>
        <w:outlineLvl w:val="2"/>
        <w:rPr>
          <w:rFonts w:hint="eastAsia" w:ascii="楷体" w:hAnsi="楷体" w:eastAsia="楷体" w:cs="楷体"/>
          <w:color w:val="auto"/>
          <w:sz w:val="32"/>
          <w:szCs w:val="24"/>
        </w:rPr>
      </w:pPr>
      <w:r>
        <w:rPr>
          <w:rFonts w:hint="eastAsia" w:ascii="楷体" w:hAnsi="楷体" w:eastAsia="楷体" w:cs="楷体"/>
          <w:color w:val="auto"/>
          <w:sz w:val="32"/>
          <w:szCs w:val="24"/>
        </w:rPr>
        <w:t>(二) 一般公共预算财政拨款“三公”经费支出决算具体情况</w:t>
      </w:r>
    </w:p>
    <w:p>
      <w:pPr>
        <w:spacing w:beforeLines="0" w:afterLines="0" w:line="590" w:lineRule="exact"/>
        <w:ind w:firstLine="600"/>
        <w:jc w:val="left"/>
        <w:rPr>
          <w:rFonts w:hint="eastAsia" w:ascii="仿宋_GB2312" w:hAnsi="仿宋_GB2312" w:eastAsia="仿宋_GB2312" w:cs="仿宋_GB2312"/>
          <w:color w:val="auto"/>
          <w:sz w:val="32"/>
          <w:szCs w:val="24"/>
        </w:rPr>
      </w:pPr>
      <w:r>
        <w:rPr>
          <w:rFonts w:hint="eastAsia" w:ascii="楷体" w:hAnsi="楷体" w:eastAsia="楷体" w:cs="楷体"/>
          <w:color w:val="auto"/>
          <w:sz w:val="32"/>
          <w:szCs w:val="24"/>
        </w:rPr>
        <w:t>2020</w:t>
      </w:r>
      <w:r>
        <w:rPr>
          <w:rFonts w:hint="eastAsia" w:ascii="仿宋_GB2312" w:hAnsi="仿宋_GB2312" w:eastAsia="仿宋_GB2312" w:cs="仿宋_GB2312"/>
          <w:color w:val="auto"/>
          <w:sz w:val="32"/>
          <w:szCs w:val="24"/>
        </w:rPr>
        <w:t>年度一般公共预算财政拨款“三公”经费支出决算中，因公出国（境）费支出</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万元，占</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；公务用车购置及运行维护费支出</w:t>
      </w:r>
      <w:r>
        <w:rPr>
          <w:rFonts w:hint="default" w:ascii="Times New Roman" w:hAnsi="Times New Roman" w:eastAsia="仿宋_GB2312" w:cs="Times New Roman"/>
          <w:color w:val="auto"/>
          <w:sz w:val="32"/>
          <w:szCs w:val="24"/>
        </w:rPr>
        <w:t>0.86</w:t>
      </w:r>
      <w:r>
        <w:rPr>
          <w:rFonts w:hint="eastAsia" w:ascii="仿宋_GB2312" w:hAnsi="仿宋_GB2312" w:eastAsia="仿宋_GB2312" w:cs="仿宋_GB2312"/>
          <w:color w:val="auto"/>
          <w:sz w:val="32"/>
          <w:szCs w:val="24"/>
        </w:rPr>
        <w:t>万元，占</w:t>
      </w:r>
      <w:r>
        <w:rPr>
          <w:rFonts w:hint="default" w:ascii="Times New Roman" w:hAnsi="Times New Roman" w:eastAsia="仿宋_GB2312" w:cs="Times New Roman"/>
          <w:color w:val="auto"/>
          <w:sz w:val="32"/>
          <w:szCs w:val="24"/>
        </w:rPr>
        <w:t>100%</w:t>
      </w:r>
      <w:r>
        <w:rPr>
          <w:rFonts w:hint="eastAsia" w:ascii="仿宋_GB2312" w:hAnsi="仿宋_GB2312" w:eastAsia="仿宋_GB2312" w:cs="仿宋_GB2312"/>
          <w:color w:val="auto"/>
          <w:sz w:val="32"/>
          <w:szCs w:val="24"/>
        </w:rPr>
        <w:t>；公务接待费支出</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万元，占</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。具体情况如下：</w:t>
      </w:r>
    </w:p>
    <w:p>
      <w:pPr>
        <w:spacing w:beforeLines="0" w:afterLines="0" w:line="590" w:lineRule="exact"/>
        <w:ind w:firstLine="602"/>
        <w:rPr>
          <w:rFonts w:hint="eastAsia" w:ascii="仿宋_GB2312" w:hAnsi="仿宋_GB2312" w:eastAsia="仿宋_GB2312" w:cs="仿宋_GB2312"/>
          <w:b w:val="0"/>
          <w:bCs/>
          <w:color w:val="FF0000"/>
          <w:sz w:val="32"/>
          <w:szCs w:val="24"/>
        </w:rPr>
      </w:pPr>
      <w:r>
        <w:rPr>
          <w:rFonts w:hint="eastAsia" w:ascii="仿宋_GB2312" w:hAnsi="仿宋_GB2312" w:eastAsia="仿宋_GB2312" w:cs="仿宋_GB2312"/>
          <w:b w:val="0"/>
          <w:bCs/>
          <w:color w:val="auto"/>
          <w:sz w:val="32"/>
          <w:szCs w:val="24"/>
        </w:rPr>
        <w:t>1.因公出国（境）费支出</w:t>
      </w:r>
      <w:r>
        <w:rPr>
          <w:rFonts w:hint="default" w:ascii="Times New Roman" w:hAnsi="Times New Roman" w:eastAsia="楷体" w:cs="Times New Roman"/>
          <w:b w:val="0"/>
          <w:bCs/>
          <w:color w:val="auto"/>
          <w:sz w:val="32"/>
          <w:szCs w:val="24"/>
        </w:rPr>
        <w:t>0</w:t>
      </w:r>
      <w:r>
        <w:rPr>
          <w:rFonts w:hint="eastAsia" w:ascii="仿宋_GB2312" w:hAnsi="仿宋_GB2312" w:eastAsia="仿宋_GB2312" w:cs="仿宋_GB2312"/>
          <w:b w:val="0"/>
          <w:bCs/>
          <w:color w:val="auto"/>
          <w:sz w:val="32"/>
          <w:szCs w:val="24"/>
        </w:rPr>
        <w:t>万元，共安排因公出国（境）团组</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个，累计</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人次。</w:t>
      </w:r>
    </w:p>
    <w:p>
      <w:pPr>
        <w:spacing w:beforeLines="0" w:afterLines="0" w:line="590" w:lineRule="exact"/>
        <w:ind w:firstLine="602"/>
        <w:jc w:val="left"/>
        <w:rPr>
          <w:rFonts w:hint="eastAsia" w:ascii="仿宋_GB2312" w:hAnsi="仿宋_GB2312" w:eastAsia="仿宋_GB2312" w:cs="仿宋_GB2312"/>
          <w:b w:val="0"/>
          <w:bCs/>
          <w:color w:val="FF0000"/>
          <w:sz w:val="32"/>
          <w:szCs w:val="24"/>
        </w:rPr>
      </w:pPr>
      <w:r>
        <w:rPr>
          <w:rFonts w:hint="eastAsia" w:ascii="仿宋_GB2312" w:hAnsi="仿宋_GB2312" w:eastAsia="仿宋_GB2312" w:cs="仿宋_GB2312"/>
          <w:b w:val="0"/>
          <w:bCs/>
          <w:color w:val="auto"/>
          <w:sz w:val="32"/>
          <w:szCs w:val="24"/>
        </w:rPr>
        <w:t>2.公务用车购置及运行维护费支出</w:t>
      </w:r>
      <w:r>
        <w:rPr>
          <w:rFonts w:hint="default" w:ascii="Times New Roman" w:hAnsi="Times New Roman" w:eastAsia="仿宋_GB2312" w:cs="Times New Roman"/>
          <w:b w:val="0"/>
          <w:bCs/>
          <w:color w:val="auto"/>
          <w:sz w:val="32"/>
          <w:szCs w:val="24"/>
        </w:rPr>
        <w:t>0.86</w:t>
      </w:r>
      <w:r>
        <w:rPr>
          <w:rFonts w:hint="eastAsia" w:ascii="仿宋_GB2312" w:hAnsi="仿宋_GB2312" w:eastAsia="仿宋_GB2312" w:cs="仿宋_GB2312"/>
          <w:b w:val="0"/>
          <w:bCs/>
          <w:color w:val="auto"/>
          <w:sz w:val="32"/>
          <w:szCs w:val="24"/>
        </w:rPr>
        <w:t>万元。其中：公务用车购置支出</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万元，购置车辆</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辆。</w:t>
      </w:r>
    </w:p>
    <w:p>
      <w:pPr>
        <w:spacing w:beforeLines="0" w:afterLines="0" w:line="590" w:lineRule="exact"/>
        <w:ind w:firstLine="602"/>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b w:val="0"/>
          <w:bCs/>
          <w:color w:val="auto"/>
          <w:sz w:val="32"/>
          <w:szCs w:val="24"/>
        </w:rPr>
        <w:t>公务用车运行维护</w:t>
      </w:r>
      <w:r>
        <w:rPr>
          <w:rFonts w:hint="eastAsia" w:ascii="仿宋_GB2312" w:hAnsi="仿宋_GB2312" w:eastAsia="仿宋_GB2312" w:cs="仿宋_GB2312"/>
          <w:color w:val="auto"/>
          <w:sz w:val="32"/>
          <w:szCs w:val="24"/>
        </w:rPr>
        <w:t>支出</w:t>
      </w:r>
      <w:r>
        <w:rPr>
          <w:rFonts w:hint="default" w:ascii="Times New Roman" w:hAnsi="Times New Roman" w:eastAsia="仿宋_GB2312" w:cs="Times New Roman"/>
          <w:color w:val="auto"/>
          <w:sz w:val="32"/>
          <w:szCs w:val="24"/>
        </w:rPr>
        <w:t>0.86</w:t>
      </w:r>
      <w:r>
        <w:rPr>
          <w:rFonts w:hint="eastAsia" w:ascii="仿宋_GB2312" w:hAnsi="仿宋_GB2312" w:eastAsia="仿宋_GB2312" w:cs="仿宋_GB2312"/>
          <w:color w:val="auto"/>
          <w:sz w:val="32"/>
          <w:szCs w:val="24"/>
        </w:rPr>
        <w:t>万元，开支一般公共预算财政拨款的公务用车保有量为</w:t>
      </w:r>
      <w:r>
        <w:rPr>
          <w:rFonts w:hint="default" w:ascii="Times New Roman" w:hAnsi="Times New Roman" w:eastAsia="仿宋_GB2312" w:cs="Times New Roman"/>
          <w:color w:val="auto"/>
          <w:sz w:val="32"/>
          <w:szCs w:val="24"/>
        </w:rPr>
        <w:t>3</w:t>
      </w:r>
      <w:r>
        <w:rPr>
          <w:rFonts w:hint="eastAsia" w:ascii="仿宋_GB2312" w:hAnsi="仿宋_GB2312" w:eastAsia="仿宋_GB2312" w:cs="仿宋_GB2312"/>
          <w:color w:val="auto"/>
          <w:sz w:val="32"/>
          <w:szCs w:val="24"/>
        </w:rPr>
        <w:t>辆。主要用于</w:t>
      </w:r>
      <w:r>
        <w:rPr>
          <w:rFonts w:hint="eastAsia" w:ascii="仿宋_GB2312" w:hAnsi="仿宋_GB2312" w:eastAsia="仿宋_GB2312" w:cs="仿宋_GB2312"/>
          <w:color w:val="auto"/>
          <w:sz w:val="32"/>
          <w:szCs w:val="24"/>
          <w:lang w:eastAsia="zh-CN"/>
        </w:rPr>
        <w:t>院前急救、转诊患者、公共卫生服务、疫情防控等工作</w:t>
      </w:r>
      <w:r>
        <w:rPr>
          <w:rFonts w:hint="eastAsia" w:ascii="仿宋_GB2312" w:hAnsi="仿宋_GB2312" w:eastAsia="仿宋_GB2312" w:cs="仿宋_GB2312"/>
          <w:color w:val="auto"/>
          <w:sz w:val="32"/>
          <w:szCs w:val="24"/>
        </w:rPr>
        <w:t>所需车辆燃料费、维修费、过路过桥费、保险费等。</w:t>
      </w:r>
    </w:p>
    <w:p>
      <w:pPr>
        <w:spacing w:beforeLines="0" w:afterLines="0" w:line="590" w:lineRule="exact"/>
        <w:ind w:firstLine="602"/>
        <w:jc w:val="left"/>
        <w:rPr>
          <w:rFonts w:hint="eastAsia" w:ascii="仿宋_GB2312" w:hAnsi="仿宋_GB2312" w:eastAsia="仿宋_GB2312" w:cs="仿宋_GB2312"/>
          <w:b w:val="0"/>
          <w:bCs/>
          <w:color w:val="FF0000"/>
          <w:sz w:val="32"/>
          <w:szCs w:val="24"/>
        </w:rPr>
      </w:pPr>
      <w:r>
        <w:rPr>
          <w:rFonts w:hint="eastAsia" w:ascii="仿宋_GB2312" w:hAnsi="仿宋_GB2312" w:eastAsia="仿宋_GB2312" w:cs="仿宋_GB2312"/>
          <w:b w:val="0"/>
          <w:bCs/>
          <w:color w:val="auto"/>
          <w:sz w:val="32"/>
          <w:szCs w:val="24"/>
        </w:rPr>
        <w:t>3.公务接待费</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万</w:t>
      </w:r>
      <w:r>
        <w:rPr>
          <w:rFonts w:hint="eastAsia" w:ascii="仿宋_GB2312" w:hAnsi="仿宋_GB2312" w:eastAsia="仿宋_GB2312" w:cs="仿宋_GB2312"/>
          <w:color w:val="auto"/>
          <w:sz w:val="32"/>
          <w:szCs w:val="24"/>
        </w:rPr>
        <w:t>元。其中：</w:t>
      </w:r>
      <w:r>
        <w:rPr>
          <w:rFonts w:hint="eastAsia" w:ascii="仿宋_GB2312" w:hAnsi="仿宋_GB2312" w:eastAsia="仿宋_GB2312" w:cs="仿宋_GB2312"/>
          <w:b w:val="0"/>
          <w:bCs/>
          <w:color w:val="auto"/>
          <w:sz w:val="32"/>
          <w:szCs w:val="24"/>
        </w:rPr>
        <w:t>国内接待费支出</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万元（其中：外事接待费支出</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万元），共安排国内公务接待</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批次（其中：外事接待</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批次），接待人次</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人（其中：外事接待人次</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人）。</w:t>
      </w:r>
    </w:p>
    <w:p>
      <w:pPr>
        <w:spacing w:beforeLines="0" w:afterLines="0" w:line="590" w:lineRule="exact"/>
        <w:ind w:firstLine="602"/>
        <w:rPr>
          <w:rFonts w:hint="eastAsia" w:ascii="仿宋_GB2312" w:hAnsi="仿宋_GB2312" w:eastAsia="仿宋_GB2312" w:cs="仿宋_GB2312"/>
          <w:color w:val="auto"/>
          <w:sz w:val="32"/>
          <w:szCs w:val="24"/>
        </w:rPr>
      </w:pPr>
      <w:r>
        <w:rPr>
          <w:rFonts w:hint="eastAsia" w:ascii="仿宋_GB2312" w:hAnsi="仿宋_GB2312" w:eastAsia="仿宋_GB2312" w:cs="仿宋_GB2312"/>
          <w:b w:val="0"/>
          <w:bCs/>
          <w:color w:val="auto"/>
          <w:sz w:val="32"/>
          <w:szCs w:val="24"/>
        </w:rPr>
        <w:t>国（境）外接待费0</w:t>
      </w:r>
      <w:r>
        <w:rPr>
          <w:rFonts w:hint="eastAsia" w:ascii="仿宋_GB2312" w:hAnsi="仿宋_GB2312" w:eastAsia="仿宋_GB2312" w:cs="仿宋_GB2312"/>
          <w:color w:val="auto"/>
          <w:sz w:val="32"/>
          <w:szCs w:val="24"/>
        </w:rPr>
        <w:t>万元</w:t>
      </w:r>
      <w:r>
        <w:rPr>
          <w:rFonts w:hint="eastAsia" w:ascii="仿宋" w:hAnsi="仿宋" w:eastAsia="仿宋"/>
          <w:color w:val="auto"/>
          <w:sz w:val="32"/>
          <w:szCs w:val="24"/>
        </w:rPr>
        <w:t>，</w:t>
      </w:r>
      <w:r>
        <w:rPr>
          <w:rFonts w:hint="eastAsia" w:ascii="仿宋_GB2312" w:hAnsi="仿宋_GB2312" w:eastAsia="仿宋_GB2312" w:cs="仿宋_GB2312"/>
          <w:color w:val="auto"/>
          <w:sz w:val="32"/>
          <w:szCs w:val="24"/>
        </w:rPr>
        <w:t>共安排国（境）外公务接待</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批次，接待人次</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人。</w:t>
      </w:r>
    </w:p>
    <w:p>
      <w:pPr>
        <w:spacing w:beforeLines="0" w:afterLines="0" w:line="590" w:lineRule="exact"/>
        <w:ind w:firstLine="640" w:firstLineChars="200"/>
        <w:jc w:val="both"/>
        <w:outlineLvl w:val="0"/>
        <w:rPr>
          <w:rFonts w:hint="default" w:eastAsia="Times New Roman"/>
          <w:color w:val="auto"/>
          <w:sz w:val="32"/>
          <w:szCs w:val="24"/>
        </w:rPr>
      </w:pPr>
      <w:r>
        <w:rPr>
          <w:rFonts w:hint="eastAsia" w:ascii="黑体" w:hAnsi="黑体" w:eastAsia="黑体"/>
          <w:color w:val="auto"/>
          <w:sz w:val="32"/>
          <w:szCs w:val="24"/>
        </w:rPr>
        <w:t>第四部分  其他重要事项及相关口径情况说明</w:t>
      </w:r>
    </w:p>
    <w:p>
      <w:pPr>
        <w:spacing w:beforeLines="0" w:afterLines="0" w:line="590" w:lineRule="exact"/>
        <w:ind w:firstLine="600"/>
        <w:jc w:val="left"/>
        <w:outlineLvl w:val="1"/>
        <w:rPr>
          <w:rFonts w:hint="eastAsia" w:ascii="楷体" w:hAnsi="楷体" w:eastAsia="楷体" w:cs="楷体"/>
          <w:color w:val="auto"/>
          <w:sz w:val="32"/>
          <w:szCs w:val="24"/>
        </w:rPr>
      </w:pPr>
      <w:r>
        <w:rPr>
          <w:rFonts w:hint="eastAsia" w:ascii="楷体" w:hAnsi="楷体" w:eastAsia="楷体" w:cs="楷体"/>
          <w:color w:val="auto"/>
          <w:sz w:val="32"/>
          <w:szCs w:val="24"/>
        </w:rPr>
        <w:t>一、机关运行经费支出情况</w:t>
      </w:r>
    </w:p>
    <w:p>
      <w:pPr>
        <w:spacing w:beforeLines="0" w:afterLines="0" w:line="590" w:lineRule="exact"/>
        <w:ind w:firstLine="600"/>
        <w:rPr>
          <w:rFonts w:hint="eastAsia" w:ascii="仿宋_GB2312" w:hAnsi="仿宋_GB2312" w:eastAsia="仿宋_GB2312" w:cs="仿宋_GB2312"/>
          <w:color w:val="FF0000"/>
          <w:sz w:val="32"/>
          <w:szCs w:val="24"/>
        </w:rPr>
      </w:pPr>
      <w:r>
        <w:rPr>
          <w:rFonts w:hint="eastAsia" w:ascii="仿宋_GB2312" w:hAnsi="仿宋_GB2312" w:eastAsia="仿宋_GB2312" w:cs="仿宋_GB2312"/>
          <w:color w:val="auto"/>
          <w:sz w:val="32"/>
          <w:szCs w:val="24"/>
        </w:rPr>
        <w:t>芒市遮放镇中心卫生院</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年机关运行经费支出</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400000"/>
          <w:sz w:val="32"/>
          <w:szCs w:val="24"/>
        </w:rPr>
        <w:t>。</w:t>
      </w:r>
    </w:p>
    <w:p>
      <w:pPr>
        <w:spacing w:beforeLines="0" w:afterLines="0" w:line="590" w:lineRule="exact"/>
        <w:ind w:firstLine="600"/>
        <w:jc w:val="left"/>
        <w:outlineLvl w:val="1"/>
        <w:rPr>
          <w:rFonts w:hint="default" w:eastAsia="Times New Roman"/>
          <w:color w:val="auto"/>
          <w:sz w:val="32"/>
          <w:szCs w:val="24"/>
        </w:rPr>
      </w:pPr>
      <w:r>
        <w:rPr>
          <w:rFonts w:hint="eastAsia" w:ascii="黑体" w:hAnsi="黑体" w:eastAsia="黑体"/>
          <w:color w:val="auto"/>
          <w:sz w:val="32"/>
          <w:szCs w:val="24"/>
        </w:rPr>
        <w:t>二、</w:t>
      </w:r>
      <w:r>
        <w:rPr>
          <w:rFonts w:hint="eastAsia" w:ascii="黑体" w:hAnsi="黑体" w:eastAsia="黑体"/>
          <w:color w:val="000000"/>
          <w:kern w:val="0"/>
          <w:sz w:val="32"/>
          <w:szCs w:val="24"/>
        </w:rPr>
        <w:t>国有资产占用情况</w:t>
      </w:r>
    </w:p>
    <w:p>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sz w:val="32"/>
          <w:szCs w:val="24"/>
        </w:rPr>
        <w:t>截至</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w:t>
      </w:r>
      <w:r>
        <w:rPr>
          <w:rFonts w:hint="default" w:ascii="Times New Roman" w:hAnsi="Times New Roman" w:eastAsia="仿宋_GB2312" w:cs="Times New Roman"/>
          <w:color w:val="auto"/>
          <w:sz w:val="32"/>
          <w:szCs w:val="24"/>
        </w:rPr>
        <w:t>12</w:t>
      </w:r>
      <w:r>
        <w:rPr>
          <w:rFonts w:hint="eastAsia" w:ascii="仿宋_GB2312" w:hAnsi="仿宋_GB2312" w:eastAsia="仿宋_GB2312" w:cs="仿宋_GB2312"/>
          <w:color w:val="auto"/>
          <w:sz w:val="32"/>
          <w:szCs w:val="24"/>
        </w:rPr>
        <w:t>月</w:t>
      </w:r>
      <w:r>
        <w:rPr>
          <w:rFonts w:hint="default" w:ascii="Times New Roman" w:hAnsi="Times New Roman" w:eastAsia="仿宋_GB2312" w:cs="Times New Roman"/>
          <w:color w:val="auto"/>
          <w:sz w:val="32"/>
          <w:szCs w:val="24"/>
        </w:rPr>
        <w:t>31</w:t>
      </w:r>
      <w:r>
        <w:rPr>
          <w:rFonts w:hint="eastAsia" w:ascii="仿宋_GB2312" w:hAnsi="仿宋_GB2312" w:eastAsia="仿宋_GB2312" w:cs="仿宋_GB2312"/>
          <w:color w:val="auto"/>
          <w:sz w:val="32"/>
          <w:szCs w:val="24"/>
        </w:rPr>
        <w:t>日，芒市遮放镇中心卫生院资产总额</w:t>
      </w:r>
      <w:r>
        <w:rPr>
          <w:rFonts w:hint="default" w:ascii="Times New Roman" w:hAnsi="Times New Roman" w:eastAsia="仿宋_GB2312" w:cs="Times New Roman"/>
          <w:color w:val="auto"/>
          <w:sz w:val="32"/>
          <w:szCs w:val="24"/>
          <w:lang w:val="en-US" w:eastAsia="zh-CN"/>
        </w:rPr>
        <w:t>2534.15</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，其中，流动资产</w:t>
      </w:r>
      <w:r>
        <w:rPr>
          <w:rFonts w:hint="default" w:ascii="Times New Roman" w:hAnsi="Times New Roman" w:eastAsia="仿宋_GB2312" w:cs="Times New Roman"/>
          <w:color w:val="auto"/>
          <w:sz w:val="32"/>
          <w:szCs w:val="24"/>
          <w:lang w:val="en-US" w:eastAsia="zh-CN"/>
        </w:rPr>
        <w:t>746.58</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，固定资产</w:t>
      </w:r>
      <w:r>
        <w:rPr>
          <w:rFonts w:hint="default" w:ascii="Times New Roman" w:hAnsi="Times New Roman" w:eastAsia="仿宋_GB2312" w:cs="Times New Roman"/>
          <w:color w:val="auto"/>
          <w:sz w:val="32"/>
          <w:szCs w:val="24"/>
          <w:lang w:val="en-US" w:eastAsia="zh-CN"/>
        </w:rPr>
        <w:t>1762.04</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kern w:val="0"/>
          <w:sz w:val="32"/>
          <w:szCs w:val="24"/>
        </w:rPr>
        <w:t>对外投资及有价证券</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，在建工程</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，无形资产</w:t>
      </w:r>
      <w:r>
        <w:rPr>
          <w:rFonts w:hint="default" w:ascii="Times New Roman" w:hAnsi="Times New Roman" w:eastAsia="仿宋_GB2312" w:cs="Times New Roman"/>
          <w:color w:val="auto"/>
          <w:sz w:val="32"/>
          <w:szCs w:val="24"/>
          <w:lang w:val="en-US" w:eastAsia="zh-CN"/>
        </w:rPr>
        <w:t>25.53</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，其他资产</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（具体内容详见附表）。</w:t>
      </w:r>
      <w:r>
        <w:rPr>
          <w:rFonts w:hint="eastAsia" w:ascii="仿宋_GB2312" w:hAnsi="仿宋_GB2312" w:eastAsia="仿宋_GB2312" w:cs="仿宋_GB2312"/>
          <w:color w:val="auto"/>
          <w:kern w:val="0"/>
          <w:sz w:val="32"/>
          <w:szCs w:val="24"/>
        </w:rPr>
        <w:t>与上年相比，本年资产总额增加</w:t>
      </w:r>
      <w:r>
        <w:rPr>
          <w:rFonts w:hint="default" w:ascii="Times New Roman" w:hAnsi="Times New Roman" w:eastAsia="仿宋_GB2312" w:cs="Times New Roman"/>
          <w:color w:val="auto"/>
          <w:kern w:val="0"/>
          <w:sz w:val="32"/>
          <w:szCs w:val="24"/>
          <w:lang w:val="en-US" w:eastAsia="zh-CN"/>
        </w:rPr>
        <w:t>164.99</w:t>
      </w:r>
      <w:r>
        <w:rPr>
          <w:rFonts w:hint="eastAsia" w:ascii="仿宋_GB2312" w:hAnsi="仿宋_GB2312" w:eastAsia="仿宋_GB2312" w:cs="仿宋_GB2312"/>
          <w:color w:val="auto"/>
          <w:kern w:val="0"/>
          <w:sz w:val="32"/>
          <w:szCs w:val="24"/>
          <w:lang w:eastAsia="zh-CN"/>
        </w:rPr>
        <w:t>万</w:t>
      </w:r>
      <w:r>
        <w:rPr>
          <w:rFonts w:hint="eastAsia" w:ascii="仿宋_GB2312" w:hAnsi="仿宋_GB2312" w:eastAsia="仿宋_GB2312" w:cs="仿宋_GB2312"/>
          <w:color w:val="auto"/>
          <w:kern w:val="0"/>
          <w:sz w:val="32"/>
          <w:szCs w:val="24"/>
        </w:rPr>
        <w:t>元，其中</w:t>
      </w:r>
      <w:r>
        <w:rPr>
          <w:rFonts w:hint="eastAsia" w:ascii="仿宋_GB2312" w:hAnsi="仿宋_GB2312" w:eastAsia="仿宋_GB2312" w:cs="仿宋_GB2312"/>
          <w:color w:val="auto"/>
          <w:kern w:val="0"/>
          <w:sz w:val="32"/>
          <w:szCs w:val="24"/>
          <w:lang w:eastAsia="zh-CN"/>
        </w:rPr>
        <w:t>，</w:t>
      </w:r>
      <w:r>
        <w:rPr>
          <w:rFonts w:hint="eastAsia" w:ascii="仿宋_GB2312" w:hAnsi="仿宋_GB2312" w:eastAsia="仿宋_GB2312" w:cs="仿宋_GB2312"/>
          <w:color w:val="auto"/>
          <w:kern w:val="0"/>
          <w:sz w:val="32"/>
          <w:szCs w:val="24"/>
        </w:rPr>
        <w:t>固定资产增加</w:t>
      </w:r>
      <w:r>
        <w:rPr>
          <w:rFonts w:hint="default" w:ascii="Times New Roman" w:hAnsi="Times New Roman" w:eastAsia="仿宋_GB2312" w:cs="Times New Roman"/>
          <w:color w:val="auto"/>
          <w:kern w:val="0"/>
          <w:sz w:val="32"/>
          <w:szCs w:val="24"/>
          <w:lang w:val="en-US" w:eastAsia="zh-CN"/>
        </w:rPr>
        <w:t>301.</w:t>
      </w:r>
      <w:r>
        <w:rPr>
          <w:rFonts w:hint="eastAsia" w:eastAsia="仿宋_GB2312" w:cs="Times New Roman"/>
          <w:color w:val="auto"/>
          <w:kern w:val="0"/>
          <w:sz w:val="32"/>
          <w:szCs w:val="24"/>
          <w:lang w:val="en-US" w:eastAsia="zh-CN"/>
        </w:rPr>
        <w:t>5</w:t>
      </w:r>
      <w:r>
        <w:rPr>
          <w:rFonts w:hint="default" w:ascii="Times New Roman" w:hAnsi="Times New Roman" w:eastAsia="仿宋_GB2312" w:cs="Times New Roman"/>
          <w:color w:val="auto"/>
          <w:kern w:val="0"/>
          <w:sz w:val="32"/>
          <w:szCs w:val="24"/>
          <w:lang w:val="en-US" w:eastAsia="zh-CN"/>
        </w:rPr>
        <w:t>8</w:t>
      </w:r>
      <w:r>
        <w:rPr>
          <w:rFonts w:hint="eastAsia" w:ascii="仿宋_GB2312" w:hAnsi="仿宋_GB2312" w:eastAsia="仿宋_GB2312" w:cs="仿宋_GB2312"/>
          <w:color w:val="auto"/>
          <w:kern w:val="0"/>
          <w:sz w:val="32"/>
          <w:szCs w:val="24"/>
        </w:rPr>
        <w:t>万元。处置房屋建筑物</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平方米，账面原值</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万元；处置车辆</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辆，账面原值</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万元；报废报损资产</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项，账面原值</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万元，实现资产处置收入</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万元；出租房屋</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平方米，账面原值</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万元，实现资产使用收入</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w:t>
      </w:r>
    </w:p>
    <w:p>
      <w:pPr>
        <w:spacing w:beforeLines="0" w:afterLines="0" w:line="590" w:lineRule="exact"/>
        <w:jc w:val="center"/>
        <w:rPr>
          <w:rFonts w:hint="eastAsia" w:ascii="仿宋" w:hAnsi="仿宋" w:eastAsia="仿宋"/>
          <w:color w:val="000000"/>
          <w:kern w:val="0"/>
          <w:sz w:val="32"/>
          <w:szCs w:val="24"/>
          <w:lang w:eastAsia="zh-CN"/>
        </w:rPr>
      </w:pPr>
    </w:p>
    <w:p>
      <w:pPr>
        <w:spacing w:beforeLines="0" w:afterLines="0" w:line="590" w:lineRule="exact"/>
        <w:jc w:val="center"/>
        <w:rPr>
          <w:rFonts w:hint="eastAsia" w:ascii="仿宋" w:hAnsi="仿宋" w:eastAsia="仿宋"/>
          <w:color w:val="000000"/>
          <w:kern w:val="0"/>
          <w:sz w:val="32"/>
          <w:szCs w:val="24"/>
          <w:lang w:eastAsia="zh-CN"/>
        </w:rPr>
      </w:pPr>
    </w:p>
    <w:p>
      <w:pPr>
        <w:spacing w:beforeLines="0" w:afterLines="0" w:line="590" w:lineRule="exact"/>
        <w:jc w:val="center"/>
        <w:rPr>
          <w:rFonts w:hint="eastAsia" w:ascii="仿宋" w:hAnsi="仿宋" w:eastAsia="仿宋"/>
          <w:color w:val="000000"/>
          <w:kern w:val="0"/>
          <w:sz w:val="32"/>
          <w:szCs w:val="24"/>
          <w:lang w:eastAsia="zh-CN"/>
        </w:rPr>
      </w:pPr>
    </w:p>
    <w:p>
      <w:pPr>
        <w:spacing w:beforeLines="0" w:afterLines="0" w:line="590" w:lineRule="exact"/>
        <w:jc w:val="center"/>
        <w:rPr>
          <w:rFonts w:hint="eastAsia" w:ascii="仿宋_GB2312" w:hAnsi="仿宋_GB2312" w:eastAsia="仿宋_GB2312" w:cs="仿宋_GB2312"/>
          <w:color w:val="000000"/>
          <w:kern w:val="0"/>
          <w:sz w:val="32"/>
          <w:szCs w:val="24"/>
          <w:lang w:eastAsia="zh-CN"/>
        </w:rPr>
      </w:pPr>
      <w:r>
        <w:rPr>
          <w:rFonts w:hint="eastAsia" w:ascii="仿宋_GB2312" w:hAnsi="仿宋_GB2312" w:eastAsia="仿宋_GB2312" w:cs="仿宋_GB2312"/>
          <w:color w:val="000000"/>
          <w:kern w:val="0"/>
          <w:sz w:val="32"/>
          <w:szCs w:val="24"/>
          <w:lang w:eastAsia="zh-CN"/>
        </w:rPr>
        <w:t>固定资产占有使用情况表</w:t>
      </w:r>
    </w:p>
    <w:p>
      <w:pPr>
        <w:spacing w:beforeLines="0" w:afterLines="0" w:line="590" w:lineRule="exact"/>
        <w:ind w:firstLine="600"/>
        <w:jc w:val="left"/>
        <w:rPr>
          <w:rFonts w:hint="eastAsia" w:ascii="仿宋" w:hAnsi="仿宋" w:eastAsia="仿宋"/>
          <w:color w:val="000000"/>
          <w:kern w:val="0"/>
          <w:sz w:val="32"/>
          <w:szCs w:val="24"/>
          <w:lang w:val="en-US" w:eastAsia="zh-CN"/>
        </w:rPr>
      </w:pPr>
      <w:r>
        <w:rPr>
          <w:rFonts w:hint="eastAsia" w:ascii="仿宋" w:hAnsi="仿宋" w:eastAsia="仿宋"/>
          <w:color w:val="000000"/>
          <w:kern w:val="0"/>
          <w:sz w:val="32"/>
          <w:szCs w:val="24"/>
          <w:lang w:val="en-US" w:eastAsia="zh-CN"/>
        </w:rPr>
        <w:t xml:space="preserve">                                        </w:t>
      </w:r>
      <w:r>
        <w:rPr>
          <w:rFonts w:hint="eastAsia" w:ascii="仿宋_GB2312" w:hAnsi="仿宋_GB2312" w:eastAsia="仿宋_GB2312" w:cs="仿宋_GB2312"/>
          <w:color w:val="000000"/>
          <w:kern w:val="0"/>
          <w:sz w:val="21"/>
          <w:szCs w:val="24"/>
          <w:lang w:val="en-US" w:eastAsia="zh-CN"/>
        </w:rPr>
        <w:t>单位：万元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60"/>
        <w:gridCol w:w="810"/>
        <w:gridCol w:w="810"/>
        <w:gridCol w:w="720"/>
        <w:gridCol w:w="735"/>
        <w:gridCol w:w="720"/>
        <w:gridCol w:w="915"/>
        <w:gridCol w:w="750"/>
        <w:gridCol w:w="705"/>
        <w:gridCol w:w="510"/>
        <w:gridCol w:w="675"/>
        <w:gridCol w:w="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项</w:t>
            </w:r>
          </w:p>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目</w:t>
            </w:r>
          </w:p>
        </w:tc>
        <w:tc>
          <w:tcPr>
            <w:tcW w:w="36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行</w:t>
            </w:r>
          </w:p>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次</w:t>
            </w:r>
          </w:p>
        </w:tc>
        <w:tc>
          <w:tcPr>
            <w:tcW w:w="81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资产</w:t>
            </w:r>
          </w:p>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总额</w:t>
            </w:r>
          </w:p>
        </w:tc>
        <w:tc>
          <w:tcPr>
            <w:tcW w:w="81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流动</w:t>
            </w:r>
          </w:p>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资产</w:t>
            </w:r>
          </w:p>
        </w:tc>
        <w:tc>
          <w:tcPr>
            <w:tcW w:w="3840"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固定资产</w:t>
            </w:r>
          </w:p>
        </w:tc>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对外投资</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eastAsia="zh-CN"/>
              </w:rPr>
              <w:t>有价证券</w:t>
            </w:r>
          </w:p>
        </w:tc>
        <w:tc>
          <w:tcPr>
            <w:tcW w:w="51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在建工程</w:t>
            </w:r>
          </w:p>
        </w:tc>
        <w:tc>
          <w:tcPr>
            <w:tcW w:w="67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无形</w:t>
            </w:r>
          </w:p>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资产</w:t>
            </w:r>
          </w:p>
        </w:tc>
        <w:tc>
          <w:tcPr>
            <w:tcW w:w="50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rPr>
            </w:pPr>
          </w:p>
        </w:tc>
        <w:tc>
          <w:tcPr>
            <w:tcW w:w="36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rPr>
            </w:pPr>
          </w:p>
        </w:tc>
        <w:tc>
          <w:tcPr>
            <w:tcW w:w="8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rPr>
            </w:pPr>
          </w:p>
        </w:tc>
        <w:tc>
          <w:tcPr>
            <w:tcW w:w="8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小计</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房屋</w:t>
            </w:r>
          </w:p>
          <w:p>
            <w:pPr>
              <w:spacing w:beforeLines="0" w:afterLines="0" w:line="590" w:lineRule="exact"/>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构筑物</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车</w:t>
            </w:r>
          </w:p>
          <w:p>
            <w:pPr>
              <w:spacing w:beforeLines="0" w:afterLines="0" w:line="590" w:lineRule="exact"/>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辆</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单价</w:t>
            </w:r>
            <w:r>
              <w:rPr>
                <w:rFonts w:hint="eastAsia" w:ascii="仿宋_GB2312" w:hAnsi="仿宋_GB2312" w:eastAsia="仿宋_GB2312" w:cs="仿宋_GB2312"/>
                <w:color w:val="auto"/>
                <w:sz w:val="18"/>
                <w:szCs w:val="18"/>
                <w:lang w:val="en-US" w:eastAsia="zh-CN"/>
              </w:rPr>
              <w:t>200万元以上大型设备</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其他固定资产</w:t>
            </w:r>
          </w:p>
        </w:tc>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rPr>
            </w:pPr>
          </w:p>
        </w:tc>
        <w:tc>
          <w:tcPr>
            <w:tcW w:w="5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rPr>
            </w:pPr>
          </w:p>
        </w:tc>
        <w:tc>
          <w:tcPr>
            <w:tcW w:w="67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rPr>
            </w:pPr>
          </w:p>
        </w:tc>
        <w:tc>
          <w:tcPr>
            <w:tcW w:w="5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栏次</w:t>
            </w:r>
          </w:p>
        </w:tc>
        <w:tc>
          <w:tcPr>
            <w:tcW w:w="3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rPr>
            </w:pPr>
          </w:p>
        </w:tc>
        <w:tc>
          <w:tcPr>
            <w:tcW w:w="8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8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w:t>
            </w: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p>
        </w:tc>
        <w:tc>
          <w:tcPr>
            <w:tcW w:w="5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合计</w:t>
            </w:r>
          </w:p>
        </w:tc>
        <w:tc>
          <w:tcPr>
            <w:tcW w:w="3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rPr>
            </w:pPr>
          </w:p>
        </w:tc>
        <w:tc>
          <w:tcPr>
            <w:tcW w:w="8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3593.83</w:t>
            </w:r>
          </w:p>
        </w:tc>
        <w:tc>
          <w:tcPr>
            <w:tcW w:w="8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766.75</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2797.01</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537.09</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21.55</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317.8</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1920.57</w:t>
            </w: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30.07</w:t>
            </w:r>
          </w:p>
        </w:tc>
        <w:tc>
          <w:tcPr>
            <w:tcW w:w="5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9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bl>
    <w:p>
      <w:pPr>
        <w:spacing w:beforeLines="0" w:afterLines="0" w:line="590" w:lineRule="exact"/>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填报说明：1.资产总额=流动资产+固定资产+对外投资/有价证券+在建工程+无形资产+其他资产；</w:t>
      </w:r>
    </w:p>
    <w:p>
      <w:pPr>
        <w:spacing w:beforeLines="0" w:afterLines="0" w:line="590" w:lineRule="exact"/>
        <w:ind w:firstLine="1050" w:firstLineChars="500"/>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2.固定资产=房屋构筑物+车辆+单价200万元以上大型设备+其他固定资产：</w:t>
      </w:r>
    </w:p>
    <w:p>
      <w:pPr>
        <w:spacing w:beforeLines="0" w:afterLines="0" w:line="590" w:lineRule="exact"/>
        <w:ind w:firstLine="1050" w:firstLineChars="500"/>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3.填报金额为资产“账面原值”。</w:t>
      </w:r>
    </w:p>
    <w:p>
      <w:pPr>
        <w:spacing w:beforeLines="0" w:afterLines="0" w:line="590" w:lineRule="exact"/>
        <w:ind w:firstLine="640" w:firstLineChars="200"/>
        <w:jc w:val="left"/>
        <w:outlineLvl w:val="1"/>
        <w:rPr>
          <w:rFonts w:hint="default" w:eastAsia="Times New Roman"/>
          <w:color w:val="auto"/>
          <w:sz w:val="32"/>
          <w:szCs w:val="24"/>
          <w:lang w:val="en-US"/>
        </w:rPr>
      </w:pPr>
      <w:r>
        <w:rPr>
          <w:rFonts w:hint="eastAsia" w:ascii="黑体" w:hAnsi="黑体" w:eastAsia="黑体"/>
          <w:color w:val="auto"/>
          <w:sz w:val="32"/>
          <w:szCs w:val="24"/>
          <w:lang w:val="en-US"/>
        </w:rPr>
        <w:t>三、政府采购支出情况</w:t>
      </w:r>
    </w:p>
    <w:p>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default" w:ascii="Times New Roman" w:hAnsi="Times New Roman" w:eastAsia="仿宋_GB2312" w:cs="Times New Roman"/>
          <w:color w:val="auto"/>
          <w:sz w:val="32"/>
          <w:szCs w:val="24"/>
          <w:lang w:val="en-US"/>
        </w:rPr>
        <w:t>2020</w:t>
      </w:r>
      <w:r>
        <w:rPr>
          <w:rFonts w:hint="eastAsia" w:ascii="仿宋_GB2312" w:hAnsi="仿宋_GB2312" w:eastAsia="仿宋_GB2312" w:cs="仿宋_GB2312"/>
          <w:color w:val="auto"/>
          <w:sz w:val="32"/>
          <w:szCs w:val="24"/>
          <w:lang w:val="en-US"/>
        </w:rPr>
        <w:t>年度，部门政府采购支出总额</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rPr>
        <w:t>万元，其中：政府采购货物支出</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rPr>
        <w:t>万元；政府采购工程支出</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rPr>
        <w:t>万元；政府采购服务支出</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rPr>
        <w:t>万元。授予中小企业合同金额</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rPr>
        <w:t>万元，占政府采购支出总额的</w:t>
      </w:r>
      <w:r>
        <w:rPr>
          <w:rFonts w:hint="default" w:ascii="Times New Roman" w:hAnsi="Times New Roman" w:eastAsia="仿宋_GB2312" w:cs="Times New Roman"/>
          <w:color w:val="auto"/>
          <w:sz w:val="32"/>
          <w:szCs w:val="24"/>
          <w:lang w:val="en-US" w:eastAsia="zh-CN"/>
        </w:rPr>
        <w:t>0</w:t>
      </w:r>
      <w:r>
        <w:rPr>
          <w:rFonts w:hint="default" w:ascii="Times New Roman" w:hAnsi="Times New Roman" w:eastAsia="仿宋_GB2312" w:cs="Times New Roman"/>
          <w:color w:val="auto"/>
          <w:sz w:val="32"/>
          <w:szCs w:val="24"/>
          <w:lang w:val="en-US"/>
        </w:rPr>
        <w:t>%</w:t>
      </w:r>
      <w:r>
        <w:rPr>
          <w:rFonts w:hint="eastAsia" w:ascii="仿宋_GB2312" w:hAnsi="仿宋_GB2312" w:eastAsia="仿宋_GB2312" w:cs="仿宋_GB2312"/>
          <w:color w:val="auto"/>
          <w:sz w:val="32"/>
          <w:szCs w:val="24"/>
          <w:lang w:val="en-US"/>
        </w:rPr>
        <w:t>。</w:t>
      </w:r>
    </w:p>
    <w:p>
      <w:pPr>
        <w:spacing w:beforeLines="0" w:afterLines="0" w:line="590" w:lineRule="exact"/>
        <w:ind w:firstLine="600"/>
        <w:jc w:val="left"/>
        <w:outlineLvl w:val="1"/>
        <w:rPr>
          <w:rFonts w:hint="default" w:eastAsia="Times New Roman"/>
          <w:color w:val="auto"/>
          <w:sz w:val="32"/>
          <w:szCs w:val="24"/>
          <w:lang w:val="en-US"/>
        </w:rPr>
      </w:pPr>
      <w:r>
        <w:rPr>
          <w:rFonts w:hint="eastAsia" w:ascii="黑体" w:hAnsi="黑体" w:eastAsia="黑体"/>
          <w:color w:val="000000"/>
          <w:sz w:val="32"/>
          <w:szCs w:val="24"/>
          <w:lang w:val="en-US"/>
        </w:rPr>
        <w:t>四、</w:t>
      </w:r>
      <w:r>
        <w:rPr>
          <w:rFonts w:hint="eastAsia" w:ascii="黑体" w:hAnsi="黑体" w:eastAsia="黑体"/>
          <w:color w:val="auto"/>
          <w:sz w:val="32"/>
          <w:szCs w:val="24"/>
          <w:lang w:val="en-US"/>
        </w:rPr>
        <w:t>部门绩效自评情况</w:t>
      </w:r>
    </w:p>
    <w:p>
      <w:pPr>
        <w:spacing w:beforeLines="0" w:afterLines="0" w:line="590" w:lineRule="exact"/>
        <w:ind w:firstLine="600"/>
        <w:jc w:val="left"/>
        <w:rPr>
          <w:rFonts w:hint="eastAsia" w:ascii="仿宋_GB2312" w:hAnsi="仿宋_GB2312" w:eastAsia="仿宋_GB2312" w:cs="仿宋_GB2312"/>
          <w:color w:val="0000FF"/>
          <w:sz w:val="32"/>
          <w:szCs w:val="24"/>
          <w:lang w:val="en-US"/>
        </w:rPr>
      </w:pPr>
      <w:r>
        <w:rPr>
          <w:rFonts w:hint="eastAsia" w:ascii="仿宋_GB2312" w:hAnsi="仿宋_GB2312" w:eastAsia="仿宋_GB2312" w:cs="仿宋_GB2312"/>
          <w:color w:val="auto"/>
          <w:sz w:val="32"/>
          <w:szCs w:val="24"/>
          <w:lang w:val="en-US"/>
        </w:rPr>
        <w:t>部门绩效自评情况详见附表（附表</w:t>
      </w:r>
      <w:r>
        <w:rPr>
          <w:rFonts w:hint="default" w:ascii="Times New Roman" w:hAnsi="Times New Roman" w:eastAsia="仿宋_GB2312" w:cs="Times New Roman"/>
          <w:color w:val="auto"/>
          <w:sz w:val="32"/>
          <w:szCs w:val="24"/>
          <w:lang w:val="en-US"/>
        </w:rPr>
        <w:t>10</w:t>
      </w:r>
      <w:r>
        <w:rPr>
          <w:rFonts w:hint="eastAsia" w:ascii="仿宋_GB2312" w:hAnsi="仿宋_GB2312" w:eastAsia="仿宋_GB2312" w:cs="仿宋_GB2312"/>
          <w:color w:val="auto"/>
          <w:sz w:val="32"/>
          <w:szCs w:val="24"/>
          <w:lang w:val="en-US"/>
        </w:rPr>
        <w:t>-附表</w:t>
      </w:r>
      <w:r>
        <w:rPr>
          <w:rFonts w:hint="default" w:ascii="Times New Roman" w:hAnsi="Times New Roman" w:eastAsia="仿宋_GB2312" w:cs="Times New Roman"/>
          <w:color w:val="auto"/>
          <w:sz w:val="32"/>
          <w:szCs w:val="24"/>
          <w:lang w:val="en-US"/>
        </w:rPr>
        <w:t>12</w:t>
      </w:r>
      <w:r>
        <w:rPr>
          <w:rFonts w:hint="eastAsia" w:ascii="仿宋_GB2312" w:hAnsi="仿宋_GB2312" w:eastAsia="仿宋_GB2312" w:cs="仿宋_GB2312"/>
          <w:color w:val="auto"/>
          <w:sz w:val="32"/>
          <w:szCs w:val="24"/>
          <w:lang w:val="en-US"/>
        </w:rPr>
        <w:t>）。</w:t>
      </w:r>
    </w:p>
    <w:p>
      <w:pPr>
        <w:spacing w:beforeLines="0" w:afterLines="0" w:line="590" w:lineRule="exact"/>
        <w:ind w:firstLine="600"/>
        <w:jc w:val="left"/>
        <w:outlineLvl w:val="1"/>
        <w:rPr>
          <w:rFonts w:hint="default" w:eastAsia="Times New Roman"/>
          <w:color w:val="auto"/>
          <w:sz w:val="32"/>
          <w:szCs w:val="24"/>
          <w:lang w:val="en-US"/>
        </w:rPr>
      </w:pPr>
      <w:r>
        <w:rPr>
          <w:rFonts w:hint="eastAsia" w:ascii="黑体" w:hAnsi="黑体" w:eastAsia="黑体"/>
          <w:color w:val="auto"/>
          <w:sz w:val="32"/>
          <w:szCs w:val="24"/>
          <w:lang w:val="en-US"/>
        </w:rPr>
        <w:t>五、其他重要事项情况说明</w:t>
      </w:r>
    </w:p>
    <w:p>
      <w:pPr>
        <w:spacing w:beforeLines="0" w:afterLines="0" w:line="590" w:lineRule="exact"/>
        <w:ind w:firstLine="600"/>
        <w:jc w:val="left"/>
        <w:rPr>
          <w:rFonts w:hint="eastAsia" w:ascii="仿宋_GB2312" w:hAnsi="黑体" w:eastAsia="仿宋_GB2312" w:cs="方正小标宋简体"/>
          <w:sz w:val="30"/>
          <w:szCs w:val="30"/>
          <w:lang w:val="en-US" w:eastAsia="zh-CN"/>
        </w:rPr>
      </w:pPr>
      <w:r>
        <w:rPr>
          <w:rFonts w:hint="eastAsia" w:ascii="仿宋_GB2312" w:hAnsi="黑体" w:eastAsia="仿宋_GB2312" w:cs="方正小标宋简体"/>
          <w:sz w:val="30"/>
          <w:szCs w:val="30"/>
          <w:lang w:val="en-US" w:eastAsia="zh-CN"/>
        </w:rPr>
        <w:t xml:space="preserve"> 无</w:t>
      </w:r>
    </w:p>
    <w:p>
      <w:pPr>
        <w:spacing w:beforeLines="0" w:afterLines="0" w:line="590" w:lineRule="exact"/>
        <w:ind w:firstLine="600"/>
        <w:jc w:val="left"/>
        <w:outlineLvl w:val="1"/>
        <w:rPr>
          <w:rFonts w:hint="default" w:eastAsia="Times New Roman"/>
          <w:color w:val="auto"/>
          <w:sz w:val="32"/>
          <w:szCs w:val="24"/>
          <w:lang w:val="en-US"/>
        </w:rPr>
      </w:pPr>
      <w:r>
        <w:rPr>
          <w:rFonts w:hint="eastAsia" w:ascii="黑体" w:hAnsi="黑体" w:eastAsia="黑体"/>
          <w:color w:val="auto"/>
          <w:sz w:val="32"/>
          <w:szCs w:val="24"/>
          <w:lang w:val="en-US"/>
        </w:rPr>
        <w:t>六、相关口径说明</w:t>
      </w:r>
    </w:p>
    <w:p>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eastAsia" w:ascii="楷体" w:hAnsi="楷体" w:eastAsia="楷体" w:cs="楷体"/>
          <w:color w:val="auto"/>
          <w:sz w:val="32"/>
          <w:szCs w:val="24"/>
          <w:lang w:val="en-US"/>
        </w:rPr>
        <w:t>（一）基本支出</w:t>
      </w:r>
      <w:r>
        <w:rPr>
          <w:rFonts w:hint="eastAsia" w:ascii="仿宋_GB2312" w:hAnsi="仿宋_GB2312" w:eastAsia="仿宋_GB2312" w:cs="仿宋_GB2312"/>
          <w:color w:val="auto"/>
          <w:sz w:val="32"/>
          <w:szCs w:val="24"/>
          <w:lang w:val="en-US"/>
        </w:rPr>
        <w:t>中人员经费包括工资福利支出和对个人和家庭的补助，公用经费包括商品和服务支出、资本性支出等人员经费以外的支出。</w:t>
      </w:r>
    </w:p>
    <w:p>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eastAsia" w:ascii="楷体" w:hAnsi="楷体" w:eastAsia="楷体" w:cs="楷体"/>
          <w:color w:val="auto"/>
          <w:sz w:val="32"/>
          <w:szCs w:val="24"/>
          <w:lang w:val="en-US"/>
        </w:rPr>
        <w:t>（二）机关运行经费</w:t>
      </w:r>
      <w:r>
        <w:rPr>
          <w:rFonts w:hint="eastAsia" w:ascii="仿宋_GB2312" w:hAnsi="仿宋_GB2312" w:eastAsia="仿宋_GB2312" w:cs="仿宋_GB2312"/>
          <w:color w:val="auto"/>
          <w:sz w:val="32"/>
          <w:szCs w:val="24"/>
          <w:lang w:val="en-US"/>
        </w:rPr>
        <w:t>指行政单位和参照公务员法管理的事业单位使用一般公共预算财政拨款安排的基本支出中的公用经费支出。</w:t>
      </w:r>
    </w:p>
    <w:p>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eastAsia" w:ascii="楷体" w:hAnsi="楷体" w:eastAsia="楷体" w:cs="楷体"/>
          <w:color w:val="auto"/>
          <w:sz w:val="32"/>
          <w:szCs w:val="24"/>
          <w:lang w:val="en-US"/>
        </w:rPr>
        <w:t>（三）按照党中央、国务院有关文件及部门预算管理有关规定，“三公”经费包括因公出国（境）费、公务用车购置及运行维护费、公务接待费。</w:t>
      </w:r>
      <w:r>
        <w:rPr>
          <w:rFonts w:hint="eastAsia" w:ascii="仿宋_GB2312" w:hAnsi="仿宋_GB2312" w:eastAsia="仿宋_GB2312" w:cs="仿宋_GB2312"/>
          <w:color w:val="auto"/>
          <w:sz w:val="32"/>
          <w:szCs w:val="24"/>
          <w:lang w:val="en-US"/>
        </w:rPr>
        <w:t>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eastAsia" w:ascii="楷体" w:hAnsi="楷体" w:eastAsia="楷体" w:cs="楷体"/>
          <w:color w:val="auto"/>
          <w:sz w:val="32"/>
          <w:szCs w:val="24"/>
          <w:lang w:val="en-US"/>
        </w:rPr>
        <w:t>（四）“三公”经费决算数：</w:t>
      </w:r>
      <w:r>
        <w:rPr>
          <w:rFonts w:hint="eastAsia" w:ascii="仿宋_GB2312" w:hAnsi="仿宋_GB2312" w:eastAsia="仿宋_GB2312" w:cs="仿宋_GB2312"/>
          <w:color w:val="auto"/>
          <w:sz w:val="32"/>
          <w:szCs w:val="24"/>
          <w:lang w:val="en-US"/>
        </w:rPr>
        <w:t>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spacing w:beforeLines="0" w:afterLines="0" w:line="590" w:lineRule="exact"/>
        <w:jc w:val="center"/>
        <w:outlineLvl w:val="0"/>
        <w:rPr>
          <w:rFonts w:hint="default" w:eastAsia="Times New Roman"/>
          <w:color w:val="auto"/>
          <w:sz w:val="32"/>
          <w:szCs w:val="24"/>
          <w:lang w:val="en-US"/>
        </w:rPr>
      </w:pPr>
      <w:r>
        <w:rPr>
          <w:rFonts w:hint="eastAsia" w:ascii="黑体" w:hAnsi="黑体" w:eastAsia="黑体"/>
          <w:color w:val="auto"/>
          <w:sz w:val="32"/>
          <w:szCs w:val="24"/>
          <w:lang w:val="en-US"/>
        </w:rPr>
        <w:t>第五部分  名词解释</w:t>
      </w:r>
    </w:p>
    <w:p>
      <w:pPr>
        <w:numPr>
          <w:ilvl w:val="0"/>
          <w:numId w:val="0"/>
        </w:numPr>
        <w:spacing w:beforeLines="0" w:afterLines="0" w:line="600" w:lineRule="exact"/>
        <w:ind w:firstLine="640" w:firstLineChars="200"/>
        <w:jc w:val="left"/>
        <w:rPr>
          <w:rFonts w:hint="eastAsia" w:ascii="仿宋_GB2312" w:hAnsi="黑体" w:eastAsia="仿宋_GB2312" w:cs="方正小标宋简体"/>
          <w:sz w:val="32"/>
          <w:szCs w:val="32"/>
          <w:lang w:val="en-US" w:eastAsia="zh-CN"/>
        </w:rPr>
      </w:pPr>
      <w:r>
        <w:rPr>
          <w:rFonts w:hint="eastAsia" w:ascii="楷体" w:hAnsi="楷体" w:eastAsia="楷体" w:cs="楷体"/>
          <w:sz w:val="32"/>
          <w:szCs w:val="32"/>
          <w:lang w:eastAsia="zh-CN"/>
        </w:rPr>
        <w:t>一、政府采购：</w:t>
      </w:r>
      <w:r>
        <w:rPr>
          <w:rFonts w:hint="eastAsia" w:ascii="仿宋_GB2312" w:hAnsi="黑体" w:eastAsia="仿宋_GB2312" w:cs="方正小标宋简体"/>
          <w:sz w:val="32"/>
          <w:szCs w:val="32"/>
          <w:lang w:eastAsia="zh-CN"/>
        </w:rPr>
        <w:t>指国家机关、事业单位和团体组织，依法在规定范围内使用财政性资金采购货物、工程和服务的行为。以公开招标为主要采购方式。</w:t>
      </w:r>
    </w:p>
    <w:p>
      <w:pPr>
        <w:numPr>
          <w:ilvl w:val="0"/>
          <w:numId w:val="0"/>
        </w:numPr>
        <w:spacing w:beforeLines="0" w:afterLines="0" w:line="600" w:lineRule="exact"/>
        <w:ind w:firstLine="640" w:firstLineChars="200"/>
        <w:jc w:val="left"/>
        <w:rPr>
          <w:rFonts w:hint="eastAsia" w:ascii="仿宋_GB2312" w:hAnsi="黑体" w:eastAsia="仿宋_GB2312" w:cs="方正小标宋简体"/>
          <w:sz w:val="32"/>
          <w:szCs w:val="32"/>
          <w:lang w:val="en-US" w:eastAsia="zh-CN"/>
        </w:rPr>
      </w:pPr>
      <w:r>
        <w:rPr>
          <w:rFonts w:hint="eastAsia" w:ascii="楷体" w:hAnsi="楷体" w:eastAsia="楷体" w:cs="楷体"/>
          <w:sz w:val="32"/>
          <w:szCs w:val="32"/>
          <w:lang w:eastAsia="zh-CN"/>
        </w:rPr>
        <w:t>二、政府性基金：</w:t>
      </w:r>
      <w:r>
        <w:rPr>
          <w:rFonts w:hint="eastAsia" w:ascii="仿宋_GB2312" w:hAnsi="黑体" w:eastAsia="仿宋_GB2312" w:cs="方正小标宋简体"/>
          <w:sz w:val="32"/>
          <w:szCs w:val="32"/>
          <w:lang w:eastAsia="zh-CN"/>
        </w:rPr>
        <w:t>是对依照法律、行政法规的规定在一定期限内向特定对象征收、收取或者以其他方式筹集的资金，专项用于特定公共事业的发展。</w:t>
      </w:r>
    </w:p>
    <w:p>
      <w:pPr>
        <w:numPr>
          <w:ilvl w:val="0"/>
          <w:numId w:val="0"/>
        </w:numPr>
        <w:spacing w:beforeLines="0" w:afterLines="0" w:line="600" w:lineRule="exact"/>
        <w:ind w:firstLine="640" w:firstLineChars="200"/>
        <w:jc w:val="left"/>
        <w:rPr>
          <w:rFonts w:hint="eastAsia" w:ascii="仿宋_GB2312" w:hAnsi="黑体" w:eastAsia="仿宋_GB2312" w:cs="方正小标宋简体"/>
          <w:sz w:val="32"/>
          <w:szCs w:val="32"/>
          <w:lang w:val="en-US" w:eastAsia="zh-CN"/>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三、项目支出：</w:t>
      </w:r>
      <w:r>
        <w:rPr>
          <w:rFonts w:hint="eastAsia" w:ascii="仿宋_GB2312" w:hAnsi="黑体" w:eastAsia="仿宋_GB2312" w:cs="方正小标宋简体"/>
          <w:sz w:val="32"/>
          <w:szCs w:val="32"/>
          <w:lang w:eastAsia="zh-CN"/>
        </w:rPr>
        <w:t>是指行政事业单位为完成其特定的行政工作任务或事业发展目标，并依据具体工作内容编制的年度经费支出。</w:t>
      </w:r>
    </w:p>
    <w:p>
      <w:pPr>
        <w:spacing w:beforeLines="0" w:afterLines="0"/>
        <w:ind w:firstLine="640" w:firstLineChars="200"/>
        <w:jc w:val="left"/>
        <w:rPr>
          <w:rFonts w:hint="eastAsia" w:ascii="仿宋_GB2312" w:hAnsi="黑体" w:eastAsia="仿宋_GB2312" w:cs="方正小标宋简体"/>
          <w:sz w:val="32"/>
          <w:szCs w:val="32"/>
        </w:rPr>
      </w:pPr>
      <w:r>
        <w:rPr>
          <w:rFonts w:hint="eastAsia" w:ascii="楷体" w:hAnsi="楷体" w:eastAsia="楷体" w:cs="楷体"/>
          <w:sz w:val="32"/>
          <w:szCs w:val="32"/>
          <w:lang w:eastAsia="zh-CN"/>
        </w:rPr>
        <w:t>四、基本支出：</w:t>
      </w:r>
      <w:r>
        <w:rPr>
          <w:rFonts w:hint="eastAsia" w:ascii="仿宋_GB2312" w:hAnsi="黑体" w:eastAsia="仿宋_GB2312" w:cs="方正小标宋简体"/>
          <w:sz w:val="32"/>
          <w:szCs w:val="32"/>
          <w:lang w:eastAsia="zh-CN"/>
        </w:rPr>
        <w:t>是指行政事业单位为完成其特定行政工作任务或事业发展目标，并依据具体工作内容编制的年度机关行政事业单位运行经费支出。</w:t>
      </w:r>
    </w:p>
    <w:p>
      <w:pPr>
        <w:spacing w:beforeLines="0" w:afterLines="0" w:line="590" w:lineRule="exact"/>
        <w:ind w:firstLine="600"/>
        <w:jc w:val="left"/>
        <w:rPr>
          <w:rFonts w:hint="eastAsia" w:ascii="方正小标宋简体" w:hAnsi="方正小标宋简体" w:eastAsia="方正小标宋简体"/>
          <w:color w:val="auto"/>
          <w:sz w:val="32"/>
          <w:szCs w:val="24"/>
          <w:lang w:val="en-US"/>
        </w:rPr>
      </w:pPr>
    </w:p>
    <w:sectPr>
      <w:footerReference r:id="rId4" w:type="default"/>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29FF77-E007-4998-91C7-69052A1B6F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652DE73B-9346-43C8-88CF-DE834DA73EC1}"/>
  </w:font>
  <w:font w:name="楷体">
    <w:panose1 w:val="02010609060101010101"/>
    <w:charset w:val="86"/>
    <w:family w:val="modern"/>
    <w:pitch w:val="default"/>
    <w:sig w:usb0="800002BF" w:usb1="38CF7CFA" w:usb2="00000016" w:usb3="00000000" w:csb0="00040001" w:csb1="00000000"/>
    <w:embedRegular r:id="rId3" w:fontKey="{C19FDEE8-260C-4461-9D5D-0184EB66D616}"/>
  </w:font>
  <w:font w:name="方正仿宋_GBK">
    <w:panose1 w:val="03000509000000000000"/>
    <w:charset w:val="86"/>
    <w:family w:val="auto"/>
    <w:pitch w:val="default"/>
    <w:sig w:usb0="00000001" w:usb1="080E0000" w:usb2="00000000" w:usb3="00000000" w:csb0="00040000" w:csb1="00000000"/>
    <w:embedRegular r:id="rId4" w:fontKey="{3431D473-3C2E-411B-A692-01088785B8DE}"/>
  </w:font>
  <w:font w:name="仿宋_GB2312">
    <w:panose1 w:val="02010609030101010101"/>
    <w:charset w:val="86"/>
    <w:family w:val="modern"/>
    <w:pitch w:val="default"/>
    <w:sig w:usb0="00000001" w:usb1="080E0000" w:usb2="00000000" w:usb3="00000000" w:csb0="00040000" w:csb1="00000000"/>
    <w:embedRegular r:id="rId5" w:fontKey="{937D1759-C46D-4A7C-86E2-2909FBC19EC9}"/>
  </w:font>
  <w:font w:name="汉仪雅酷黑简">
    <w:panose1 w:val="00020600040101010101"/>
    <w:charset w:val="86"/>
    <w:family w:val="auto"/>
    <w:pitch w:val="default"/>
    <w:sig w:usb0="A00002BF" w:usb1="1AC17CFA" w:usb2="00000016" w:usb3="00000000" w:csb0="0004009F" w:csb1="DFD70000"/>
    <w:embedRegular r:id="rId6" w:fontKey="{97B37FE4-2412-4F92-AD33-DE09A16283CB}"/>
  </w:font>
  <w:font w:name="仿宋">
    <w:panose1 w:val="02010609060101010101"/>
    <w:charset w:val="86"/>
    <w:family w:val="modern"/>
    <w:pitch w:val="default"/>
    <w:sig w:usb0="800002BF" w:usb1="38CF7CFA" w:usb2="00000016" w:usb3="00000000" w:csb0="00040001" w:csb1="00000000"/>
    <w:embedRegular r:id="rId7" w:fontKey="{19F32201-3957-471F-B029-745A7D38DC7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GgMjt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BNo7k5Ymvjlx/fLz9+XX9/Y&#10;MunTh1hR2l2gRBxe+4FyZ38kZ6I9tGDTnwgxipO656u6akAm06X1ar0uKSQpNh8Iv7i/HiDiW+Ut&#10;S0bNgcaXVRWn9xHH1DklVXP+VhuTR2jcXw7CTJ4i9T72mCwc9sNEaO+bM/Ghd0B1Og9fOetpC2ru&#10;aOk5M+8ciZwWZjZgNvazIZykizVHzkbzDY6LdQygDx3hLnPzMbw6InWaCaQ2xtpTdzTXLMG0g2lx&#10;Hp5z1v27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RoDI7dAQAAvwMAAA4AAAAAAAAA&#10;AQAgAAAAHgEAAGRycy9lMm9Eb2MueG1sUEsFBgAAAAAGAAYAWQEAAG0FAAAAAA==&#10;">
              <v:fill on="f" focussize="0,0"/>
              <v:stroke on="f"/>
              <v:imagedata o:title=""/>
              <o:lock v:ext="edit" aspectratio="f"/>
              <v:textbox inset="0mm,0mm,0mm,0mm" style="mso-fit-shape-to-text:t;">
                <w:txbxContent>
                  <w:p>
                    <w:pPr>
                      <w:pStyle w:val="2"/>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F3D94"/>
    <w:multiLevelType w:val="singleLevel"/>
    <w:tmpl w:val="664F3D94"/>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3C0BF4"/>
    <w:rsid w:val="109D53CD"/>
    <w:rsid w:val="1503309F"/>
    <w:rsid w:val="167B2D30"/>
    <w:rsid w:val="17530BF5"/>
    <w:rsid w:val="1BAC676E"/>
    <w:rsid w:val="1C151CFC"/>
    <w:rsid w:val="1D506354"/>
    <w:rsid w:val="1FCD4454"/>
    <w:rsid w:val="2E4816CD"/>
    <w:rsid w:val="2EBE04AD"/>
    <w:rsid w:val="33B53839"/>
    <w:rsid w:val="38462DD9"/>
    <w:rsid w:val="48C00C56"/>
    <w:rsid w:val="4CE73D87"/>
    <w:rsid w:val="53C44F41"/>
    <w:rsid w:val="55B622FF"/>
    <w:rsid w:val="561B2950"/>
    <w:rsid w:val="58A47226"/>
    <w:rsid w:val="59932B8C"/>
    <w:rsid w:val="5F715386"/>
    <w:rsid w:val="61BD6497"/>
    <w:rsid w:val="62435CAA"/>
    <w:rsid w:val="652F4252"/>
    <w:rsid w:val="6652779E"/>
    <w:rsid w:val="67BE4F91"/>
    <w:rsid w:val="70FD2EF1"/>
    <w:rsid w:val="78956414"/>
    <w:rsid w:val="7AB528A6"/>
    <w:rsid w:val="7E2631CC"/>
    <w:rsid w:val="7EBF051E"/>
    <w:rsid w:val="7FD669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0" w:semiHidden="0" w:name="header"/>
    <w:lsdException w:qFormat="1" w:uiPriority="0"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jc w:val="both"/>
    </w:pPr>
    <w:rPr>
      <w:rFonts w:hint="default" w:ascii="Times New Roman" w:hAnsi="Times New Roman" w:eastAsia="宋体" w:cs="Times New Roman"/>
      <w:kern w:val="2"/>
      <w:sz w:val="21"/>
      <w:szCs w:val="24"/>
    </w:rPr>
  </w:style>
  <w:style w:type="character" w:default="1" w:styleId="5">
    <w:name w:val="Default Paragraph Font"/>
    <w:unhideWhenUsed/>
    <w:qFormat/>
    <w:uiPriority w:val="99"/>
    <w:rPr>
      <w:rFonts w:hint="default"/>
      <w:sz w:val="24"/>
      <w:szCs w:val="24"/>
    </w:rPr>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3">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default"/>
      <w:sz w:val="18"/>
      <w:szCs w:val="24"/>
    </w:rPr>
  </w:style>
  <w:style w:type="character" w:styleId="6">
    <w:name w:val="page number"/>
    <w:basedOn w:val="5"/>
    <w:unhideWhenUsed/>
    <w:qFormat/>
    <w:uiPriority w:val="0"/>
    <w:rPr>
      <w:rFonts w:hint="default"/>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AppData\Local\Temp\wps.DVZjrA\Chart5%20in%20Wps.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lang="en-US" altLang="zh-CN"/>
              <a:t>2020</a:t>
            </a:r>
            <a:r>
              <a:t>年度收入构成图（单位：万元）</a:t>
            </a:r>
          </a:p>
        </c:rich>
      </c:tx>
      <c:layout>
        <c:manualLayout>
          <c:xMode val="edge"/>
          <c:yMode val="edge"/>
          <c:x val="0.186943054692355"/>
          <c:y val="0.0249634586960092"/>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explosion val="5"/>
            <c:spPr>
              <a:gradFill>
                <a:gsLst>
                  <a:gs pos="0">
                    <a:srgbClr val="14CD68"/>
                  </a:gs>
                  <a:gs pos="100000">
                    <a:srgbClr val="035C7D"/>
                  </a:gs>
                </a:gsLst>
                <a:path path="circle"/>
              </a:gradFill>
              <a:ln>
                <a:noFill/>
              </a:ln>
              <a:effectLst>
                <a:outerShdw blurRad="254000" sx="102000" sy="102000" algn="ctr" rotWithShape="0">
                  <a:prstClr val="black">
                    <a:alpha val="20000"/>
                  </a:prstClr>
                </a:outerShdw>
              </a:effectLst>
            </c:spPr>
          </c:dPt>
          <c:dPt>
            <c:idx val="1"/>
            <c:bubble3D val="0"/>
            <c:explosion val="3"/>
            <c:spPr>
              <a:gradFill>
                <a:gsLst>
                  <a:gs pos="0">
                    <a:srgbClr val="FE4444"/>
                  </a:gs>
                  <a:gs pos="100000">
                    <a:srgbClr val="832B2B"/>
                  </a:gs>
                </a:gsLst>
                <a:path path="circle"/>
              </a:gradFill>
              <a:ln>
                <a:noFill/>
              </a:ln>
              <a:effectLst>
                <a:outerShdw blurRad="254000" sx="102000" sy="102000" algn="ctr" rotWithShape="0">
                  <a:prstClr val="black">
                    <a:alpha val="20000"/>
                  </a:prstClr>
                </a:outerShdw>
              </a:effectLst>
            </c:spPr>
          </c:dPt>
          <c:dPt>
            <c:idx val="2"/>
            <c:bubble3D val="0"/>
            <c:explosion val="5"/>
            <c:spPr>
              <a:solidFill>
                <a:schemeClr val="tx2">
                  <a:lumMod val="60000"/>
                  <a:lumOff val="40000"/>
                </a:schemeClr>
              </a:solidFill>
              <a:ln>
                <a:noFill/>
              </a:ln>
              <a:effectLst>
                <a:outerShdw blurRad="254000" sx="102000" sy="102000" algn="ctr" rotWithShape="0">
                  <a:prstClr val="black">
                    <a:alpha val="20000"/>
                  </a:prstClr>
                </a:outerShdw>
              </a:effectLst>
            </c:spPr>
          </c:dPt>
          <c:dLbls>
            <c:dLbl>
              <c:idx val="0"/>
              <c:layout/>
              <c:dLblPos val="ctr"/>
              <c:showLegendKey val="0"/>
              <c:showVal val="1"/>
              <c:showCatName val="0"/>
              <c:showSerName val="0"/>
              <c:showPercent val="1"/>
              <c:showBubbleSize val="0"/>
              <c:extLst>
                <c:ext xmlns:c15="http://schemas.microsoft.com/office/drawing/2012/chart" uri="{CE6537A1-D6FC-4f65-9D91-7224C49458BB}"/>
              </c:extLst>
            </c:dLbl>
            <c:dLbl>
              <c:idx val="1"/>
              <c:layout/>
              <c:dLblPos val="ctr"/>
              <c:showLegendKey val="0"/>
              <c:showVal val="1"/>
              <c:showCatName val="0"/>
              <c:showSerName val="0"/>
              <c:showPercent val="1"/>
              <c:showBubbleSize val="0"/>
              <c:extLst>
                <c:ext xmlns:c15="http://schemas.microsoft.com/office/drawing/2012/chart" uri="{CE6537A1-D6FC-4f65-9D91-7224C49458BB}"/>
              </c:extLst>
            </c:dLbl>
            <c:dLbl>
              <c:idx val="2"/>
              <c:layout/>
              <c:dLblPos val="ctr"/>
              <c:showLegendKey val="0"/>
              <c:showVal val="1"/>
              <c:showCatName val="0"/>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财政拨款收入</c:v>
                </c:pt>
                <c:pt idx="1">
                  <c:v>事业收入</c:v>
                </c:pt>
                <c:pt idx="2">
                  <c:v>其他收入</c:v>
                </c:pt>
              </c:strCache>
            </c:strRef>
          </c:cat>
          <c:val>
            <c:numRef>
              <c:f>Sheet1!$B$2:$B$4</c:f>
              <c:numCache>
                <c:formatCode>General</c:formatCode>
                <c:ptCount val="3"/>
                <c:pt idx="0">
                  <c:v>1071.4</c:v>
                </c:pt>
                <c:pt idx="1">
                  <c:v>1667.91</c:v>
                </c:pt>
                <c:pt idx="2">
                  <c:v>49.72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latin typeface="Times New Roman" panose="02020603050405020304" charset="0"/>
                <a:cs typeface="Times New Roman" panose="02020603050405020304" charset="0"/>
              </a:rPr>
              <a:t>2019-2020</a:t>
            </a:r>
            <a:r>
              <a:rPr altLang="en-US"/>
              <a:t>年收入情况对比图（万元）</a:t>
            </a:r>
            <a:endParaRPr altLang="en-US"/>
          </a:p>
        </c:rich>
      </c:tx>
      <c:layout/>
      <c:overlay val="0"/>
      <c:spPr>
        <a:noFill/>
        <a:ln>
          <a:noFill/>
        </a:ln>
        <a:effectLst/>
      </c:spPr>
    </c:title>
    <c:autoTitleDeleted val="0"/>
    <c:plotArea>
      <c:layout>
        <c:manualLayout>
          <c:layoutTarget val="inner"/>
          <c:xMode val="edge"/>
          <c:yMode val="edge"/>
          <c:x val="0.0852081956378057"/>
          <c:y val="0.166112956810631"/>
          <c:w val="0.88769332452082"/>
          <c:h val="0.623787375415282"/>
        </c:manualLayout>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财政拨款收入</c:v>
                </c:pt>
                <c:pt idx="1">
                  <c:v>事业收入</c:v>
                </c:pt>
                <c:pt idx="2">
                  <c:v>其他收入</c:v>
                </c:pt>
              </c:strCache>
            </c:strRef>
          </c:cat>
          <c:val>
            <c:numRef>
              <c:f>Sheet1!$B$2:$B$4</c:f>
              <c:numCache>
                <c:formatCode>General</c:formatCode>
                <c:ptCount val="3"/>
                <c:pt idx="0">
                  <c:v>1196.88</c:v>
                </c:pt>
                <c:pt idx="1">
                  <c:v>1842.03</c:v>
                </c:pt>
                <c:pt idx="2">
                  <c:v>24.48</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财政拨款收入</c:v>
                </c:pt>
                <c:pt idx="1">
                  <c:v>事业收入</c:v>
                </c:pt>
                <c:pt idx="2">
                  <c:v>其他收入</c:v>
                </c:pt>
              </c:strCache>
            </c:strRef>
          </c:cat>
          <c:val>
            <c:numRef>
              <c:f>Sheet1!$C$2:$C$4</c:f>
              <c:numCache>
                <c:formatCode>General</c:formatCode>
                <c:ptCount val="3"/>
                <c:pt idx="0">
                  <c:v>1071.4</c:v>
                </c:pt>
                <c:pt idx="1">
                  <c:v>1667.91</c:v>
                </c:pt>
                <c:pt idx="2">
                  <c:v>49.72</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财政拨款收入</c:v>
                </c:pt>
                <c:pt idx="1">
                  <c:v>事业收入</c:v>
                </c:pt>
                <c:pt idx="2">
                  <c:v>其他收入</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998304127"/>
        <c:axId val="561903962"/>
      </c:barChart>
      <c:catAx>
        <c:axId val="9983041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1903962"/>
        <c:crosses val="autoZero"/>
        <c:auto val="1"/>
        <c:lblAlgn val="ctr"/>
        <c:lblOffset val="100"/>
        <c:noMultiLvlLbl val="0"/>
      </c:catAx>
      <c:valAx>
        <c:axId val="5619039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8304127"/>
        <c:crosses val="autoZero"/>
        <c:crossBetween val="between"/>
      </c:valAx>
      <c:spPr>
        <a:noFill/>
        <a:ln>
          <a:noFill/>
        </a:ln>
        <a:effectLst/>
      </c:spPr>
    </c:plotArea>
    <c:legend>
      <c:legendPos val="b"/>
      <c:layout>
        <c:manualLayout>
          <c:xMode val="edge"/>
          <c:yMode val="edge"/>
          <c:x val="0.35625"/>
          <c:y val="0.9391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年度支出构成图（单位：万元）</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explosion val="0"/>
            <c:spPr>
              <a:gradFill>
                <a:gsLst>
                  <a:gs pos="0">
                    <a:srgbClr val="FE4444"/>
                  </a:gs>
                  <a:gs pos="100000">
                    <a:srgbClr val="832B2B"/>
                  </a:gs>
                </a:gsLst>
                <a:path path="circle"/>
              </a:gradFill>
              <a:ln w="19050">
                <a:solidFill>
                  <a:schemeClr val="lt1"/>
                </a:solidFill>
              </a:ln>
              <a:effectLst/>
            </c:spPr>
          </c:dPt>
          <c:dPt>
            <c:idx val="1"/>
            <c:bubble3D val="0"/>
            <c:explosion val="10"/>
            <c:spPr>
              <a:gradFill>
                <a:gsLst>
                  <a:gs pos="0">
                    <a:srgbClr val="14CD68"/>
                  </a:gs>
                  <a:gs pos="100000">
                    <a:srgbClr val="035C7D"/>
                  </a:gs>
                </a:gsLst>
                <a:path path="circle"/>
              </a:gradFill>
              <a:ln w="19050">
                <a:solidFill>
                  <a:schemeClr val="lt1"/>
                </a:solidFill>
              </a:ln>
              <a:effectLst/>
            </c:spPr>
          </c:dPt>
          <c:dLbls>
            <c:dLbl>
              <c:idx val="0"/>
              <c:layout>
                <c:manualLayout>
                  <c:x val="-0.030606250243017"/>
                  <c:y val="-0.1650855098039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2472.21</c:v>
                </c:pt>
                <c:pt idx="1">
                  <c:v>197.87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年度基本支出构成（单位：万元）</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explosion val="4"/>
            <c:spPr>
              <a:solidFill>
                <a:schemeClr val="accent1"/>
              </a:solidFill>
              <a:ln w="19050">
                <a:solidFill>
                  <a:schemeClr val="lt1"/>
                </a:solidFill>
              </a:ln>
              <a:effectLst/>
            </c:spPr>
          </c:dPt>
          <c:dPt>
            <c:idx val="1"/>
            <c:bubble3D val="0"/>
            <c:explosion val="8"/>
            <c:spPr>
              <a:solidFill>
                <a:schemeClr val="accent2"/>
              </a:solidFill>
              <a:ln w="19050">
                <a:solidFill>
                  <a:schemeClr val="lt1"/>
                </a:solidFill>
              </a:ln>
              <a:effectLst/>
            </c:spPr>
          </c:dPt>
          <c:dPt>
            <c:idx val="2"/>
            <c:bubble3D val="0"/>
            <c:explosion val="10"/>
            <c:spPr>
              <a:solidFill>
                <a:schemeClr val="accent3"/>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人员经费</c:v>
                </c:pt>
                <c:pt idx="1">
                  <c:v>商品和服务支出</c:v>
                </c:pt>
                <c:pt idx="2">
                  <c:v>资本性支出</c:v>
                </c:pt>
              </c:strCache>
            </c:strRef>
          </c:cat>
          <c:val>
            <c:numRef>
              <c:f>Sheet1!$B$2:$B$4</c:f>
              <c:numCache>
                <c:formatCode>General</c:formatCode>
                <c:ptCount val="3"/>
                <c:pt idx="0">
                  <c:v>985.77</c:v>
                </c:pt>
                <c:pt idx="1">
                  <c:v>1407.24</c:v>
                </c:pt>
                <c:pt idx="2">
                  <c:v>79.2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2019-2020</a:t>
            </a:r>
            <a:r>
              <a:rPr altLang="en-US"/>
              <a:t>年基本支出对比图（单位：万元）</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人员经费</c:v>
                </c:pt>
                <c:pt idx="1">
                  <c:v>商品和服务支出</c:v>
                </c:pt>
                <c:pt idx="2">
                  <c:v>资本性支出</c:v>
                </c:pt>
              </c:strCache>
            </c:strRef>
          </c:cat>
          <c:val>
            <c:numRef>
              <c:f>Sheet1!$B$2:$B$4</c:f>
              <c:numCache>
                <c:formatCode>General</c:formatCode>
                <c:ptCount val="3"/>
                <c:pt idx="0">
                  <c:v>1262.53</c:v>
                </c:pt>
                <c:pt idx="1">
                  <c:v>1347.86</c:v>
                </c:pt>
                <c:pt idx="2">
                  <c:v>214.98</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人员经费</c:v>
                </c:pt>
                <c:pt idx="1">
                  <c:v>商品和服务支出</c:v>
                </c:pt>
                <c:pt idx="2">
                  <c:v>资本性支出</c:v>
                </c:pt>
              </c:strCache>
            </c:strRef>
          </c:cat>
          <c:val>
            <c:numRef>
              <c:f>Sheet1!$C$2:$C$4</c:f>
              <c:numCache>
                <c:formatCode>General</c:formatCode>
                <c:ptCount val="3"/>
                <c:pt idx="0">
                  <c:v>985.77</c:v>
                </c:pt>
                <c:pt idx="1">
                  <c:v>1407.24</c:v>
                </c:pt>
                <c:pt idx="2">
                  <c:v>79.2</c:v>
                </c:pt>
              </c:numCache>
            </c:numRef>
          </c:val>
        </c:ser>
        <c:dLbls>
          <c:showLegendKey val="0"/>
          <c:showVal val="0"/>
          <c:showCatName val="0"/>
          <c:showSerName val="0"/>
          <c:showPercent val="0"/>
          <c:showBubbleSize val="0"/>
        </c:dLbls>
        <c:gapWidth val="219"/>
        <c:overlap val="-27"/>
        <c:axId val="689994778"/>
        <c:axId val="668772967"/>
      </c:barChart>
      <c:catAx>
        <c:axId val="6899947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8772967"/>
        <c:crosses val="autoZero"/>
        <c:auto val="1"/>
        <c:lblAlgn val="ctr"/>
        <c:lblOffset val="100"/>
        <c:noMultiLvlLbl val="0"/>
      </c:catAx>
      <c:valAx>
        <c:axId val="668772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999477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年度项目支出构成图（单位：万元）</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explosion val="7"/>
            <c:spPr>
              <a:solidFill>
                <a:schemeClr val="accent1"/>
              </a:solidFill>
              <a:ln w="19050">
                <a:solidFill>
                  <a:schemeClr val="lt1"/>
                </a:solidFill>
              </a:ln>
              <a:effectLst/>
            </c:spPr>
          </c:dPt>
          <c:dPt>
            <c:idx val="1"/>
            <c:bubble3D val="0"/>
            <c:explosion val="5"/>
            <c:spPr>
              <a:solidFill>
                <a:schemeClr val="accent2"/>
              </a:solidFill>
              <a:ln w="19050">
                <a:solidFill>
                  <a:schemeClr val="lt1"/>
                </a:solidFill>
              </a:ln>
              <a:effectLst/>
            </c:spPr>
          </c:dPt>
          <c:dPt>
            <c:idx val="2"/>
            <c:bubble3D val="0"/>
            <c:explosion val="2"/>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人员经费</c:v>
                </c:pt>
                <c:pt idx="1">
                  <c:v>商品和服务支出</c:v>
                </c:pt>
                <c:pt idx="2">
                  <c:v>资本性支出</c:v>
                </c:pt>
              </c:strCache>
            </c:strRef>
          </c:cat>
          <c:val>
            <c:numRef>
              <c:f>Sheet1!$B$2:$B$4</c:f>
              <c:numCache>
                <c:formatCode>General</c:formatCode>
                <c:ptCount val="3"/>
                <c:pt idx="0">
                  <c:v>0.82</c:v>
                </c:pt>
                <c:pt idx="1">
                  <c:v>120.11</c:v>
                </c:pt>
                <c:pt idx="2">
                  <c:v>76.94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2556875"/>
          <c:y val="0.924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2019-2020</a:t>
            </a:r>
            <a:r>
              <a:rPr altLang="en-US"/>
              <a:t>年项目支出对比图（单位：万元）</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人员经费</c:v>
                </c:pt>
                <c:pt idx="1">
                  <c:v>商品和服务支出</c:v>
                </c:pt>
                <c:pt idx="2">
                  <c:v>资本性支出</c:v>
                </c:pt>
              </c:strCache>
            </c:strRef>
          </c:cat>
          <c:val>
            <c:numRef>
              <c:f>Sheet1!$B$2:$B$4</c:f>
              <c:numCache>
                <c:formatCode>General</c:formatCode>
                <c:ptCount val="3"/>
                <c:pt idx="0">
                  <c:v>0.1</c:v>
                </c:pt>
                <c:pt idx="1">
                  <c:v>204.62</c:v>
                </c:pt>
                <c:pt idx="2">
                  <c:v>106.83</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人员经费</c:v>
                </c:pt>
                <c:pt idx="1">
                  <c:v>商品和服务支出</c:v>
                </c:pt>
                <c:pt idx="2">
                  <c:v>资本性支出</c:v>
                </c:pt>
              </c:strCache>
            </c:strRef>
          </c:cat>
          <c:val>
            <c:numRef>
              <c:f>Sheet1!$C$2:$C$4</c:f>
              <c:numCache>
                <c:formatCode>General</c:formatCode>
                <c:ptCount val="3"/>
                <c:pt idx="0">
                  <c:v>0.82</c:v>
                </c:pt>
                <c:pt idx="1">
                  <c:v>120.11</c:v>
                </c:pt>
                <c:pt idx="2">
                  <c:v>76.94</c:v>
                </c:pt>
              </c:numCache>
            </c:numRef>
          </c:val>
        </c:ser>
        <c:dLbls>
          <c:showLegendKey val="0"/>
          <c:showVal val="1"/>
          <c:showCatName val="0"/>
          <c:showSerName val="0"/>
          <c:showPercent val="0"/>
          <c:showBubbleSize val="0"/>
        </c:dLbls>
        <c:gapWidth val="219"/>
        <c:overlap val="-27"/>
        <c:axId val="413762211"/>
        <c:axId val="338842927"/>
      </c:barChart>
      <c:catAx>
        <c:axId val="41376221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8842927"/>
        <c:crosses val="autoZero"/>
        <c:auto val="1"/>
        <c:lblAlgn val="ctr"/>
        <c:lblOffset val="100"/>
        <c:noMultiLvlLbl val="0"/>
      </c:catAx>
      <c:valAx>
        <c:axId val="3388429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76221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6009</Words>
  <Characters>6851</Characters>
  <TotalTime>491</TotalTime>
  <ScaleCrop>false</ScaleCrop>
  <LinksUpToDate>false</LinksUpToDate>
  <CharactersWithSpaces>7267</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2021-09-27T08:28:00Z</dcterms:created>
  <dc:creator>Administrator</dc:creator>
  <cp:lastModifiedBy>王明勤</cp:lastModifiedBy>
  <dcterms:modified xsi:type="dcterms:W3CDTF">2021-10-20T10:25:25Z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7555FEC9D3FB45E5851143D63F57EE77</vt:lpwstr>
  </property>
</Properties>
</file>