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芒市勐戛镇中心</w:t>
      </w:r>
      <w:r>
        <w:rPr>
          <w:rFonts w:hint="default" w:ascii="Times New Roman" w:hAnsi="Times New Roman" w:eastAsia="方正小标宋简体" w:cs="Times New Roman"/>
          <w:sz w:val="36"/>
          <w:szCs w:val="36"/>
          <w:lang w:eastAsia="zh-CN"/>
        </w:rPr>
        <w:t>卫生院</w:t>
      </w:r>
      <w:r>
        <w:rPr>
          <w:rFonts w:hint="default" w:ascii="Times New Roman" w:hAnsi="Times New Roman" w:eastAsia="方正小标宋简体" w:cs="Times New Roman"/>
          <w:sz w:val="36"/>
          <w:szCs w:val="36"/>
          <w:lang w:val="en-US" w:eastAsia="zh-CN"/>
        </w:rPr>
        <w:t>2019</w:t>
      </w:r>
      <w:r>
        <w:rPr>
          <w:rFonts w:hint="default" w:ascii="Times New Roman" w:hAnsi="Times New Roman" w:eastAsia="方正小标宋简体" w:cs="Times New Roman"/>
          <w:sz w:val="36"/>
          <w:szCs w:val="36"/>
        </w:rPr>
        <w:t>年度部门决算</w:t>
      </w:r>
    </w:p>
    <w:p>
      <w:pPr>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 xml:space="preserve">                         </w:t>
      </w:r>
    </w:p>
    <w:p>
      <w:pPr>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目录</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第一部分  </w:t>
      </w:r>
      <w:r>
        <w:rPr>
          <w:rFonts w:hint="eastAsia" w:eastAsia="黑体" w:cs="Times New Roman"/>
          <w:sz w:val="30"/>
          <w:szCs w:val="30"/>
          <w:lang w:eastAsia="zh-CN"/>
        </w:rPr>
        <w:t>芒市勐戛镇中心</w:t>
      </w:r>
      <w:r>
        <w:rPr>
          <w:rFonts w:hint="default" w:ascii="Times New Roman" w:hAnsi="Times New Roman" w:eastAsia="黑体" w:cs="Times New Roman"/>
          <w:sz w:val="30"/>
          <w:szCs w:val="30"/>
          <w:lang w:eastAsia="zh-CN"/>
        </w:rPr>
        <w:t>卫生院</w:t>
      </w:r>
      <w:r>
        <w:rPr>
          <w:rFonts w:hint="default" w:ascii="Times New Roman" w:hAnsi="Times New Roman" w:eastAsia="黑体" w:cs="Times New Roman"/>
          <w:sz w:val="30"/>
          <w:szCs w:val="30"/>
        </w:rPr>
        <w:t>概况</w:t>
      </w:r>
    </w:p>
    <w:p>
      <w:pPr>
        <w:spacing w:line="240" w:lineRule="atLeast"/>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一、主要职能</w:t>
      </w:r>
    </w:p>
    <w:p>
      <w:pPr>
        <w:spacing w:line="240" w:lineRule="atLeast"/>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二、部门基本情况</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第二部分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一、收入支出决算总表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二、收入决算表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四、财政拨款收入支出决算总表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五、一般公共预算财政拨款收入支出决算表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六、一般公共预算财政拨款基本支出决算表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七、政府性基金预算财政拨款收入支出决算表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八、“三公”经费、行政参公单位机关运行经费情况表</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第三部</w:t>
      </w:r>
      <w:r>
        <w:rPr>
          <w:rFonts w:hint="default" w:ascii="Times New Roman" w:hAnsi="Times New Roman" w:eastAsia="黑体" w:cs="Times New Roman"/>
          <w:sz w:val="30"/>
          <w:szCs w:val="30"/>
          <w:lang w:eastAsia="zh-CN"/>
        </w:rPr>
        <w:t>分</w:t>
      </w: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二、支出决算情况说明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三、一般公共预算财政拨款支出决算情况说明</w:t>
      </w:r>
    </w:p>
    <w:p>
      <w:pPr>
        <w:widowControl/>
        <w:snapToGrid w:val="0"/>
        <w:spacing w:before="100" w:after="100" w:line="360" w:lineRule="auto"/>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四、一般公共预算财政拨款“三公”经费支出决算情况说明</w:t>
      </w:r>
    </w:p>
    <w:p>
      <w:pPr>
        <w:widowControl/>
        <w:snapToGrid w:val="0"/>
        <w:spacing w:before="100" w:after="100" w:line="360" w:lineRule="auto"/>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第四部分</w:t>
      </w:r>
      <w:r>
        <w:rPr>
          <w:rFonts w:hint="default" w:ascii="Times New Roman" w:hAnsi="Times New Roman" w:eastAsia="楷体" w:cs="Times New Roman"/>
          <w:sz w:val="30"/>
          <w:szCs w:val="30"/>
          <w:lang w:val="en-US" w:eastAsia="zh-CN"/>
        </w:rPr>
        <w:t xml:space="preserve">  </w:t>
      </w:r>
      <w:r>
        <w:rPr>
          <w:rFonts w:hint="default" w:ascii="Times New Roman" w:hAnsi="Times New Roman" w:eastAsia="黑体" w:cs="Times New Roman"/>
          <w:sz w:val="30"/>
          <w:szCs w:val="30"/>
        </w:rPr>
        <w:t>其他重要事项及相关口径情况说明</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一、</w:t>
      </w:r>
      <w:r>
        <w:rPr>
          <w:rFonts w:hint="default" w:ascii="Times New Roman" w:hAnsi="Times New Roman" w:eastAsia="楷体" w:cs="Times New Roman"/>
          <w:sz w:val="30"/>
          <w:szCs w:val="30"/>
        </w:rPr>
        <w:t>机关运行经费支出情况</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二、</w:t>
      </w:r>
      <w:r>
        <w:rPr>
          <w:rFonts w:hint="default" w:ascii="Times New Roman" w:hAnsi="Times New Roman" w:eastAsia="楷体" w:cs="Times New Roman"/>
          <w:sz w:val="30"/>
          <w:szCs w:val="30"/>
        </w:rPr>
        <w:t>国有资产占用情况</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三、</w:t>
      </w:r>
      <w:r>
        <w:rPr>
          <w:rFonts w:hint="default" w:ascii="Times New Roman" w:hAnsi="Times New Roman" w:eastAsia="楷体" w:cs="Times New Roman"/>
          <w:sz w:val="30"/>
          <w:szCs w:val="30"/>
        </w:rPr>
        <w:t>政府采购支出情况</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四、</w:t>
      </w:r>
      <w:r>
        <w:rPr>
          <w:rFonts w:hint="default" w:ascii="Times New Roman" w:hAnsi="Times New Roman" w:eastAsia="楷体" w:cs="Times New Roman"/>
          <w:sz w:val="30"/>
          <w:szCs w:val="30"/>
          <w:highlight w:val="none"/>
          <w:lang w:val="en-US" w:eastAsia="zh-CN"/>
        </w:rPr>
        <w:t>部门绩效自评情况</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（一）项目支出绩效自评/项目支出绩效自评报告（表）</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（二）部门整体支出绩效自评报告</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（三）部门整体支出绩效自评表</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五、</w:t>
      </w:r>
      <w:r>
        <w:rPr>
          <w:rFonts w:hint="default" w:ascii="Times New Roman" w:hAnsi="Times New Roman" w:eastAsia="楷体" w:cs="Times New Roman"/>
          <w:sz w:val="30"/>
          <w:szCs w:val="30"/>
          <w:highlight w:val="none"/>
          <w:lang w:val="en-US" w:eastAsia="zh-CN"/>
        </w:rPr>
        <w:t>其他重要事项情况说明</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六、相关口径说明</w:t>
      </w:r>
    </w:p>
    <w:p>
      <w:pPr>
        <w:widowControl/>
        <w:snapToGrid w:val="0"/>
        <w:spacing w:before="100" w:after="100" w:line="360" w:lineRule="auto"/>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w:t>
      </w:r>
      <w:r>
        <w:rPr>
          <w:rFonts w:hint="default" w:ascii="Times New Roman" w:hAnsi="Times New Roman" w:eastAsia="黑体" w:cs="Times New Roman"/>
          <w:sz w:val="30"/>
          <w:szCs w:val="30"/>
          <w:lang w:eastAsia="zh-CN"/>
        </w:rPr>
        <w:t>五</w:t>
      </w:r>
      <w:r>
        <w:rPr>
          <w:rFonts w:hint="default" w:ascii="Times New Roman" w:hAnsi="Times New Roman" w:eastAsia="黑体" w:cs="Times New Roman"/>
          <w:sz w:val="30"/>
          <w:szCs w:val="30"/>
        </w:rPr>
        <w:t>部分  名词解释</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eastAsia" w:eastAsia="黑体" w:cs="Times New Roman"/>
          <w:sz w:val="32"/>
          <w:szCs w:val="32"/>
          <w:lang w:eastAsia="zh-CN"/>
        </w:rPr>
        <w:t>芒市勐戛镇中心</w:t>
      </w:r>
      <w:r>
        <w:rPr>
          <w:rFonts w:hint="default" w:ascii="Times New Roman" w:hAnsi="Times New Roman" w:eastAsia="黑体" w:cs="Times New Roman"/>
          <w:sz w:val="32"/>
          <w:szCs w:val="32"/>
          <w:lang w:eastAsia="zh-CN"/>
        </w:rPr>
        <w:t>卫生院</w:t>
      </w:r>
      <w:r>
        <w:rPr>
          <w:rFonts w:hint="default" w:ascii="Times New Roman" w:hAnsi="Times New Roman" w:eastAsia="黑体" w:cs="Times New Roman"/>
          <w:sz w:val="32"/>
          <w:szCs w:val="32"/>
        </w:rPr>
        <w:t>概况</w:t>
      </w: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一、主要职能</w:t>
      </w:r>
    </w:p>
    <w:p>
      <w:pPr>
        <w:spacing w:line="60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bCs/>
          <w:sz w:val="30"/>
          <w:szCs w:val="30"/>
        </w:rPr>
        <w:t>（一）主要职能</w:t>
      </w:r>
    </w:p>
    <w:p>
      <w:pPr>
        <w:pStyle w:val="2"/>
        <w:adjustRightInd w:val="0"/>
        <w:snapToGrid w:val="0"/>
        <w:spacing w:line="600" w:lineRule="exact"/>
        <w:ind w:firstLine="630" w:firstLineChars="210"/>
        <w:rPr>
          <w:rFonts w:hint="default" w:ascii="Times New Roman" w:hAnsi="Times New Roman" w:cs="Times New Roman"/>
          <w:bCs/>
          <w:szCs w:val="30"/>
        </w:rPr>
      </w:pPr>
      <w:r>
        <w:rPr>
          <w:rFonts w:hint="default" w:ascii="Times New Roman" w:hAnsi="Times New Roman" w:cs="Times New Roman"/>
          <w:bCs/>
          <w:szCs w:val="30"/>
          <w:lang w:eastAsia="zh-CN"/>
        </w:rPr>
        <w:t>为人民身体健康提供医疗和预防保健服务。为计划生育提供技术服务</w:t>
      </w:r>
      <w:r>
        <w:rPr>
          <w:rFonts w:hint="eastAsia" w:ascii="Times New Roman" w:cs="Times New Roman"/>
          <w:bCs/>
          <w:szCs w:val="30"/>
          <w:lang w:eastAsia="zh-CN"/>
        </w:rPr>
        <w:t>；</w:t>
      </w:r>
      <w:r>
        <w:rPr>
          <w:rFonts w:hint="default" w:ascii="Times New Roman" w:hAnsi="Times New Roman" w:cs="Times New Roman"/>
          <w:bCs/>
          <w:szCs w:val="30"/>
          <w:lang w:eastAsia="zh-CN"/>
        </w:rPr>
        <w:t>常见病、多发病诊治和护理</w:t>
      </w:r>
      <w:r>
        <w:rPr>
          <w:rFonts w:hint="eastAsia" w:ascii="Times New Roman" w:cs="Times New Roman"/>
          <w:bCs/>
          <w:szCs w:val="30"/>
          <w:lang w:eastAsia="zh-CN"/>
        </w:rPr>
        <w:t>；</w:t>
      </w:r>
      <w:r>
        <w:rPr>
          <w:rFonts w:hint="default" w:ascii="Times New Roman" w:hAnsi="Times New Roman" w:cs="Times New Roman"/>
          <w:bCs/>
          <w:szCs w:val="30"/>
          <w:lang w:eastAsia="zh-CN"/>
        </w:rPr>
        <w:t>预防保健</w:t>
      </w:r>
      <w:r>
        <w:rPr>
          <w:rFonts w:hint="eastAsia" w:ascii="Times New Roman" w:cs="Times New Roman"/>
          <w:bCs/>
          <w:szCs w:val="30"/>
          <w:lang w:eastAsia="zh-CN"/>
        </w:rPr>
        <w:t>；</w:t>
      </w:r>
      <w:r>
        <w:rPr>
          <w:rFonts w:hint="default" w:ascii="Times New Roman" w:hAnsi="Times New Roman" w:cs="Times New Roman"/>
          <w:bCs/>
          <w:szCs w:val="30"/>
          <w:lang w:eastAsia="zh-CN"/>
        </w:rPr>
        <w:t>卫生防疫</w:t>
      </w:r>
      <w:r>
        <w:rPr>
          <w:rFonts w:hint="eastAsia" w:ascii="Times New Roman" w:cs="Times New Roman"/>
          <w:bCs/>
          <w:szCs w:val="30"/>
          <w:lang w:eastAsia="zh-CN"/>
        </w:rPr>
        <w:t>；</w:t>
      </w:r>
      <w:r>
        <w:rPr>
          <w:rFonts w:hint="default" w:ascii="Times New Roman" w:hAnsi="Times New Roman" w:cs="Times New Roman"/>
          <w:bCs/>
          <w:szCs w:val="30"/>
          <w:lang w:eastAsia="zh-CN"/>
        </w:rPr>
        <w:t>妇幼保健；卫生监督与卫生信息管理；卫生技术人员培训；初级卫生保健规划实施。</w:t>
      </w:r>
    </w:p>
    <w:p>
      <w:pPr>
        <w:pStyle w:val="2"/>
        <w:adjustRightInd w:val="0"/>
        <w:snapToGrid w:val="0"/>
        <w:spacing w:line="600" w:lineRule="exact"/>
        <w:ind w:firstLine="630" w:firstLineChars="210"/>
        <w:rPr>
          <w:rFonts w:hint="default" w:ascii="Times New Roman" w:hAnsi="Times New Roman" w:eastAsia="楷体" w:cs="Times New Roman"/>
          <w:bCs/>
          <w:szCs w:val="30"/>
        </w:rPr>
      </w:pPr>
      <w:r>
        <w:rPr>
          <w:rFonts w:hint="default" w:ascii="Times New Roman" w:hAnsi="Times New Roman" w:eastAsia="楷体" w:cs="Times New Roman"/>
          <w:bCs/>
          <w:szCs w:val="30"/>
        </w:rPr>
        <w:t>（二）</w:t>
      </w:r>
      <w:r>
        <w:rPr>
          <w:rFonts w:hint="default" w:ascii="Times New Roman" w:hAnsi="Times New Roman" w:eastAsia="楷体" w:cs="Times New Roman"/>
          <w:bCs/>
          <w:szCs w:val="30"/>
          <w:lang w:val="en-US" w:eastAsia="zh-CN"/>
        </w:rPr>
        <w:t>2019</w:t>
      </w:r>
      <w:r>
        <w:rPr>
          <w:rFonts w:hint="default" w:ascii="Times New Roman" w:hAnsi="Times New Roman" w:eastAsia="楷体" w:cs="Times New Roman"/>
          <w:bCs/>
          <w:szCs w:val="30"/>
        </w:rPr>
        <w:t>年度重点工作任务介绍</w:t>
      </w:r>
    </w:p>
    <w:p>
      <w:pPr>
        <w:pStyle w:val="2"/>
        <w:adjustRightInd w:val="0"/>
        <w:snapToGrid w:val="0"/>
        <w:spacing w:line="600" w:lineRule="exact"/>
        <w:ind w:firstLine="630" w:firstLineChars="210"/>
        <w:rPr>
          <w:rFonts w:hint="default" w:ascii="Times New Roman" w:hAnsi="Times New Roman" w:cs="Times New Roman"/>
          <w:bCs/>
          <w:szCs w:val="30"/>
        </w:rPr>
      </w:pPr>
      <w:r>
        <w:rPr>
          <w:rFonts w:hint="default" w:ascii="Times New Roman" w:hAnsi="Times New Roman" w:cs="Times New Roman"/>
          <w:bCs/>
          <w:szCs w:val="30"/>
          <w:lang w:val="en-US" w:eastAsia="zh-CN"/>
        </w:rPr>
        <w:t>2019年在镇党委、政府和上级部门的领导和指导下，</w:t>
      </w:r>
      <w:r>
        <w:rPr>
          <w:rFonts w:hint="eastAsia" w:ascii="Times New Roman" w:cs="Times New Roman"/>
          <w:bCs/>
          <w:szCs w:val="30"/>
          <w:lang w:val="en-US" w:eastAsia="zh-CN"/>
        </w:rPr>
        <w:t>芒市勐戛镇中心</w:t>
      </w:r>
      <w:r>
        <w:rPr>
          <w:rFonts w:hint="default" w:ascii="Times New Roman" w:hAnsi="Times New Roman" w:cs="Times New Roman"/>
          <w:bCs/>
          <w:szCs w:val="30"/>
          <w:lang w:val="en-US" w:eastAsia="zh-CN"/>
        </w:rPr>
        <w:t>卫生院认真按照要求开展各项工作，综合服务能力得到进一步提升。一是健康扶贫工作深入开展，贫困人口因病致贫、因病返贫问题得到有效缓解。二是基本公共卫生服务保障有力，特别是慢性病患者和特殊人群得到更多规范管理带来的关心帮助和健康实惠。三是家庭医生签约服务工作持续实施，签约团队服务能力不断增强，签约对象得到更多实惠。四是卫生院医疗卫生服务能力不断增强，年内购置新增高端四维彩色超声诊断系统、牙科综合治疗机、经皮黄疸测试仪等专用设备并开展相应业务，进一步满足群众就医需求。五是疾病预防控制、计划生育技术服务、卫生技术人员培训、综治维稳等其他各项工作稳步实施，年内无传染病疫情暴发、未发生医疗纠纷，给群众创造良好的就医环境。</w:t>
      </w: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二、部门基本情况</w:t>
      </w:r>
    </w:p>
    <w:p>
      <w:pPr>
        <w:spacing w:line="60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（一）部门决算单位构成</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纳入</w:t>
      </w:r>
      <w:r>
        <w:rPr>
          <w:rFonts w:hint="eastAsia" w:eastAsia="仿宋_GB2312" w:cs="Times New Roman"/>
          <w:sz w:val="30"/>
          <w:szCs w:val="30"/>
          <w:lang w:eastAsia="zh-CN"/>
        </w:rPr>
        <w:t>芒市勐戛镇中心</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年度部门决算编报的单位共</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个。其中：行政单位</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个，参照公务员法管理的事业单位</w:t>
      </w:r>
      <w:r>
        <w:rPr>
          <w:rFonts w:hint="default" w:ascii="Times New Roman" w:hAnsi="Times New Roman" w:eastAsia="仿宋_GB2312" w:cs="Times New Roman"/>
          <w:bCs/>
          <w:sz w:val="30"/>
          <w:szCs w:val="30"/>
          <w:lang w:val="en-US" w:eastAsia="zh-CN"/>
        </w:rPr>
        <w:t>0</w:t>
      </w:r>
      <w:r>
        <w:rPr>
          <w:rFonts w:hint="default" w:ascii="Times New Roman" w:hAnsi="Times New Roman" w:eastAsia="仿宋_GB2312" w:cs="Times New Roman"/>
          <w:sz w:val="30"/>
          <w:szCs w:val="30"/>
        </w:rPr>
        <w:t>个，其他事业单位</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个：</w:t>
      </w:r>
      <w:r>
        <w:rPr>
          <w:rFonts w:hint="eastAsia" w:eastAsia="仿宋_GB2312" w:cs="Times New Roman"/>
          <w:sz w:val="30"/>
          <w:szCs w:val="30"/>
          <w:lang w:eastAsia="zh-CN"/>
        </w:rPr>
        <w:t>芒市勐戛镇中心</w:t>
      </w:r>
      <w:r>
        <w:rPr>
          <w:rFonts w:hint="default" w:ascii="Times New Roman" w:hAnsi="Times New Roman" w:eastAsia="仿宋_GB2312" w:cs="Times New Roman"/>
          <w:sz w:val="30"/>
          <w:szCs w:val="30"/>
          <w:lang w:eastAsia="zh-CN"/>
        </w:rPr>
        <w:t>卫生院。</w:t>
      </w:r>
    </w:p>
    <w:p>
      <w:pPr>
        <w:ind w:firstLine="600" w:firstLineChars="200"/>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 xml:space="preserve">（二）部门人员和车辆的编制及实有情况 </w:t>
      </w:r>
    </w:p>
    <w:p>
      <w:pPr>
        <w:spacing w:line="600" w:lineRule="exact"/>
        <w:ind w:firstLine="600" w:firstLineChars="200"/>
        <w:rPr>
          <w:rFonts w:hint="default" w:ascii="Times New Roman" w:hAnsi="Times New Roman" w:eastAsia="仿宋_GB2312" w:cs="Times New Roman"/>
          <w:kern w:val="0"/>
          <w:sz w:val="30"/>
          <w:szCs w:val="30"/>
          <w:highlight w:val="none"/>
        </w:rPr>
      </w:pPr>
      <w:r>
        <w:rPr>
          <w:rFonts w:hint="eastAsia" w:eastAsia="仿宋_GB2312" w:cs="Times New Roman"/>
          <w:sz w:val="30"/>
          <w:szCs w:val="30"/>
          <w:highlight w:val="none"/>
          <w:lang w:eastAsia="zh-CN"/>
        </w:rPr>
        <w:t>芒市勐戛镇中心</w:t>
      </w:r>
      <w:r>
        <w:rPr>
          <w:rFonts w:hint="default" w:ascii="Times New Roman" w:hAnsi="Times New Roman" w:eastAsia="仿宋_GB2312" w:cs="Times New Roman"/>
          <w:sz w:val="30"/>
          <w:szCs w:val="30"/>
          <w:highlight w:val="none"/>
          <w:lang w:eastAsia="zh-CN"/>
        </w:rPr>
        <w:t>卫生院</w:t>
      </w:r>
      <w:r>
        <w:rPr>
          <w:rFonts w:hint="default"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rPr>
        <w:t>年末实有人员编制</w:t>
      </w:r>
      <w:r>
        <w:rPr>
          <w:rFonts w:hint="eastAsia" w:eastAsia="仿宋_GB2312" w:cs="Times New Roman"/>
          <w:sz w:val="30"/>
          <w:szCs w:val="30"/>
          <w:highlight w:val="none"/>
          <w:lang w:val="en-US" w:eastAsia="zh-CN"/>
        </w:rPr>
        <w:t>35</w:t>
      </w:r>
      <w:r>
        <w:rPr>
          <w:rFonts w:hint="default" w:ascii="Times New Roman" w:hAnsi="Times New Roman" w:eastAsia="仿宋_GB2312" w:cs="Times New Roman"/>
          <w:kern w:val="0"/>
          <w:sz w:val="30"/>
          <w:szCs w:val="30"/>
          <w:highlight w:val="none"/>
        </w:rPr>
        <w:t>人。其中：行政编制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人），事业编制</w:t>
      </w:r>
      <w:r>
        <w:rPr>
          <w:rFonts w:hint="eastAsia" w:eastAsia="仿宋_GB2312" w:cs="Times New Roman"/>
          <w:sz w:val="30"/>
          <w:szCs w:val="30"/>
          <w:highlight w:val="none"/>
          <w:lang w:val="en-US" w:eastAsia="zh-CN"/>
        </w:rPr>
        <w:t>35</w:t>
      </w:r>
      <w:r>
        <w:rPr>
          <w:rFonts w:hint="default" w:ascii="Times New Roman" w:hAnsi="Times New Roman" w:eastAsia="仿宋_GB2312" w:cs="Times New Roman"/>
          <w:kern w:val="0"/>
          <w:sz w:val="30"/>
          <w:szCs w:val="30"/>
          <w:highlight w:val="none"/>
        </w:rPr>
        <w:t>人（含参公管理事业编制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人）；在职在编实有行政人员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人），事业人员</w:t>
      </w:r>
      <w:r>
        <w:rPr>
          <w:rFonts w:hint="eastAsia" w:eastAsia="仿宋_GB2312" w:cs="Times New Roman"/>
          <w:sz w:val="30"/>
          <w:szCs w:val="30"/>
          <w:highlight w:val="none"/>
          <w:lang w:val="en-US" w:eastAsia="zh-CN"/>
        </w:rPr>
        <w:t>35</w:t>
      </w:r>
      <w:r>
        <w:rPr>
          <w:rFonts w:hint="default" w:ascii="Times New Roman" w:hAnsi="Times New Roman" w:eastAsia="仿宋_GB2312" w:cs="Times New Roman"/>
          <w:kern w:val="0"/>
          <w:sz w:val="30"/>
          <w:szCs w:val="30"/>
          <w:highlight w:val="none"/>
        </w:rPr>
        <w:t>人（含参公管理事业人员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其他人员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人。</w:t>
      </w:r>
    </w:p>
    <w:p>
      <w:pPr>
        <w:spacing w:line="600" w:lineRule="exact"/>
        <w:ind w:firstLine="600" w:firstLineChars="20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离退休人员</w:t>
      </w:r>
      <w:r>
        <w:rPr>
          <w:rFonts w:hint="eastAsia" w:eastAsia="仿宋_GB2312" w:cs="Times New Roman"/>
          <w:sz w:val="30"/>
          <w:szCs w:val="30"/>
          <w:highlight w:val="none"/>
          <w:lang w:val="en-US" w:eastAsia="zh-CN"/>
        </w:rPr>
        <w:t>5</w:t>
      </w:r>
      <w:r>
        <w:rPr>
          <w:rFonts w:hint="default" w:ascii="Times New Roman" w:hAnsi="Times New Roman" w:eastAsia="仿宋_GB2312" w:cs="Times New Roman"/>
          <w:kern w:val="0"/>
          <w:sz w:val="30"/>
          <w:szCs w:val="30"/>
          <w:highlight w:val="none"/>
        </w:rPr>
        <w:t>人。其中：离休</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人，退休</w:t>
      </w:r>
      <w:r>
        <w:rPr>
          <w:rFonts w:hint="eastAsia" w:eastAsia="仿宋_GB2312" w:cs="Times New Roman"/>
          <w:sz w:val="30"/>
          <w:szCs w:val="30"/>
          <w:highlight w:val="none"/>
          <w:lang w:val="en-US" w:eastAsia="zh-CN"/>
        </w:rPr>
        <w:t>5</w:t>
      </w:r>
      <w:r>
        <w:rPr>
          <w:rFonts w:hint="default" w:ascii="Times New Roman" w:hAnsi="Times New Roman" w:eastAsia="仿宋_GB2312" w:cs="Times New Roman"/>
          <w:kern w:val="0"/>
          <w:sz w:val="30"/>
          <w:szCs w:val="30"/>
          <w:highlight w:val="none"/>
        </w:rPr>
        <w:t>人。</w:t>
      </w:r>
    </w:p>
    <w:p>
      <w:pPr>
        <w:spacing w:line="60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实有车辆编制</w:t>
      </w:r>
      <w:r>
        <w:rPr>
          <w:rFonts w:hint="eastAsia" w:eastAsia="仿宋_GB2312" w:cs="Times New Roman"/>
          <w:sz w:val="30"/>
          <w:szCs w:val="30"/>
          <w:lang w:val="en-US" w:eastAsia="zh-CN"/>
        </w:rPr>
        <w:t>1</w:t>
      </w:r>
      <w:r>
        <w:rPr>
          <w:rFonts w:hint="default" w:ascii="Times New Roman" w:hAnsi="Times New Roman" w:eastAsia="仿宋_GB2312" w:cs="Times New Roman"/>
          <w:kern w:val="0"/>
          <w:sz w:val="30"/>
          <w:szCs w:val="30"/>
        </w:rPr>
        <w:t>辆，在编实有车辆</w:t>
      </w:r>
      <w:r>
        <w:rPr>
          <w:rFonts w:hint="eastAsia" w:eastAsia="仿宋_GB2312" w:cs="Times New Roman"/>
          <w:sz w:val="30"/>
          <w:szCs w:val="30"/>
          <w:lang w:val="en-US" w:eastAsia="zh-CN"/>
        </w:rPr>
        <w:t>2</w:t>
      </w:r>
      <w:r>
        <w:rPr>
          <w:rFonts w:hint="default" w:ascii="Times New Roman" w:hAnsi="Times New Roman" w:eastAsia="仿宋_GB2312" w:cs="Times New Roman"/>
          <w:kern w:val="0"/>
          <w:sz w:val="30"/>
          <w:szCs w:val="30"/>
        </w:rPr>
        <w:t>辆。</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年度部门决算表</w:t>
      </w:r>
    </w:p>
    <w:p>
      <w:pPr>
        <w:spacing w:line="600" w:lineRule="exact"/>
        <w:ind w:firstLine="600" w:firstLineChars="2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（详见附件）</w:t>
      </w:r>
    </w:p>
    <w:p>
      <w:pPr>
        <w:spacing w:line="600" w:lineRule="exact"/>
        <w:ind w:firstLine="600" w:firstLineChars="200"/>
        <w:jc w:val="center"/>
        <w:rPr>
          <w:rFonts w:hint="default" w:ascii="Times New Roman" w:hAnsi="Times New Roman" w:eastAsia="仿宋_GB2312" w:cs="Times New Roman"/>
          <w:sz w:val="30"/>
          <w:szCs w:val="30"/>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w:t>
      </w:r>
      <w:r>
        <w:rPr>
          <w:rFonts w:hint="default" w:ascii="Times New Roman" w:hAnsi="Times New Roman" w:eastAsia="黑体" w:cs="Times New Roman"/>
          <w:sz w:val="32"/>
          <w:szCs w:val="32"/>
          <w:lang w:eastAsia="zh-CN"/>
        </w:rPr>
        <w:t>分</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年度部门决算情况说明</w:t>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一、收入决算情况说明</w:t>
      </w: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芒市勐戛镇中心</w:t>
      </w:r>
      <w:r>
        <w:rPr>
          <w:rFonts w:hint="default" w:ascii="Times New Roman" w:hAnsi="Times New Roman" w:eastAsia="仿宋_GB2312" w:cs="Times New Roman"/>
          <w:sz w:val="30"/>
          <w:szCs w:val="30"/>
          <w:highlight w:val="none"/>
          <w:lang w:eastAsia="zh-CN"/>
        </w:rPr>
        <w:t>卫生院</w:t>
      </w:r>
      <w:r>
        <w:rPr>
          <w:rFonts w:hint="default"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rPr>
        <w:t>年度收入合计</w:t>
      </w:r>
      <w:r>
        <w:rPr>
          <w:rFonts w:hint="eastAsia" w:eastAsia="仿宋_GB2312" w:cs="Times New Roman"/>
          <w:sz w:val="30"/>
          <w:szCs w:val="30"/>
          <w:highlight w:val="none"/>
          <w:lang w:val="en-US" w:eastAsia="zh-CN"/>
        </w:rPr>
        <w:t>1162.38</w:t>
      </w:r>
      <w:r>
        <w:rPr>
          <w:rFonts w:hint="default" w:ascii="Times New Roman" w:hAnsi="Times New Roman" w:eastAsia="仿宋_GB2312" w:cs="Times New Roman"/>
          <w:sz w:val="30"/>
          <w:szCs w:val="30"/>
          <w:highlight w:val="none"/>
        </w:rPr>
        <w:t>万元。其中：财政拨款收入</w:t>
      </w:r>
      <w:r>
        <w:rPr>
          <w:rFonts w:hint="eastAsia" w:eastAsia="仿宋_GB2312" w:cs="Times New Roman"/>
          <w:sz w:val="30"/>
          <w:szCs w:val="30"/>
          <w:highlight w:val="none"/>
          <w:lang w:val="en-US" w:eastAsia="zh-CN"/>
        </w:rPr>
        <w:t>515.35</w:t>
      </w:r>
      <w:r>
        <w:rPr>
          <w:rFonts w:hint="default" w:ascii="Times New Roman" w:hAnsi="Times New Roman" w:eastAsia="仿宋_GB2312" w:cs="Times New Roman"/>
          <w:sz w:val="30"/>
          <w:szCs w:val="30"/>
          <w:highlight w:val="none"/>
        </w:rPr>
        <w:t>万元，占总收入的</w:t>
      </w:r>
      <w:r>
        <w:rPr>
          <w:rFonts w:hint="eastAsia" w:eastAsia="仿宋_GB2312" w:cs="Times New Roman"/>
          <w:sz w:val="30"/>
          <w:szCs w:val="30"/>
          <w:highlight w:val="none"/>
          <w:lang w:val="en-US" w:eastAsia="zh-CN"/>
        </w:rPr>
        <w:t>44.34</w:t>
      </w:r>
      <w:r>
        <w:rPr>
          <w:rFonts w:hint="default" w:ascii="Times New Roman" w:hAnsi="Times New Roman" w:eastAsia="仿宋_GB2312" w:cs="Times New Roman"/>
          <w:sz w:val="30"/>
          <w:szCs w:val="30"/>
          <w:highlight w:val="none"/>
        </w:rPr>
        <w:t>%；上级补助收入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%；事业收入</w:t>
      </w:r>
      <w:r>
        <w:rPr>
          <w:rFonts w:hint="eastAsia" w:eastAsia="仿宋_GB2312" w:cs="Times New Roman"/>
          <w:sz w:val="30"/>
          <w:szCs w:val="30"/>
          <w:highlight w:val="none"/>
          <w:lang w:val="en-US" w:eastAsia="zh-CN"/>
        </w:rPr>
        <w:t>646.47</w:t>
      </w:r>
      <w:r>
        <w:rPr>
          <w:rFonts w:hint="default" w:ascii="Times New Roman" w:hAnsi="Times New Roman" w:eastAsia="仿宋_GB2312" w:cs="Times New Roman"/>
          <w:sz w:val="30"/>
          <w:szCs w:val="30"/>
          <w:highlight w:val="none"/>
        </w:rPr>
        <w:t>万元</w:t>
      </w:r>
      <w:r>
        <w:rPr>
          <w:rFonts w:hint="default" w:ascii="Times New Roman" w:hAnsi="Times New Roman" w:eastAsia="仿宋_GB2312" w:cs="Times New Roman"/>
          <w:sz w:val="30"/>
          <w:szCs w:val="30"/>
          <w:highlight w:val="none"/>
          <w:lang w:eastAsia="zh-CN"/>
        </w:rPr>
        <w:t>（含教育收费</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，占总收入的</w:t>
      </w:r>
      <w:r>
        <w:rPr>
          <w:rFonts w:hint="eastAsia" w:eastAsia="仿宋_GB2312" w:cs="Times New Roman"/>
          <w:sz w:val="30"/>
          <w:szCs w:val="30"/>
          <w:highlight w:val="none"/>
          <w:lang w:val="en-US" w:eastAsia="zh-CN"/>
        </w:rPr>
        <w:t>55.62</w:t>
      </w:r>
      <w:r>
        <w:rPr>
          <w:rFonts w:hint="default" w:ascii="Times New Roman" w:hAnsi="Times New Roman" w:eastAsia="仿宋_GB2312" w:cs="Times New Roman"/>
          <w:sz w:val="30"/>
          <w:szCs w:val="30"/>
          <w:highlight w:val="none"/>
        </w:rPr>
        <w:t>%；经营收入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%；附属单位缴款收入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%；其他收入</w:t>
      </w:r>
      <w:r>
        <w:rPr>
          <w:rFonts w:hint="eastAsia" w:eastAsia="仿宋_GB2312" w:cs="Times New Roman"/>
          <w:sz w:val="30"/>
          <w:szCs w:val="30"/>
          <w:highlight w:val="none"/>
          <w:lang w:val="en-US" w:eastAsia="zh-CN"/>
        </w:rPr>
        <w:t>0.57</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0.0</w:t>
      </w:r>
      <w:r>
        <w:rPr>
          <w:rFonts w:hint="eastAsia"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rPr>
        <w:t>%。与上年对比</w:t>
      </w:r>
      <w:r>
        <w:rPr>
          <w:rFonts w:hint="default" w:ascii="Times New Roman" w:hAnsi="Times New Roman" w:eastAsia="仿宋_GB2312" w:cs="Times New Roman"/>
          <w:sz w:val="30"/>
          <w:szCs w:val="30"/>
          <w:highlight w:val="none"/>
          <w:lang w:eastAsia="zh-CN"/>
        </w:rPr>
        <w:t>及</w:t>
      </w:r>
      <w:r>
        <w:rPr>
          <w:rFonts w:hint="default" w:ascii="Times New Roman" w:hAnsi="Times New Roman" w:eastAsia="仿宋_GB2312" w:cs="Times New Roman"/>
          <w:sz w:val="30"/>
          <w:szCs w:val="30"/>
          <w:highlight w:val="none"/>
        </w:rPr>
        <w:t>主要原因分析</w:t>
      </w:r>
      <w:r>
        <w:rPr>
          <w:rFonts w:hint="default" w:ascii="Times New Roman" w:hAnsi="Times New Roman" w:eastAsia="仿宋_GB2312" w:cs="Times New Roman"/>
          <w:sz w:val="30"/>
          <w:szCs w:val="30"/>
          <w:highlight w:val="none"/>
          <w:lang w:eastAsia="zh-CN"/>
        </w:rPr>
        <w:t>如下：</w:t>
      </w:r>
    </w:p>
    <w:tbl>
      <w:tblPr>
        <w:tblStyle w:val="9"/>
        <w:tblW w:w="8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收入与上年度对比（万元）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财政拨款收入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477.14</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515.35</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38.21</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cs="Times New Roman"/>
                <w:sz w:val="18"/>
                <w:szCs w:val="18"/>
                <w:vertAlign w:val="baseline"/>
                <w:lang w:val="en-US" w:eastAsia="zh-CN"/>
              </w:rPr>
              <w:t>与201</w:t>
            </w:r>
            <w:r>
              <w:rPr>
                <w:rFonts w:hint="eastAsia" w:cs="Times New Roman"/>
                <w:sz w:val="18"/>
                <w:szCs w:val="18"/>
                <w:vertAlign w:val="baseline"/>
                <w:lang w:val="en-US" w:eastAsia="zh-CN"/>
              </w:rPr>
              <w:t>8</w:t>
            </w:r>
            <w:r>
              <w:rPr>
                <w:rFonts w:hint="default" w:cs="Times New Roman"/>
                <w:sz w:val="18"/>
                <w:szCs w:val="18"/>
                <w:vertAlign w:val="baseline"/>
                <w:lang w:val="en-US" w:eastAsia="zh-CN"/>
              </w:rPr>
              <w:t>年相比，</w:t>
            </w:r>
            <w:r>
              <w:rPr>
                <w:rFonts w:hint="eastAsia" w:cs="Times New Roman"/>
                <w:sz w:val="18"/>
                <w:szCs w:val="18"/>
                <w:vertAlign w:val="baseline"/>
                <w:lang w:val="en-US" w:eastAsia="zh-CN"/>
              </w:rPr>
              <w:t>增加38.2万</w:t>
            </w:r>
            <w:r>
              <w:rPr>
                <w:rFonts w:hint="default" w:cs="Times New Roman"/>
                <w:sz w:val="18"/>
                <w:szCs w:val="18"/>
                <w:vertAlign w:val="baseline"/>
                <w:lang w:val="en-US" w:eastAsia="zh-CN"/>
              </w:rPr>
              <w:t>元，</w:t>
            </w:r>
            <w:r>
              <w:rPr>
                <w:rFonts w:hint="eastAsia" w:cs="Times New Roman"/>
                <w:sz w:val="18"/>
                <w:szCs w:val="18"/>
                <w:vertAlign w:val="baseline"/>
                <w:lang w:val="en-US" w:eastAsia="zh-CN"/>
              </w:rPr>
              <w:t>增加8</w:t>
            </w:r>
            <w:r>
              <w:rPr>
                <w:rFonts w:hint="default" w:cs="Times New Roman"/>
                <w:sz w:val="18"/>
                <w:szCs w:val="18"/>
                <w:vertAlign w:val="baseline"/>
                <w:lang w:val="en-US" w:eastAsia="zh-CN"/>
              </w:rPr>
              <w:t>%，</w:t>
            </w:r>
            <w:r>
              <w:rPr>
                <w:rFonts w:hint="eastAsia" w:cs="Times New Roman"/>
                <w:sz w:val="18"/>
                <w:szCs w:val="18"/>
                <w:vertAlign w:val="baseline"/>
                <w:lang w:val="en-US" w:eastAsia="zh-CN"/>
              </w:rPr>
              <w:t>增加</w:t>
            </w:r>
            <w:r>
              <w:rPr>
                <w:rFonts w:hint="default" w:cs="Times New Roman"/>
                <w:sz w:val="18"/>
                <w:szCs w:val="18"/>
                <w:vertAlign w:val="baseline"/>
                <w:lang w:val="en-US" w:eastAsia="zh-CN"/>
              </w:rPr>
              <w:t>的</w:t>
            </w:r>
            <w:r>
              <w:rPr>
                <w:rFonts w:hint="eastAsia" w:cs="Times New Roman"/>
                <w:sz w:val="18"/>
                <w:szCs w:val="18"/>
                <w:vertAlign w:val="baseline"/>
                <w:lang w:val="en-US" w:eastAsia="zh-CN"/>
              </w:rPr>
              <w:t>主要</w:t>
            </w:r>
            <w:r>
              <w:rPr>
                <w:rFonts w:hint="default" w:cs="Times New Roman"/>
                <w:sz w:val="18"/>
                <w:szCs w:val="18"/>
                <w:vertAlign w:val="baseline"/>
                <w:lang w:val="en-US" w:eastAsia="zh-CN"/>
              </w:rPr>
              <w:t>原因</w:t>
            </w:r>
            <w:r>
              <w:rPr>
                <w:rFonts w:hint="eastAsia" w:cs="Times New Roman"/>
                <w:sz w:val="18"/>
                <w:szCs w:val="18"/>
                <w:vertAlign w:val="baseline"/>
                <w:lang w:val="en-US" w:eastAsia="zh-CN"/>
              </w:rPr>
              <w:t>一</w:t>
            </w:r>
            <w:r>
              <w:rPr>
                <w:rFonts w:hint="default" w:cs="Times New Roman"/>
                <w:sz w:val="18"/>
                <w:szCs w:val="18"/>
                <w:vertAlign w:val="baseline"/>
                <w:lang w:val="en-US" w:eastAsia="zh-CN"/>
              </w:rPr>
              <w:t>是</w:t>
            </w:r>
            <w:r>
              <w:rPr>
                <w:rFonts w:hint="eastAsia" w:cs="Times New Roman"/>
                <w:sz w:val="18"/>
                <w:szCs w:val="18"/>
                <w:vertAlign w:val="baseline"/>
                <w:lang w:val="en-US" w:eastAsia="zh-CN"/>
              </w:rPr>
              <w:t>基本公卫补助增加，二是2100302款中工资福利支出增加。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事业收入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709.09</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646.47</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-62.62</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18"/>
                <w:szCs w:val="18"/>
                <w:vertAlign w:val="baseline"/>
                <w:lang w:val="en-US" w:eastAsia="zh-CN"/>
              </w:rPr>
              <w:t>2019年执行预算会计制度，医疗保险扣款36.92万元，且超出医保打包付费金额未收到。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其他收入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5.86</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0.57</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-5.29</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18"/>
                <w:szCs w:val="18"/>
                <w:lang w:val="en-US" w:eastAsia="zh-CN"/>
              </w:rPr>
              <w:t>根据政府会计制度相关规定，2019年药品盘盈不列入其他收入。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1192.09</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1162.38</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-29.71</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rPr>
            </w:pPr>
          </w:p>
        </w:tc>
      </w:tr>
    </w:tbl>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r>
        <w:drawing>
          <wp:anchor distT="0" distB="0" distL="114300" distR="114300" simplePos="0" relativeHeight="251660288" behindDoc="0" locked="0" layoutInCell="1" allowOverlap="1">
            <wp:simplePos x="0" y="0"/>
            <wp:positionH relativeFrom="column">
              <wp:posOffset>181610</wp:posOffset>
            </wp:positionH>
            <wp:positionV relativeFrom="paragraph">
              <wp:posOffset>349250</wp:posOffset>
            </wp:positionV>
            <wp:extent cx="4572000" cy="2743200"/>
            <wp:effectExtent l="4445" t="4445" r="14605" b="1460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p>
    <w:p>
      <w:pPr>
        <w:widowControl/>
        <w:snapToGrid w:val="0"/>
        <w:spacing w:before="100" w:after="100" w:line="600" w:lineRule="exact"/>
        <w:ind w:firstLine="538"/>
        <w:jc w:val="left"/>
        <w:rPr>
          <w:rFonts w:hint="default" w:ascii="Times New Roman" w:hAnsi="Times New Roman" w:eastAsia="仿宋_GB2312" w:cs="Times New Roman"/>
          <w:kern w:val="0"/>
          <w:sz w:val="30"/>
          <w:szCs w:val="30"/>
          <w:highlight w:val="none"/>
        </w:rPr>
      </w:pP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二、支出决算情况说明</w:t>
      </w:r>
    </w:p>
    <w:p>
      <w:pPr>
        <w:spacing w:line="600" w:lineRule="exact"/>
        <w:ind w:firstLine="600" w:firstLineChars="200"/>
        <w:rPr>
          <w:rFonts w:hint="default" w:ascii="Times New Roman" w:hAnsi="Times New Roman" w:eastAsia="仿宋_GB2312" w:cs="Times New Roman"/>
          <w:kern w:val="0"/>
          <w:sz w:val="30"/>
          <w:szCs w:val="30"/>
        </w:rPr>
      </w:pPr>
      <w:r>
        <w:rPr>
          <w:rFonts w:hint="eastAsia" w:eastAsia="仿宋_GB2312" w:cs="Times New Roman"/>
          <w:sz w:val="30"/>
          <w:szCs w:val="30"/>
          <w:lang w:eastAsia="zh-CN"/>
        </w:rPr>
        <w:t>芒市勐戛镇中心</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年度支出合计</w:t>
      </w:r>
      <w:r>
        <w:rPr>
          <w:rFonts w:hint="eastAsia" w:eastAsia="仿宋_GB2312" w:cs="Times New Roman"/>
          <w:sz w:val="30"/>
          <w:szCs w:val="30"/>
          <w:lang w:val="en-US" w:eastAsia="zh-CN"/>
        </w:rPr>
        <w:t>1397.38</w:t>
      </w:r>
      <w:r>
        <w:rPr>
          <w:rFonts w:hint="default" w:ascii="Times New Roman" w:hAnsi="Times New Roman" w:eastAsia="仿宋_GB2312" w:cs="Times New Roman"/>
          <w:sz w:val="30"/>
          <w:szCs w:val="30"/>
        </w:rPr>
        <w:t>万元。其中：</w:t>
      </w:r>
      <w:r>
        <w:rPr>
          <w:rFonts w:hint="default" w:ascii="Times New Roman" w:hAnsi="Times New Roman" w:eastAsia="仿宋_GB2312" w:cs="Times New Roman"/>
          <w:kern w:val="0"/>
          <w:sz w:val="30"/>
          <w:szCs w:val="30"/>
        </w:rPr>
        <w:t>基本支出</w:t>
      </w:r>
      <w:r>
        <w:rPr>
          <w:rFonts w:hint="eastAsia" w:eastAsia="仿宋_GB2312" w:cs="Times New Roman"/>
          <w:sz w:val="30"/>
          <w:szCs w:val="30"/>
          <w:lang w:val="en-US" w:eastAsia="zh-CN"/>
        </w:rPr>
        <w:t>1248.34</w:t>
      </w:r>
      <w:r>
        <w:rPr>
          <w:rFonts w:hint="default" w:ascii="Times New Roman" w:hAnsi="Times New Roman" w:eastAsia="仿宋_GB2312" w:cs="Times New Roman"/>
          <w:kern w:val="0"/>
          <w:sz w:val="30"/>
          <w:szCs w:val="30"/>
        </w:rPr>
        <w:t>万元，占总支出的</w:t>
      </w:r>
      <w:r>
        <w:rPr>
          <w:rFonts w:hint="eastAsia" w:eastAsia="仿宋_GB2312" w:cs="Times New Roman"/>
          <w:sz w:val="30"/>
          <w:szCs w:val="30"/>
          <w:lang w:val="en-US" w:eastAsia="zh-CN"/>
        </w:rPr>
        <w:t>89.33</w:t>
      </w:r>
      <w:r>
        <w:rPr>
          <w:rFonts w:hint="default" w:ascii="Times New Roman" w:hAnsi="Times New Roman" w:eastAsia="仿宋_GB2312" w:cs="Times New Roman"/>
          <w:kern w:val="0"/>
          <w:sz w:val="30"/>
          <w:szCs w:val="30"/>
        </w:rPr>
        <w:t>％；项目支出</w:t>
      </w:r>
      <w:r>
        <w:rPr>
          <w:rFonts w:hint="eastAsia" w:eastAsia="仿宋_GB2312" w:cs="Times New Roman"/>
          <w:sz w:val="30"/>
          <w:szCs w:val="30"/>
          <w:lang w:val="en-US" w:eastAsia="zh-CN"/>
        </w:rPr>
        <w:t>149.04</w:t>
      </w:r>
      <w:r>
        <w:rPr>
          <w:rFonts w:hint="default" w:ascii="Times New Roman" w:hAnsi="Times New Roman" w:eastAsia="仿宋_GB2312" w:cs="Times New Roman"/>
          <w:kern w:val="0"/>
          <w:sz w:val="30"/>
          <w:szCs w:val="30"/>
        </w:rPr>
        <w:t>万元，占总支出的</w:t>
      </w:r>
      <w:r>
        <w:rPr>
          <w:rFonts w:hint="eastAsia" w:eastAsia="仿宋_GB2312" w:cs="Times New Roman"/>
          <w:sz w:val="30"/>
          <w:szCs w:val="30"/>
          <w:lang w:val="en-US" w:eastAsia="zh-CN"/>
        </w:rPr>
        <w:t>10.67</w:t>
      </w:r>
      <w:r>
        <w:rPr>
          <w:rFonts w:hint="default" w:ascii="Times New Roman" w:hAnsi="Times New Roman" w:eastAsia="仿宋_GB2312" w:cs="Times New Roman"/>
          <w:kern w:val="0"/>
          <w:sz w:val="30"/>
          <w:szCs w:val="30"/>
        </w:rPr>
        <w:t>％；上缴上级支出、经营支出、对附属单位补助支出共</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kern w:val="0"/>
          <w:sz w:val="30"/>
          <w:szCs w:val="30"/>
        </w:rPr>
        <w:t>万元，占总支出的</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sz w:val="30"/>
          <w:szCs w:val="30"/>
        </w:rPr>
        <w:t>与上年对比</w:t>
      </w:r>
      <w:r>
        <w:rPr>
          <w:rFonts w:hint="default" w:ascii="Times New Roman" w:hAnsi="Times New Roman" w:eastAsia="仿宋_GB2312" w:cs="Times New Roman"/>
          <w:sz w:val="30"/>
          <w:szCs w:val="30"/>
          <w:lang w:eastAsia="zh-CN"/>
        </w:rPr>
        <w:t>和</w:t>
      </w:r>
      <w:r>
        <w:rPr>
          <w:rFonts w:hint="default" w:ascii="Times New Roman" w:hAnsi="Times New Roman" w:eastAsia="仿宋_GB2312" w:cs="Times New Roman"/>
          <w:sz w:val="30"/>
          <w:szCs w:val="30"/>
        </w:rPr>
        <w:t>主要原因分析</w:t>
      </w:r>
      <w:r>
        <w:rPr>
          <w:rFonts w:hint="default" w:ascii="Times New Roman" w:hAnsi="Times New Roman" w:eastAsia="仿宋_GB2312" w:cs="Times New Roman"/>
          <w:sz w:val="30"/>
          <w:szCs w:val="30"/>
          <w:lang w:eastAsia="zh-CN"/>
        </w:rPr>
        <w:t>如下：</w:t>
      </w:r>
    </w:p>
    <w:tbl>
      <w:tblPr>
        <w:tblStyle w:val="9"/>
        <w:tblW w:w="8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支出与上年度对比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基本支出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1166.85</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1248.34</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81.49</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w:t>
            </w:r>
            <w:r>
              <w:rPr>
                <w:rFonts w:hint="eastAsia" w:cs="Times New Roman"/>
                <w:sz w:val="18"/>
                <w:szCs w:val="18"/>
                <w:vertAlign w:val="baseline"/>
                <w:lang w:val="en-US" w:eastAsia="zh-CN"/>
              </w:rPr>
              <w:t>9</w:t>
            </w:r>
            <w:r>
              <w:rPr>
                <w:rFonts w:hint="default" w:ascii="Times New Roman" w:hAnsi="Times New Roman" w:eastAsia="宋体" w:cs="Times New Roman"/>
                <w:sz w:val="18"/>
                <w:szCs w:val="18"/>
                <w:vertAlign w:val="baseline"/>
                <w:lang w:val="en-US" w:eastAsia="zh-CN"/>
              </w:rPr>
              <w:t>年度购置专用设备支出较201</w:t>
            </w:r>
            <w:r>
              <w:rPr>
                <w:rFonts w:hint="eastAsia" w:cs="Times New Roman"/>
                <w:sz w:val="18"/>
                <w:szCs w:val="18"/>
                <w:vertAlign w:val="baseline"/>
                <w:lang w:val="en-US" w:eastAsia="zh-CN"/>
              </w:rPr>
              <w:t>8</w:t>
            </w:r>
            <w:r>
              <w:rPr>
                <w:rFonts w:hint="default" w:ascii="Times New Roman" w:hAnsi="Times New Roman" w:eastAsia="宋体" w:cs="Times New Roman"/>
                <w:sz w:val="18"/>
                <w:szCs w:val="18"/>
                <w:vertAlign w:val="baseline"/>
                <w:lang w:val="en-US" w:eastAsia="zh-CN"/>
              </w:rPr>
              <w:t>年大。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项目支出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8.62</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149.04</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140.42</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2018年未严格按照项目分类区分支出，一部分项目支出误放入基本支出。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160" w:lineRule="exact"/>
              <w:ind w:left="0" w:leftChars="0" w:right="0" w:rightChars="0" w:firstLine="0" w:firstLineChars="0"/>
              <w:jc w:val="both"/>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5"/>
                <w:szCs w:val="15"/>
                <w:vertAlign w:val="baseline"/>
                <w:lang w:val="en-US" w:eastAsia="zh-CN"/>
              </w:rPr>
              <w:t>上缴上级支出、经营支出、对附属单位补助支出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1175.47</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1397.38</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sz w:val="21"/>
                <w:szCs w:val="21"/>
                <w:vertAlign w:val="baseline"/>
                <w:lang w:val="en-US" w:eastAsia="zh-CN"/>
              </w:rPr>
              <w:t>221.91</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rPr>
            </w:pPr>
          </w:p>
        </w:tc>
      </w:tr>
    </w:tbl>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（一）基本支出情况</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年度用于保障</w:t>
      </w:r>
      <w:r>
        <w:rPr>
          <w:rFonts w:hint="eastAsia" w:eastAsia="仿宋_GB2312" w:cs="Times New Roman"/>
          <w:sz w:val="30"/>
          <w:szCs w:val="30"/>
          <w:lang w:eastAsia="zh-CN"/>
        </w:rPr>
        <w:t>芒市勐戛镇中心</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rPr>
        <w:t>正常运转的日常支出</w:t>
      </w:r>
      <w:r>
        <w:rPr>
          <w:rFonts w:hint="eastAsia" w:eastAsia="仿宋_GB2312" w:cs="Times New Roman"/>
          <w:sz w:val="30"/>
          <w:szCs w:val="30"/>
          <w:lang w:val="en-US" w:eastAsia="zh-CN"/>
        </w:rPr>
        <w:t>1248.34</w:t>
      </w:r>
      <w:r>
        <w:rPr>
          <w:rFonts w:hint="default" w:ascii="Times New Roman" w:hAnsi="Times New Roman" w:eastAsia="仿宋_GB2312" w:cs="Times New Roman"/>
          <w:sz w:val="30"/>
          <w:szCs w:val="30"/>
        </w:rPr>
        <w:t>万元。与上年</w:t>
      </w:r>
      <w:r>
        <w:rPr>
          <w:rFonts w:hint="eastAsia" w:eastAsia="仿宋_GB2312" w:cs="Times New Roman"/>
          <w:sz w:val="30"/>
          <w:szCs w:val="30"/>
          <w:lang w:val="en-US" w:eastAsia="zh-CN"/>
        </w:rPr>
        <w:t>1166.85</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对比</w:t>
      </w:r>
      <w:r>
        <w:rPr>
          <w:rFonts w:hint="eastAsia" w:eastAsia="仿宋_GB2312" w:cs="Times New Roman"/>
          <w:sz w:val="30"/>
          <w:szCs w:val="30"/>
          <w:lang w:eastAsia="zh-CN"/>
        </w:rPr>
        <w:t>增加</w:t>
      </w:r>
      <w:r>
        <w:rPr>
          <w:rFonts w:hint="eastAsia" w:eastAsia="仿宋_GB2312" w:cs="Times New Roman"/>
          <w:sz w:val="30"/>
          <w:szCs w:val="30"/>
          <w:lang w:val="en-US" w:eastAsia="zh-CN"/>
        </w:rPr>
        <w:t>81.49</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,主要原因</w:t>
      </w:r>
      <w:r>
        <w:rPr>
          <w:rFonts w:hint="default" w:ascii="Times New Roman" w:hAnsi="Times New Roman" w:eastAsia="仿宋_GB2312" w:cs="Times New Roman"/>
          <w:sz w:val="30"/>
          <w:szCs w:val="30"/>
          <w:lang w:eastAsia="zh-CN"/>
        </w:rPr>
        <w:t>是</w:t>
      </w:r>
      <w:r>
        <w:rPr>
          <w:rFonts w:hint="default" w:ascii="Times New Roman" w:hAnsi="Times New Roman" w:eastAsia="仿宋_GB2312" w:cs="Times New Roman"/>
          <w:sz w:val="30"/>
          <w:szCs w:val="30"/>
          <w:lang w:val="en-US" w:eastAsia="zh-CN"/>
        </w:rPr>
        <w:t>201</w:t>
      </w:r>
      <w:r>
        <w:rPr>
          <w:rFonts w:hint="eastAsia" w:eastAsia="仿宋_GB2312" w:cs="Times New Roman"/>
          <w:sz w:val="30"/>
          <w:szCs w:val="30"/>
          <w:lang w:val="en-US" w:eastAsia="zh-CN"/>
        </w:rPr>
        <w:t>9</w:t>
      </w:r>
      <w:r>
        <w:rPr>
          <w:rFonts w:hint="default" w:ascii="Times New Roman" w:hAnsi="Times New Roman" w:eastAsia="仿宋_GB2312" w:cs="Times New Roman"/>
          <w:sz w:val="30"/>
          <w:szCs w:val="30"/>
          <w:lang w:val="en-US" w:eastAsia="zh-CN"/>
        </w:rPr>
        <w:t>年度购置专用设备支出较201</w:t>
      </w:r>
      <w:r>
        <w:rPr>
          <w:rFonts w:hint="eastAsia" w:eastAsia="仿宋_GB2312" w:cs="Times New Roman"/>
          <w:sz w:val="30"/>
          <w:szCs w:val="30"/>
          <w:lang w:val="en-US" w:eastAsia="zh-CN"/>
        </w:rPr>
        <w:t>8</w:t>
      </w:r>
      <w:r>
        <w:rPr>
          <w:rFonts w:hint="default" w:ascii="Times New Roman" w:hAnsi="Times New Roman" w:eastAsia="仿宋_GB2312" w:cs="Times New Roman"/>
          <w:sz w:val="30"/>
          <w:szCs w:val="30"/>
          <w:lang w:val="en-US" w:eastAsia="zh-CN"/>
        </w:rPr>
        <w:t>年大</w:t>
      </w:r>
      <w:r>
        <w:rPr>
          <w:rFonts w:hint="default" w:ascii="Times New Roman" w:hAnsi="Times New Roman" w:eastAsia="仿宋_GB2312" w:cs="Times New Roman"/>
          <w:sz w:val="30"/>
          <w:szCs w:val="30"/>
        </w:rPr>
        <w:t>。包括基本工资、津贴补贴等人员经费支出</w:t>
      </w:r>
      <w:r>
        <w:rPr>
          <w:rFonts w:hint="eastAsia" w:eastAsia="仿宋_GB2312" w:cs="Times New Roman"/>
          <w:sz w:val="30"/>
          <w:szCs w:val="30"/>
          <w:lang w:val="en-US" w:eastAsia="zh-CN"/>
        </w:rPr>
        <w:t>420.26</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占基本支出的</w:t>
      </w:r>
      <w:r>
        <w:rPr>
          <w:rFonts w:hint="eastAsia" w:eastAsia="仿宋_GB2312" w:cs="Times New Roman"/>
          <w:sz w:val="30"/>
          <w:szCs w:val="30"/>
          <w:lang w:val="en-US" w:eastAsia="zh-CN"/>
        </w:rPr>
        <w:t>33.66</w:t>
      </w:r>
      <w:r>
        <w:rPr>
          <w:rFonts w:hint="default" w:ascii="Times New Roman" w:hAnsi="Times New Roman" w:eastAsia="仿宋_GB2312" w:cs="Times New Roman"/>
          <w:sz w:val="30"/>
          <w:szCs w:val="30"/>
        </w:rPr>
        <w:t>％；办公费、印刷费、水电费、办公设备购置等日常公用经费</w:t>
      </w:r>
      <w:r>
        <w:rPr>
          <w:rFonts w:hint="eastAsia" w:eastAsia="仿宋_GB2312" w:cs="Times New Roman"/>
          <w:sz w:val="30"/>
          <w:szCs w:val="30"/>
          <w:lang w:val="en-US" w:eastAsia="zh-CN"/>
        </w:rPr>
        <w:t>689.35</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占基本支出的</w:t>
      </w:r>
      <w:r>
        <w:rPr>
          <w:rFonts w:hint="eastAsia" w:eastAsia="仿宋_GB2312" w:cs="Times New Roman"/>
          <w:sz w:val="30"/>
          <w:szCs w:val="30"/>
          <w:lang w:val="en-US" w:eastAsia="zh-CN"/>
        </w:rPr>
        <w:t>55.22</w:t>
      </w:r>
      <w:r>
        <w:rPr>
          <w:rFonts w:hint="default" w:ascii="Times New Roman" w:hAnsi="Times New Roman" w:eastAsia="仿宋_GB2312" w:cs="Times New Roman"/>
          <w:sz w:val="30"/>
          <w:szCs w:val="30"/>
        </w:rPr>
        <w:t>％</w:t>
      </w:r>
      <w:r>
        <w:rPr>
          <w:rFonts w:hint="eastAsia" w:eastAsia="仿宋_GB2312" w:cs="Times New Roman"/>
          <w:sz w:val="30"/>
          <w:szCs w:val="30"/>
          <w:lang w:eastAsia="zh-CN"/>
        </w:rPr>
        <w:t>；对个人和家庭的补助</w:t>
      </w:r>
      <w:r>
        <w:rPr>
          <w:rFonts w:hint="eastAsia" w:eastAsia="仿宋_GB2312" w:cs="Times New Roman"/>
          <w:sz w:val="30"/>
          <w:szCs w:val="30"/>
          <w:lang w:val="en-US" w:eastAsia="zh-CN"/>
        </w:rPr>
        <w:t>32.83万元，占基本支出的2.63%；资本性支出105.9万元，占基本支出8.49 %。</w:t>
      </w:r>
      <w:r>
        <w:rPr>
          <w:rFonts w:hint="default" w:ascii="Times New Roman" w:hAnsi="Times New Roman" w:eastAsia="仿宋_GB2312" w:cs="Times New Roman"/>
          <w:sz w:val="30"/>
          <w:szCs w:val="30"/>
          <w:lang w:eastAsia="zh-CN"/>
        </w:rPr>
        <w:t>具体占比情况如下图：</w:t>
      </w: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lang w:eastAsia="zh-CN"/>
        </w:rPr>
      </w:pPr>
      <w:r>
        <w:drawing>
          <wp:anchor distT="0" distB="0" distL="114300" distR="114300" simplePos="0" relativeHeight="251661312" behindDoc="0" locked="0" layoutInCell="1" allowOverlap="1">
            <wp:simplePos x="0" y="0"/>
            <wp:positionH relativeFrom="column">
              <wp:posOffset>288290</wp:posOffset>
            </wp:positionH>
            <wp:positionV relativeFrom="paragraph">
              <wp:posOffset>163195</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ind w:firstLine="600" w:firstLineChars="200"/>
        <w:jc w:val="left"/>
        <w:rPr>
          <w:rFonts w:hint="eastAsia" w:eastAsia="楷体" w:cs="Times New Roman"/>
          <w:sz w:val="30"/>
          <w:szCs w:val="30"/>
          <w:lang w:val="en-US" w:eastAsia="zh-CN"/>
        </w:rPr>
      </w:pPr>
    </w:p>
    <w:p>
      <w:pPr>
        <w:widowControl/>
        <w:snapToGrid w:val="0"/>
        <w:spacing w:before="100" w:after="100" w:line="600" w:lineRule="exact"/>
        <w:ind w:firstLine="600" w:firstLineChars="200"/>
        <w:jc w:val="left"/>
        <w:rPr>
          <w:rFonts w:hint="eastAsia" w:eastAsia="楷体" w:cs="Times New Roman"/>
          <w:sz w:val="30"/>
          <w:szCs w:val="30"/>
          <w:lang w:val="en-US" w:eastAsia="zh-CN"/>
        </w:rPr>
      </w:pP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eastAsia" w:eastAsia="楷体" w:cs="Times New Roman"/>
          <w:sz w:val="30"/>
          <w:szCs w:val="30"/>
          <w:lang w:val="en-US" w:eastAsia="zh-CN"/>
        </w:rPr>
        <w:t>(二)</w:t>
      </w:r>
      <w:r>
        <w:rPr>
          <w:rFonts w:hint="default" w:ascii="Times New Roman" w:hAnsi="Times New Roman" w:eastAsia="楷体" w:cs="Times New Roman"/>
          <w:sz w:val="30"/>
          <w:szCs w:val="30"/>
        </w:rPr>
        <w:t>项目支出情况</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年度用于保障</w:t>
      </w:r>
      <w:r>
        <w:rPr>
          <w:rFonts w:hint="eastAsia" w:eastAsia="仿宋_GB2312" w:cs="Times New Roman"/>
          <w:sz w:val="30"/>
          <w:szCs w:val="30"/>
          <w:lang w:eastAsia="zh-CN"/>
        </w:rPr>
        <w:t>芒市勐戛镇中心</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rPr>
        <w:t>为完成特定的行政工作任务或事业发展目标，用于专项业务工作的经费支出</w:t>
      </w:r>
      <w:r>
        <w:rPr>
          <w:rFonts w:hint="eastAsia" w:eastAsia="仿宋_GB2312" w:cs="Times New Roman"/>
          <w:sz w:val="30"/>
          <w:szCs w:val="30"/>
          <w:lang w:val="en-US" w:eastAsia="zh-CN"/>
        </w:rPr>
        <w:t>149.04</w:t>
      </w:r>
      <w:r>
        <w:rPr>
          <w:rFonts w:hint="default" w:ascii="Times New Roman" w:hAnsi="Times New Roman" w:eastAsia="仿宋_GB2312" w:cs="Times New Roman"/>
          <w:sz w:val="30"/>
          <w:szCs w:val="30"/>
        </w:rPr>
        <w:t>万元。与上年</w:t>
      </w:r>
      <w:r>
        <w:rPr>
          <w:rFonts w:hint="eastAsia" w:eastAsia="仿宋_GB2312" w:cs="Times New Roman"/>
          <w:sz w:val="30"/>
          <w:szCs w:val="30"/>
          <w:lang w:val="en-US" w:eastAsia="zh-CN"/>
        </w:rPr>
        <w:t>8.62</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对比</w:t>
      </w:r>
      <w:r>
        <w:rPr>
          <w:rFonts w:hint="default" w:ascii="Times New Roman" w:hAnsi="Times New Roman" w:eastAsia="仿宋_GB2312" w:cs="Times New Roman"/>
          <w:sz w:val="30"/>
          <w:szCs w:val="30"/>
          <w:lang w:eastAsia="zh-CN"/>
        </w:rPr>
        <w:t>增加</w:t>
      </w:r>
      <w:r>
        <w:rPr>
          <w:rFonts w:hint="eastAsia" w:eastAsia="仿宋_GB2312" w:cs="Times New Roman"/>
          <w:sz w:val="30"/>
          <w:szCs w:val="30"/>
          <w:lang w:val="en-US" w:eastAsia="zh-CN"/>
        </w:rPr>
        <w:t>140.42</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,主要原因</w:t>
      </w:r>
      <w:r>
        <w:rPr>
          <w:rFonts w:hint="default" w:ascii="Times New Roman" w:hAnsi="Times New Roman" w:eastAsia="仿宋_GB2312" w:cs="Times New Roman"/>
          <w:sz w:val="30"/>
          <w:szCs w:val="30"/>
          <w:lang w:eastAsia="zh-CN"/>
        </w:rPr>
        <w:t>是</w:t>
      </w:r>
      <w:r>
        <w:rPr>
          <w:rFonts w:hint="default" w:ascii="Times New Roman" w:hAnsi="Times New Roman" w:eastAsia="仿宋_GB2312" w:cs="Times New Roman"/>
          <w:sz w:val="30"/>
          <w:szCs w:val="30"/>
          <w:lang w:val="en-US" w:eastAsia="zh-CN"/>
        </w:rPr>
        <w:t>2018年未严格按照项目分类区分支出，一部分项目支出误放入基本支出</w:t>
      </w:r>
      <w:r>
        <w:rPr>
          <w:rFonts w:hint="default" w:ascii="Times New Roman" w:hAnsi="Times New Roman" w:eastAsia="仿宋_GB2312" w:cs="Times New Roman"/>
          <w:sz w:val="30"/>
          <w:szCs w:val="30"/>
        </w:rPr>
        <w:t>。具体项目开支及开展工作情况</w:t>
      </w:r>
      <w:r>
        <w:rPr>
          <w:rFonts w:hint="default" w:ascii="Times New Roman" w:hAnsi="Times New Roman" w:eastAsia="仿宋_GB2312" w:cs="Times New Roman"/>
          <w:sz w:val="30"/>
          <w:szCs w:val="30"/>
          <w:lang w:eastAsia="zh-CN"/>
        </w:rPr>
        <w:t>如下：</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1.2100399款其他基层医疗机构支出</w:t>
      </w:r>
      <w:r>
        <w:rPr>
          <w:rFonts w:hint="eastAsia" w:eastAsia="仿宋_GB2312" w:cs="Times New Roman"/>
          <w:sz w:val="30"/>
          <w:szCs w:val="30"/>
          <w:lang w:val="en-US" w:eastAsia="zh-CN"/>
        </w:rPr>
        <w:t>14.99</w:t>
      </w:r>
      <w:r>
        <w:rPr>
          <w:rFonts w:hint="default" w:ascii="Times New Roman" w:hAnsi="Times New Roman" w:eastAsia="仿宋_GB2312" w:cs="Times New Roman"/>
          <w:sz w:val="30"/>
          <w:szCs w:val="30"/>
          <w:lang w:val="en-US" w:eastAsia="zh-CN"/>
        </w:rPr>
        <w:t>万元，该项目主要内容是村卫生室实施国家基本药物制度的补助，年度内已完成该项目的工作并按规定全部兑付使用完项目经费，通过该项目的实施，保障了广大群众看病就医时公平获得剂型适宜价格合理的药品，进一步减轻患者经济负担。</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2.2100408款基本公共卫生服务</w:t>
      </w:r>
      <w:r>
        <w:rPr>
          <w:rFonts w:hint="eastAsia" w:eastAsia="仿宋_GB2312" w:cs="Times New Roman"/>
          <w:sz w:val="30"/>
          <w:szCs w:val="30"/>
          <w:lang w:val="en-US" w:eastAsia="zh-CN"/>
        </w:rPr>
        <w:t>96.45</w:t>
      </w:r>
      <w:r>
        <w:rPr>
          <w:rFonts w:hint="default" w:ascii="Times New Roman" w:hAnsi="Times New Roman" w:eastAsia="仿宋_GB2312" w:cs="Times New Roman"/>
          <w:sz w:val="30"/>
          <w:szCs w:val="30"/>
          <w:lang w:val="en-US" w:eastAsia="zh-CN"/>
        </w:rPr>
        <w:t>万元，该项目主要内容是实施国家基本公共卫生服务项目补助资金，年度内已完成该项目的工作并按规定全部兑付使用完项目经费，通过该项目的实施，进一步促进辖区居民健康意识的提高和不良生活方式的改变，特别是对65岁以上老年人、0—6岁儿童、孕产妇、高血压患者、糖尿病患者和重性精神病患者等重点人群实施健康干预措施，使全体居民逐步树立自我健康管理观念，提高全民健康素质。</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3.2100409款重大公共卫生专项</w:t>
      </w:r>
      <w:r>
        <w:rPr>
          <w:rFonts w:hint="eastAsia" w:eastAsia="仿宋_GB2312" w:cs="Times New Roman"/>
          <w:sz w:val="30"/>
          <w:szCs w:val="30"/>
          <w:lang w:val="en-US" w:eastAsia="zh-CN"/>
        </w:rPr>
        <w:t>3.67</w:t>
      </w:r>
      <w:r>
        <w:rPr>
          <w:rFonts w:hint="default" w:ascii="Times New Roman" w:hAnsi="Times New Roman" w:eastAsia="仿宋_GB2312" w:cs="Times New Roman"/>
          <w:sz w:val="30"/>
          <w:szCs w:val="30"/>
          <w:lang w:val="en-US" w:eastAsia="zh-CN"/>
        </w:rPr>
        <w:t>万元，该项目主要内容是防治艾滋病工作经费和孕前优生健康检查经费补助，年度内已完成该项目的工作并按规定全部兑付使用完项目经费，通过该项目的实施，辖区艾滋病发生与流行得到进一步预防和控制，艾滋病患者生存质量得到进一步提高，同时进一步减少了社会安定的不稳定因素。另外，通过该项目的实施，进一步提高辖区计划怀孕夫妇优生科学知识水平，改善健康状况，降低或消除导致出生缺陷等不良妊娠结局的风险因素，出生人口素质得到不断提高。</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4.21013</w:t>
      </w:r>
      <w:r>
        <w:rPr>
          <w:rFonts w:hint="eastAsia" w:eastAsia="仿宋_GB2312" w:cs="Times New Roman"/>
          <w:sz w:val="30"/>
          <w:szCs w:val="30"/>
          <w:lang w:val="en-US" w:eastAsia="zh-CN"/>
        </w:rPr>
        <w:t>99</w:t>
      </w:r>
      <w:r>
        <w:rPr>
          <w:rFonts w:hint="default" w:ascii="Times New Roman" w:hAnsi="Times New Roman" w:eastAsia="仿宋_GB2312" w:cs="Times New Roman"/>
          <w:sz w:val="30"/>
          <w:szCs w:val="30"/>
          <w:lang w:val="en-US" w:eastAsia="zh-CN"/>
        </w:rPr>
        <w:t>款其他医疗救助支出</w:t>
      </w:r>
      <w:r>
        <w:rPr>
          <w:rFonts w:hint="eastAsia" w:eastAsia="仿宋_GB2312" w:cs="Times New Roman"/>
          <w:sz w:val="30"/>
          <w:szCs w:val="30"/>
          <w:lang w:val="en-US" w:eastAsia="zh-CN"/>
        </w:rPr>
        <w:t>1.52</w:t>
      </w:r>
      <w:r>
        <w:rPr>
          <w:rFonts w:hint="default" w:ascii="Times New Roman" w:hAnsi="Times New Roman" w:eastAsia="仿宋_GB2312" w:cs="Times New Roman"/>
          <w:sz w:val="30"/>
          <w:szCs w:val="30"/>
          <w:lang w:val="en-US" w:eastAsia="zh-CN"/>
        </w:rPr>
        <w:t>万</w:t>
      </w:r>
      <w:r>
        <w:rPr>
          <w:rFonts w:hint="eastAsia" w:eastAsia="仿宋_GB2312" w:cs="Times New Roman"/>
          <w:sz w:val="30"/>
          <w:szCs w:val="30"/>
          <w:lang w:val="en-US" w:eastAsia="zh-CN"/>
        </w:rPr>
        <w:t>元，</w:t>
      </w:r>
      <w:r>
        <w:rPr>
          <w:rFonts w:hint="default" w:ascii="Times New Roman" w:hAnsi="Times New Roman" w:eastAsia="仿宋_GB2312" w:cs="Times New Roman"/>
          <w:sz w:val="30"/>
          <w:szCs w:val="30"/>
          <w:lang w:val="en-US" w:eastAsia="zh-CN"/>
        </w:rPr>
        <w:t>该项目主要内容是建档立卡贫困人员家庭医生签约服务补助经费，年度内已完成该项目的工作并按规定全部兑付使用完项目经费，通过该项目的实施，建档立卡贫困人员的健康咨询、健康管理、慢病随访等医疗和公共卫生服务需求得到进一步保障，促进了健康扶贫工作的深入开展。</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5.2109901款其他卫生健康支出1.5万元，该项目用于对特岗医生补助。</w:t>
      </w:r>
    </w:p>
    <w:p>
      <w:pPr>
        <w:widowControl/>
        <w:snapToGrid w:val="0"/>
        <w:spacing w:before="100" w:after="100" w:line="600" w:lineRule="exact"/>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三、一般公共预算财政拨款支出决算情况说明</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（一）一般公共预算财政拨款支出决算总体情况</w:t>
      </w:r>
    </w:p>
    <w:p>
      <w:pPr>
        <w:widowControl/>
        <w:snapToGrid w:val="0"/>
        <w:spacing w:before="100" w:after="100" w:line="600" w:lineRule="exact"/>
        <w:ind w:firstLine="600" w:firstLineChars="200"/>
        <w:jc w:val="left"/>
        <w:rPr>
          <w:rFonts w:hint="eastAsia" w:eastAsia="仿宋_GB2312" w:cs="Times New Roman"/>
          <w:sz w:val="30"/>
          <w:szCs w:val="30"/>
          <w:lang w:val="en-US" w:eastAsia="zh-CN"/>
        </w:rPr>
      </w:pPr>
      <w:r>
        <w:rPr>
          <w:rFonts w:hint="eastAsia" w:eastAsia="仿宋_GB2312" w:cs="Times New Roman"/>
          <w:sz w:val="30"/>
          <w:szCs w:val="30"/>
          <w:lang w:eastAsia="zh-CN"/>
        </w:rPr>
        <w:t>芒市勐戛镇中心</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年度一般公共预算财政拨款支出</w:t>
      </w:r>
      <w:r>
        <w:rPr>
          <w:rFonts w:hint="eastAsia" w:eastAsia="仿宋_GB2312" w:cs="Times New Roman"/>
          <w:kern w:val="0"/>
          <w:sz w:val="30"/>
          <w:szCs w:val="30"/>
          <w:lang w:val="en-US" w:eastAsia="zh-CN"/>
        </w:rPr>
        <w:t>515.35</w:t>
      </w:r>
      <w:r>
        <w:rPr>
          <w:rFonts w:hint="default" w:ascii="Times New Roman" w:hAnsi="Times New Roman" w:eastAsia="仿宋_GB2312" w:cs="Times New Roman"/>
          <w:kern w:val="0"/>
          <w:sz w:val="30"/>
          <w:szCs w:val="30"/>
        </w:rPr>
        <w:t>万元,占本年支出合计的</w:t>
      </w:r>
      <w:r>
        <w:rPr>
          <w:rFonts w:hint="eastAsia" w:eastAsia="仿宋_GB2312" w:cs="Times New Roman"/>
          <w:sz w:val="30"/>
          <w:szCs w:val="30"/>
          <w:lang w:val="en-US" w:eastAsia="zh-CN"/>
        </w:rPr>
        <w:t>36.88</w:t>
      </w: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sz w:val="30"/>
          <w:szCs w:val="30"/>
          <w:lang w:val="en-US" w:eastAsia="zh-CN"/>
        </w:rPr>
        <w:t>与201</w:t>
      </w:r>
      <w:r>
        <w:rPr>
          <w:rFonts w:hint="eastAsia" w:ascii="Times New Roman" w:hAnsi="Times New Roman" w:eastAsia="仿宋_GB2312" w:cs="Times New Roman"/>
          <w:sz w:val="30"/>
          <w:szCs w:val="30"/>
          <w:lang w:val="en-US" w:eastAsia="zh-CN"/>
        </w:rPr>
        <w:t>8</w:t>
      </w:r>
      <w:r>
        <w:rPr>
          <w:rFonts w:hint="default" w:ascii="Times New Roman" w:hAnsi="Times New Roman" w:eastAsia="仿宋_GB2312" w:cs="Times New Roman"/>
          <w:sz w:val="30"/>
          <w:szCs w:val="30"/>
          <w:lang w:val="en-US" w:eastAsia="zh-CN"/>
        </w:rPr>
        <w:t>年相比，</w:t>
      </w:r>
      <w:r>
        <w:rPr>
          <w:rFonts w:hint="eastAsia" w:ascii="Times New Roman" w:hAnsi="Times New Roman" w:eastAsia="仿宋_GB2312" w:cs="Times New Roman"/>
          <w:sz w:val="30"/>
          <w:szCs w:val="30"/>
          <w:lang w:val="en-US" w:eastAsia="zh-CN"/>
        </w:rPr>
        <w:t>增加38.2万</w:t>
      </w:r>
      <w:r>
        <w:rPr>
          <w:rFonts w:hint="default" w:ascii="Times New Roman" w:hAnsi="Times New Roman" w:eastAsia="仿宋_GB2312" w:cs="Times New Roman"/>
          <w:sz w:val="30"/>
          <w:szCs w:val="30"/>
          <w:lang w:val="en-US" w:eastAsia="zh-CN"/>
        </w:rPr>
        <w:t>元，</w:t>
      </w:r>
      <w:r>
        <w:rPr>
          <w:rFonts w:hint="eastAsia" w:ascii="Times New Roman" w:hAnsi="Times New Roman" w:eastAsia="仿宋_GB2312" w:cs="Times New Roman"/>
          <w:sz w:val="30"/>
          <w:szCs w:val="30"/>
          <w:lang w:val="en-US" w:eastAsia="zh-CN"/>
        </w:rPr>
        <w:t>增加8</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增加</w:t>
      </w:r>
      <w:r>
        <w:rPr>
          <w:rFonts w:hint="default" w:ascii="Times New Roman" w:hAnsi="Times New Roman" w:eastAsia="仿宋_GB2312" w:cs="Times New Roman"/>
          <w:sz w:val="30"/>
          <w:szCs w:val="30"/>
          <w:lang w:val="en-US" w:eastAsia="zh-CN"/>
        </w:rPr>
        <w:t>的</w:t>
      </w:r>
      <w:r>
        <w:rPr>
          <w:rFonts w:hint="eastAsia" w:ascii="Times New Roman" w:hAnsi="Times New Roman" w:eastAsia="仿宋_GB2312" w:cs="Times New Roman"/>
          <w:sz w:val="30"/>
          <w:szCs w:val="30"/>
          <w:lang w:val="en-US" w:eastAsia="zh-CN"/>
        </w:rPr>
        <w:t>主要</w:t>
      </w:r>
      <w:r>
        <w:rPr>
          <w:rFonts w:hint="default" w:ascii="Times New Roman" w:hAnsi="Times New Roman" w:eastAsia="仿宋_GB2312" w:cs="Times New Roman"/>
          <w:sz w:val="30"/>
          <w:szCs w:val="30"/>
          <w:lang w:val="en-US" w:eastAsia="zh-CN"/>
        </w:rPr>
        <w:t>原因</w:t>
      </w:r>
      <w:r>
        <w:rPr>
          <w:rFonts w:hint="eastAsia" w:ascii="Times New Roman" w:hAnsi="Times New Roman" w:eastAsia="仿宋_GB2312" w:cs="Times New Roman"/>
          <w:sz w:val="30"/>
          <w:szCs w:val="30"/>
          <w:lang w:val="en-US" w:eastAsia="zh-CN"/>
        </w:rPr>
        <w:t>一</w:t>
      </w:r>
      <w:r>
        <w:rPr>
          <w:rFonts w:hint="default" w:ascii="Times New Roman" w:hAnsi="Times New Roman" w:eastAsia="仿宋_GB2312" w:cs="Times New Roman"/>
          <w:sz w:val="30"/>
          <w:szCs w:val="30"/>
          <w:lang w:val="en-US" w:eastAsia="zh-CN"/>
        </w:rPr>
        <w:t>是</w:t>
      </w:r>
      <w:r>
        <w:rPr>
          <w:rFonts w:hint="eastAsia" w:ascii="Times New Roman" w:hAnsi="Times New Roman" w:eastAsia="仿宋_GB2312" w:cs="Times New Roman"/>
          <w:sz w:val="30"/>
          <w:szCs w:val="30"/>
          <w:lang w:val="en-US" w:eastAsia="zh-CN"/>
        </w:rPr>
        <w:t>基本公卫补助增加，二是</w:t>
      </w:r>
      <w:r>
        <w:rPr>
          <w:rFonts w:hint="eastAsia" w:eastAsia="仿宋_GB2312" w:cs="Times New Roman"/>
          <w:sz w:val="30"/>
          <w:szCs w:val="30"/>
          <w:lang w:val="en-US" w:eastAsia="zh-CN"/>
        </w:rPr>
        <w:t>2100302款中工资福利支出增加。</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（二）一般公共预算财政拨款支出决算具体情况</w:t>
      </w:r>
    </w:p>
    <w:p>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lang w:eastAsia="zh-CN"/>
        </w:rPr>
        <w:t>社会保障和就业支出</w:t>
      </w:r>
      <w:r>
        <w:rPr>
          <w:rFonts w:hint="eastAsia" w:eastAsia="仿宋_GB2312" w:cs="Times New Roman"/>
          <w:kern w:val="0"/>
          <w:sz w:val="30"/>
          <w:szCs w:val="30"/>
          <w:lang w:val="en-US" w:eastAsia="zh-CN"/>
        </w:rPr>
        <w:t>11.45</w:t>
      </w:r>
      <w:r>
        <w:rPr>
          <w:rFonts w:hint="eastAsia" w:ascii="Times New Roman" w:hAnsi="Times New Roman" w:eastAsia="仿宋_GB2312" w:cs="Times New Roman"/>
          <w:kern w:val="0"/>
          <w:sz w:val="30"/>
          <w:szCs w:val="30"/>
          <w:lang w:val="en-US" w:eastAsia="zh-CN"/>
        </w:rPr>
        <w:t>万元，占一般公共预算财政拨款总支出的</w:t>
      </w:r>
      <w:r>
        <w:rPr>
          <w:rFonts w:hint="eastAsia" w:eastAsia="仿宋_GB2312" w:cs="Times New Roman"/>
          <w:kern w:val="0"/>
          <w:sz w:val="30"/>
          <w:szCs w:val="30"/>
          <w:lang w:val="en-US" w:eastAsia="zh-CN"/>
        </w:rPr>
        <w:t>2.22</w:t>
      </w:r>
      <w:r>
        <w:rPr>
          <w:rFonts w:hint="eastAsia" w:ascii="Times New Roman" w:hAnsi="Times New Roman" w:eastAsia="仿宋_GB2312" w:cs="Times New Roman"/>
          <w:kern w:val="0"/>
          <w:sz w:val="30"/>
          <w:szCs w:val="30"/>
          <w:lang w:val="en-US" w:eastAsia="zh-CN"/>
        </w:rPr>
        <w:t>%，主要用于单位基本养老保险缴费支出和职业年金缴费支出</w:t>
      </w:r>
      <w:r>
        <w:rPr>
          <w:rFonts w:hint="default" w:ascii="Times New Roman" w:hAnsi="Times New Roman" w:eastAsia="仿宋_GB2312" w:cs="Times New Roman"/>
          <w:kern w:val="0"/>
          <w:sz w:val="30"/>
          <w:szCs w:val="30"/>
        </w:rPr>
        <w:t>；</w:t>
      </w:r>
    </w:p>
    <w:p>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w:t>
      </w:r>
      <w:r>
        <w:rPr>
          <w:rFonts w:hint="eastAsia" w:ascii="Times New Roman" w:hAnsi="Times New Roman" w:eastAsia="仿宋_GB2312" w:cs="Times New Roman"/>
          <w:kern w:val="0"/>
          <w:sz w:val="30"/>
          <w:szCs w:val="30"/>
          <w:lang w:eastAsia="zh-CN"/>
        </w:rPr>
        <w:t>卫生健康</w:t>
      </w:r>
      <w:r>
        <w:rPr>
          <w:rFonts w:hint="default" w:ascii="Times New Roman" w:hAnsi="Times New Roman" w:eastAsia="仿宋_GB2312" w:cs="Times New Roman"/>
          <w:kern w:val="0"/>
          <w:sz w:val="30"/>
          <w:szCs w:val="30"/>
        </w:rPr>
        <w:t>支出</w:t>
      </w:r>
      <w:r>
        <w:rPr>
          <w:rFonts w:hint="eastAsia" w:eastAsia="仿宋_GB2312" w:cs="Times New Roman"/>
          <w:sz w:val="30"/>
          <w:szCs w:val="30"/>
          <w:lang w:val="en-US" w:eastAsia="zh-CN"/>
        </w:rPr>
        <w:t>503.9</w:t>
      </w:r>
      <w:r>
        <w:rPr>
          <w:rFonts w:hint="default" w:ascii="Times New Roman" w:hAnsi="Times New Roman" w:eastAsia="仿宋_GB2312" w:cs="Times New Roman"/>
          <w:kern w:val="0"/>
          <w:sz w:val="30"/>
          <w:szCs w:val="30"/>
        </w:rPr>
        <w:t>万元，</w:t>
      </w:r>
      <w:r>
        <w:rPr>
          <w:rFonts w:hint="default" w:ascii="Times New Roman" w:hAnsi="Times New Roman" w:eastAsia="仿宋_GB2312" w:cs="Times New Roman"/>
          <w:sz w:val="30"/>
          <w:szCs w:val="30"/>
        </w:rPr>
        <w:t>占一般公共预算财政拨款总支出的</w:t>
      </w:r>
      <w:r>
        <w:rPr>
          <w:rFonts w:hint="eastAsia" w:eastAsia="仿宋_GB2312" w:cs="Times New Roman"/>
          <w:sz w:val="30"/>
          <w:szCs w:val="30"/>
          <w:lang w:val="en-US" w:eastAsia="zh-CN"/>
        </w:rPr>
        <w:t>97.78</w:t>
      </w:r>
      <w:r>
        <w:rPr>
          <w:rFonts w:hint="default" w:ascii="Times New Roman" w:hAnsi="Times New Roman" w:eastAsia="仿宋_GB2312" w:cs="Times New Roman"/>
          <w:sz w:val="30"/>
          <w:szCs w:val="30"/>
        </w:rPr>
        <w:t>%。</w:t>
      </w:r>
      <w:r>
        <w:rPr>
          <w:rFonts w:hint="default" w:ascii="Times New Roman" w:hAnsi="Times New Roman" w:eastAsia="仿宋_GB2312" w:cs="Times New Roman"/>
          <w:kern w:val="0"/>
          <w:sz w:val="30"/>
          <w:szCs w:val="30"/>
        </w:rPr>
        <w:t>主要用于</w:t>
      </w:r>
      <w:r>
        <w:rPr>
          <w:rFonts w:hint="eastAsia" w:ascii="Times New Roman" w:hAnsi="Times New Roman" w:eastAsia="仿宋_GB2312" w:cs="Times New Roman"/>
          <w:kern w:val="0"/>
          <w:sz w:val="30"/>
          <w:szCs w:val="30"/>
          <w:lang w:eastAsia="zh-CN"/>
        </w:rPr>
        <w:t>卫生院在职人员工资、遗属补助、乡村医生补助、村卫生室基药补助、基本公共卫生补助、重大公共卫生专项补助、家庭医生签约服务补助等。</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四、一般公共预算财政拨款“三公”经费支出决算情况说明</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w:t>
      </w:r>
      <w:r>
        <w:rPr>
          <w:rFonts w:hint="default" w:ascii="Times New Roman" w:hAnsi="Times New Roman" w:eastAsia="黑体" w:cs="Times New Roman"/>
          <w:sz w:val="30"/>
          <w:szCs w:val="30"/>
        </w:rPr>
        <w:t xml:space="preserve"> </w:t>
      </w:r>
      <w:r>
        <w:rPr>
          <w:rFonts w:hint="default" w:ascii="Times New Roman" w:hAnsi="Times New Roman" w:eastAsia="楷体" w:cs="Times New Roman"/>
          <w:sz w:val="30"/>
          <w:szCs w:val="30"/>
        </w:rPr>
        <w:t>一般公共预算财政拨款“三公”经费支出决算总体情况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eastAsia="仿宋_GB2312" w:cs="Times New Roman"/>
          <w:sz w:val="30"/>
          <w:szCs w:val="30"/>
          <w:lang w:eastAsia="zh-CN"/>
        </w:rPr>
        <w:t>芒市勐戛镇中心</w:t>
      </w:r>
      <w:r>
        <w:rPr>
          <w:rFonts w:hint="eastAsia" w:ascii="Times New Roman" w:hAnsi="Times New Roman" w:eastAsia="仿宋_GB2312" w:cs="Times New Roman"/>
          <w:sz w:val="30"/>
          <w:szCs w:val="30"/>
          <w:lang w:eastAsia="zh-CN"/>
        </w:rPr>
        <w:t>卫生院</w:t>
      </w: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年度一般公共预算财政拨款“三公”经费支出预算为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%。其中：因公出国（境）费支出决算为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年度一般公共预算财政拨款“三公”经费支出决算数比</w:t>
      </w:r>
      <w:r>
        <w:rPr>
          <w:rFonts w:hint="eastAsia" w:ascii="Times New Roman" w:hAnsi="Times New Roman" w:eastAsia="仿宋_GB2312" w:cs="Times New Roman"/>
          <w:sz w:val="30"/>
          <w:szCs w:val="30"/>
          <w:lang w:val="en-US" w:eastAsia="zh-CN"/>
        </w:rPr>
        <w:t>2018</w:t>
      </w:r>
      <w:r>
        <w:rPr>
          <w:rFonts w:hint="default" w:ascii="Times New Roman" w:hAnsi="Times New Roman" w:eastAsia="仿宋_GB2312" w:cs="Times New Roman"/>
          <w:sz w:val="30"/>
          <w:szCs w:val="30"/>
        </w:rPr>
        <w:t>年增加/减少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%。其中：因公出国（境）费支出决算增加/减少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w:t>
      </w:r>
      <w:r>
        <w:rPr>
          <w:rFonts w:hint="default" w:ascii="Times New Roman" w:hAnsi="Times New Roman" w:eastAsia="仿宋_GB2312" w:cs="Times New Roman"/>
          <w:sz w:val="30"/>
          <w:szCs w:val="30"/>
        </w:rPr>
        <w:t xml:space="preserve"> </w:t>
      </w:r>
      <w:r>
        <w:rPr>
          <w:rFonts w:hint="default" w:ascii="Times New Roman" w:hAnsi="Times New Roman" w:eastAsia="楷体" w:cs="Times New Roman"/>
          <w:sz w:val="30"/>
          <w:szCs w:val="30"/>
        </w:rPr>
        <w:t>一般公共预算财政拨款“三公”经费支出决算具体情况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年度一般公共预算财政拨款“三公”经费支出决算中，因公出国（境）费支出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%；公务用车购置及运行维护费支出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%。具体情况如下：</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1.因公出国（境）费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万元，共安排因公出国（境）团组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个，累计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人次。</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2. 公务用车购置及运行维护费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公务用车购置</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万元，购置车辆</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辆。</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公务用车运行维护</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万元，开支一般公共预算财政拨款的公务用车保有量为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辆。主要用于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（相关工作范围）所需车辆燃料费、维修费、过路过桥费、保险费等。</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3.公务接待费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国内接待费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万元（其中：外事接待费支出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万元），共安排国内公务接待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批次（其中：外事接待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人（其中：外事接待人次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（相关工作，产生的接待批次及人次等）发生的接待支出。</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国（境）外接待费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万元，共安排国（境）外公务接待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（相关工作，产生的接待批次及人次等）发生的接待支出。</w:t>
      </w:r>
    </w:p>
    <w:p>
      <w:pPr>
        <w:widowControl/>
        <w:snapToGrid w:val="0"/>
        <w:spacing w:before="100" w:after="100"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第四部分  其他重要事项及相关口径情况说明</w:t>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w:t>
      </w: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机关运行经费支出情况</w:t>
      </w:r>
    </w:p>
    <w:p>
      <w:pPr>
        <w:ind w:firstLine="600" w:firstLineChars="200"/>
        <w:jc w:val="left"/>
        <w:rPr>
          <w:rFonts w:hint="default" w:ascii="Times New Roman" w:hAnsi="Times New Roman" w:eastAsia="仿宋_GB2312" w:cs="Times New Roman"/>
          <w:sz w:val="30"/>
          <w:szCs w:val="30"/>
        </w:rPr>
      </w:pPr>
      <w:r>
        <w:rPr>
          <w:rFonts w:hint="eastAsia" w:eastAsia="仿宋_GB2312" w:cs="Times New Roman"/>
          <w:sz w:val="30"/>
          <w:szCs w:val="30"/>
          <w:lang w:eastAsia="zh-CN"/>
        </w:rPr>
        <w:t>芒市勐戛镇中心</w:t>
      </w:r>
      <w:r>
        <w:rPr>
          <w:rFonts w:hint="eastAsia" w:ascii="Times New Roman" w:hAnsi="Times New Roman" w:eastAsia="仿宋_GB2312" w:cs="Times New Roman"/>
          <w:sz w:val="30"/>
          <w:szCs w:val="30"/>
          <w:lang w:eastAsia="zh-CN"/>
        </w:rPr>
        <w:t>卫生院</w:t>
      </w: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年机关运行经费支出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w:t>
      </w:r>
    </w:p>
    <w:p>
      <w:pPr>
        <w:widowControl/>
        <w:ind w:firstLine="600" w:firstLineChars="200"/>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lang w:eastAsia="zh-CN"/>
        </w:rPr>
        <w:t>二、</w:t>
      </w:r>
      <w:r>
        <w:rPr>
          <w:rFonts w:hint="default" w:ascii="Times New Roman" w:hAnsi="Times New Roman" w:eastAsia="黑体" w:cs="Times New Roman"/>
          <w:color w:val="000000"/>
          <w:kern w:val="0"/>
          <w:sz w:val="30"/>
          <w:szCs w:val="30"/>
        </w:rPr>
        <w:t>国有资产占用情况</w:t>
      </w:r>
    </w:p>
    <w:p>
      <w:pPr>
        <w:widowControl/>
        <w:ind w:firstLine="600" w:firstLineChars="200"/>
        <w:rPr>
          <w:rFonts w:hint="default" w:ascii="Times New Roman" w:hAnsi="Times New Roman" w:cs="Times New Roman"/>
          <w:color w:val="000000"/>
          <w:kern w:val="0"/>
          <w:sz w:val="30"/>
          <w:szCs w:val="30"/>
        </w:rPr>
      </w:pPr>
      <w:r>
        <w:rPr>
          <w:rFonts w:hint="default" w:ascii="Times New Roman" w:hAnsi="Times New Roman" w:eastAsia="仿宋_GB2312" w:cs="Times New Roman"/>
          <w:color w:val="000000"/>
          <w:kern w:val="0"/>
          <w:sz w:val="30"/>
          <w:szCs w:val="30"/>
        </w:rPr>
        <w:t>截至</w:t>
      </w:r>
      <w:r>
        <w:rPr>
          <w:rFonts w:hint="eastAsia" w:ascii="Times New Roman" w:hAnsi="Times New Roman" w:eastAsia="仿宋_GB2312" w:cs="Times New Roman"/>
          <w:color w:val="000000"/>
          <w:kern w:val="0"/>
          <w:sz w:val="30"/>
          <w:szCs w:val="30"/>
          <w:lang w:val="en-US" w:eastAsia="zh-CN"/>
        </w:rPr>
        <w:t>2019</w:t>
      </w:r>
      <w:r>
        <w:rPr>
          <w:rFonts w:hint="default" w:ascii="Times New Roman" w:hAnsi="Times New Roman" w:eastAsia="仿宋_GB2312" w:cs="Times New Roman"/>
          <w:color w:val="000000"/>
          <w:kern w:val="0"/>
          <w:sz w:val="30"/>
          <w:szCs w:val="30"/>
        </w:rPr>
        <w:t>年</w:t>
      </w:r>
      <w:r>
        <w:rPr>
          <w:rFonts w:hint="eastAsia" w:ascii="Times New Roman" w:hAnsi="Times New Roman" w:eastAsia="仿宋_GB2312" w:cs="Times New Roman"/>
          <w:color w:val="000000"/>
          <w:kern w:val="0"/>
          <w:sz w:val="30"/>
          <w:szCs w:val="30"/>
          <w:lang w:val="en-US" w:eastAsia="zh-CN"/>
        </w:rPr>
        <w:t>12</w:t>
      </w:r>
      <w:r>
        <w:rPr>
          <w:rFonts w:hint="default" w:ascii="Times New Roman" w:hAnsi="Times New Roman" w:eastAsia="仿宋_GB2312" w:cs="Times New Roman"/>
          <w:color w:val="000000"/>
          <w:kern w:val="0"/>
          <w:sz w:val="30"/>
          <w:szCs w:val="30"/>
        </w:rPr>
        <w:t>月</w:t>
      </w:r>
      <w:r>
        <w:rPr>
          <w:rFonts w:hint="eastAsia" w:ascii="Times New Roman" w:hAnsi="Times New Roman" w:eastAsia="仿宋_GB2312" w:cs="Times New Roman"/>
          <w:color w:val="000000"/>
          <w:kern w:val="0"/>
          <w:sz w:val="30"/>
          <w:szCs w:val="30"/>
          <w:lang w:val="en-US" w:eastAsia="zh-CN"/>
        </w:rPr>
        <w:t>31</w:t>
      </w:r>
      <w:r>
        <w:rPr>
          <w:rFonts w:hint="default" w:ascii="Times New Roman" w:hAnsi="Times New Roman" w:eastAsia="仿宋_GB2312" w:cs="Times New Roman"/>
          <w:color w:val="000000"/>
          <w:kern w:val="0"/>
          <w:sz w:val="30"/>
          <w:szCs w:val="30"/>
        </w:rPr>
        <w:t>日，</w:t>
      </w:r>
      <w:r>
        <w:rPr>
          <w:rFonts w:hint="eastAsia" w:eastAsia="仿宋_GB2312" w:cs="Times New Roman"/>
          <w:color w:val="000000"/>
          <w:kern w:val="0"/>
          <w:sz w:val="30"/>
          <w:szCs w:val="30"/>
          <w:lang w:eastAsia="zh-CN"/>
        </w:rPr>
        <w:t>芒市勐戛镇中心</w:t>
      </w:r>
      <w:r>
        <w:rPr>
          <w:rFonts w:hint="eastAsia" w:ascii="Times New Roman" w:hAnsi="Times New Roman" w:eastAsia="仿宋_GB2312" w:cs="Times New Roman"/>
          <w:color w:val="000000"/>
          <w:kern w:val="0"/>
          <w:sz w:val="30"/>
          <w:szCs w:val="30"/>
          <w:lang w:eastAsia="zh-CN"/>
        </w:rPr>
        <w:t>卫生院</w:t>
      </w:r>
      <w:r>
        <w:rPr>
          <w:rFonts w:hint="default" w:ascii="Times New Roman" w:hAnsi="Times New Roman" w:eastAsia="仿宋_GB2312" w:cs="Times New Roman"/>
          <w:color w:val="000000"/>
          <w:kern w:val="0"/>
          <w:sz w:val="30"/>
          <w:szCs w:val="30"/>
        </w:rPr>
        <w:t>资产总额</w:t>
      </w:r>
      <w:r>
        <w:rPr>
          <w:rFonts w:hint="eastAsia" w:eastAsia="仿宋_GB2312" w:cs="Times New Roman"/>
          <w:color w:val="000000"/>
          <w:kern w:val="0"/>
          <w:sz w:val="30"/>
          <w:szCs w:val="30"/>
          <w:lang w:val="en-US" w:eastAsia="zh-CN"/>
        </w:rPr>
        <w:t>864.67</w:t>
      </w:r>
      <w:r>
        <w:rPr>
          <w:rFonts w:hint="default" w:ascii="Times New Roman" w:hAnsi="Times New Roman" w:eastAsia="仿宋_GB2312" w:cs="Times New Roman"/>
          <w:color w:val="000000"/>
          <w:kern w:val="0"/>
          <w:sz w:val="30"/>
          <w:szCs w:val="30"/>
        </w:rPr>
        <w:t>万元，其中，流动资产</w:t>
      </w:r>
      <w:r>
        <w:rPr>
          <w:rFonts w:hint="eastAsia" w:eastAsia="仿宋_GB2312" w:cs="Times New Roman"/>
          <w:color w:val="000000"/>
          <w:kern w:val="0"/>
          <w:sz w:val="30"/>
          <w:szCs w:val="30"/>
          <w:lang w:val="en-US" w:eastAsia="zh-CN"/>
        </w:rPr>
        <w:t>244.11</w:t>
      </w:r>
      <w:r>
        <w:rPr>
          <w:rFonts w:hint="default" w:ascii="Times New Roman" w:hAnsi="Times New Roman" w:eastAsia="仿宋_GB2312" w:cs="Times New Roman"/>
          <w:color w:val="000000"/>
          <w:kern w:val="0"/>
          <w:sz w:val="30"/>
          <w:szCs w:val="30"/>
        </w:rPr>
        <w:t>万元，固定资产</w:t>
      </w:r>
      <w:r>
        <w:rPr>
          <w:rFonts w:hint="eastAsia" w:eastAsia="仿宋_GB2312" w:cs="Times New Roman"/>
          <w:color w:val="000000"/>
          <w:kern w:val="0"/>
          <w:sz w:val="30"/>
          <w:szCs w:val="30"/>
          <w:lang w:val="en-US" w:eastAsia="zh-CN"/>
        </w:rPr>
        <w:t>615.05</w:t>
      </w:r>
      <w:r>
        <w:rPr>
          <w:rFonts w:hint="default" w:ascii="Times New Roman" w:hAnsi="Times New Roman" w:eastAsia="仿宋_GB2312" w:cs="Times New Roman"/>
          <w:color w:val="000000"/>
          <w:kern w:val="0"/>
          <w:sz w:val="30"/>
          <w:szCs w:val="30"/>
        </w:rPr>
        <w:t>万元，对外投资及有价证券</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万元，在建工程</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万元，无形资产</w:t>
      </w:r>
      <w:r>
        <w:rPr>
          <w:rFonts w:hint="eastAsia" w:eastAsia="仿宋_GB2312" w:cs="Times New Roman"/>
          <w:color w:val="000000"/>
          <w:kern w:val="0"/>
          <w:sz w:val="30"/>
          <w:szCs w:val="30"/>
          <w:lang w:val="en-US" w:eastAsia="zh-CN"/>
        </w:rPr>
        <w:t>5.52</w:t>
      </w:r>
      <w:r>
        <w:rPr>
          <w:rFonts w:hint="default" w:ascii="Times New Roman" w:hAnsi="Times New Roman" w:eastAsia="仿宋_GB2312" w:cs="Times New Roman"/>
          <w:color w:val="000000"/>
          <w:kern w:val="0"/>
          <w:sz w:val="30"/>
          <w:szCs w:val="30"/>
        </w:rPr>
        <w:t>万元，其他资产</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万元（具体内容详见附表）。与上年相比，本年资产总额减少</w:t>
      </w:r>
      <w:r>
        <w:rPr>
          <w:rFonts w:hint="eastAsia" w:eastAsia="仿宋_GB2312" w:cs="Times New Roman"/>
          <w:color w:val="000000"/>
          <w:kern w:val="0"/>
          <w:sz w:val="30"/>
          <w:szCs w:val="30"/>
          <w:lang w:val="en-US" w:eastAsia="zh-CN"/>
        </w:rPr>
        <w:t>216.58</w:t>
      </w:r>
      <w:r>
        <w:rPr>
          <w:rFonts w:hint="default" w:ascii="Times New Roman" w:hAnsi="Times New Roman" w:eastAsia="仿宋_GB2312" w:cs="Times New Roman"/>
          <w:color w:val="000000"/>
          <w:kern w:val="0"/>
          <w:sz w:val="30"/>
          <w:szCs w:val="30"/>
        </w:rPr>
        <w:t>万元，其中固定资产</w:t>
      </w:r>
      <w:r>
        <w:rPr>
          <w:rFonts w:hint="eastAsia" w:eastAsia="仿宋_GB2312" w:cs="Times New Roman"/>
          <w:color w:val="000000"/>
          <w:kern w:val="0"/>
          <w:sz w:val="30"/>
          <w:szCs w:val="30"/>
          <w:lang w:eastAsia="zh-CN"/>
        </w:rPr>
        <w:t>减少</w:t>
      </w:r>
      <w:r>
        <w:rPr>
          <w:rFonts w:hint="eastAsia" w:eastAsia="仿宋_GB2312" w:cs="Times New Roman"/>
          <w:color w:val="000000"/>
          <w:kern w:val="0"/>
          <w:sz w:val="30"/>
          <w:szCs w:val="30"/>
          <w:lang w:val="en-US" w:eastAsia="zh-CN"/>
        </w:rPr>
        <w:t>85.5</w:t>
      </w:r>
      <w:r>
        <w:rPr>
          <w:rFonts w:hint="default" w:ascii="Times New Roman" w:hAnsi="Times New Roman" w:eastAsia="仿宋_GB2312" w:cs="Times New Roman"/>
          <w:color w:val="000000"/>
          <w:kern w:val="0"/>
          <w:sz w:val="30"/>
          <w:szCs w:val="30"/>
        </w:rPr>
        <w:t>万元。处置房屋建筑物</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平方米，账面原值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万元；处置车辆</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辆，账面原值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万元；报废报损资产</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项，账面原值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万元，实现资产处置收入</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万元；出租房屋</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平方米，账面原值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万元，实现资产使用收入</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w:t>
      </w:r>
    </w:p>
    <w:tbl>
      <w:tblPr>
        <w:tblStyle w:val="8"/>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Layout w:type="fixed"/>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eastAsia="仿宋_GB2312" w:cs="Times New Roman"/>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4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小计</w:t>
            </w:r>
          </w:p>
        </w:tc>
        <w:tc>
          <w:tcPr>
            <w:tcW w:w="7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2</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3</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11</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lang w:val="en-US"/>
              </w:rPr>
            </w:pPr>
            <w:r>
              <w:rPr>
                <w:rFonts w:hint="eastAsia" w:cs="Times New Roman"/>
                <w:color w:val="000000"/>
                <w:kern w:val="0"/>
                <w:sz w:val="20"/>
                <w:szCs w:val="20"/>
                <w:lang w:val="en-US" w:eastAsia="zh-CN"/>
              </w:rPr>
              <w:t>864.67</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244.10</w:t>
            </w:r>
            <w:r>
              <w:rPr>
                <w:rFonts w:hint="default" w:ascii="Times New Roman" w:hAnsi="Times New Roman" w:cs="Times New Roman"/>
                <w:color w:val="000000"/>
                <w:kern w:val="0"/>
                <w:sz w:val="20"/>
                <w:szCs w:val="20"/>
              </w:rPr>
              <w:t> </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615.05</w:t>
            </w:r>
            <w:r>
              <w:rPr>
                <w:rFonts w:hint="default" w:ascii="Times New Roman" w:hAnsi="Times New Roman" w:cs="Times New Roman"/>
                <w:color w:val="000000"/>
                <w:kern w:val="0"/>
                <w:sz w:val="20"/>
                <w:szCs w:val="20"/>
              </w:rPr>
              <w:t> </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345.9</w:t>
            </w:r>
            <w:r>
              <w:rPr>
                <w:rFonts w:hint="default" w:ascii="Times New Roman" w:hAnsi="Times New Roman" w:cs="Times New Roman"/>
                <w:color w:val="000000"/>
                <w:kern w:val="0"/>
                <w:sz w:val="20"/>
                <w:szCs w:val="20"/>
              </w:rPr>
              <w:t>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0</w:t>
            </w:r>
            <w:r>
              <w:rPr>
                <w:rFonts w:hint="default" w:ascii="Times New Roman" w:hAnsi="Times New Roman" w:cs="Times New Roman"/>
                <w:color w:val="000000"/>
                <w:kern w:val="0"/>
                <w:sz w:val="20"/>
                <w:szCs w:val="20"/>
              </w:rPr>
              <w:t> </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0</w:t>
            </w:r>
            <w:r>
              <w:rPr>
                <w:rFonts w:hint="default" w:ascii="Times New Roman" w:hAnsi="Times New Roman" w:cs="Times New Roman"/>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299.14</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5.52</w:t>
            </w:r>
            <w:r>
              <w:rPr>
                <w:rFonts w:hint="default" w:ascii="Times New Roman" w:hAnsi="Times New Roman" w:cs="Times New Roman"/>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填报说明：1.资产总额＝流动资产＋固定资产＋对外投资</w:t>
            </w:r>
            <w:r>
              <w:rPr>
                <w:rFonts w:hint="default" w:ascii="Times New Roman" w:hAnsi="Times New Roman" w:cs="Times New Roman"/>
                <w:color w:val="000000"/>
                <w:kern w:val="0"/>
                <w:sz w:val="20"/>
                <w:szCs w:val="20"/>
                <w:lang w:val="en-US" w:eastAsia="zh-CN"/>
              </w:rPr>
              <w:t>+</w:t>
            </w:r>
            <w:r>
              <w:rPr>
                <w:rFonts w:hint="default" w:ascii="Times New Roman" w:hAnsi="Times New Roman" w:cs="Times New Roman"/>
                <w:color w:val="000000"/>
                <w:kern w:val="0"/>
                <w:sz w:val="20"/>
                <w:szCs w:val="20"/>
              </w:rPr>
              <w:t>有价证券＋在建工程＋无形资产＋其他资产</w:t>
            </w:r>
          </w:p>
          <w:p>
            <w:pPr>
              <w:widowControl/>
              <w:ind w:firstLine="1000" w:firstLineChars="500"/>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42" w:type="dxa"/>
            <w:vAlign w:val="center"/>
          </w:tcPr>
          <w:p>
            <w:pPr>
              <w:widowControl/>
              <w:jc w:val="left"/>
              <w:rPr>
                <w:rFonts w:hint="default" w:ascii="Times New Roman" w:hAnsi="Times New Roman" w:eastAsia="Times New Roman" w:cs="Times New Roman"/>
                <w:kern w:val="0"/>
                <w:sz w:val="20"/>
                <w:szCs w:val="20"/>
              </w:rPr>
            </w:pPr>
          </w:p>
        </w:tc>
      </w:tr>
    </w:tbl>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三、</w:t>
      </w:r>
      <w:r>
        <w:rPr>
          <w:rFonts w:hint="default" w:ascii="Times New Roman" w:hAnsi="Times New Roman" w:eastAsia="黑体" w:cs="Times New Roman"/>
          <w:sz w:val="30"/>
          <w:szCs w:val="30"/>
        </w:rPr>
        <w:t>政府采购支出情况</w:t>
      </w:r>
    </w:p>
    <w:p>
      <w:pPr>
        <w:ind w:firstLine="600" w:firstLineChars="200"/>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lang w:val="en-US" w:eastAsia="zh-CN"/>
        </w:rPr>
        <w:t>年度，部门政府采购支出总额</w:t>
      </w:r>
      <w:r>
        <w:rPr>
          <w:rFonts w:hint="eastAsia" w:eastAsia="仿宋_GB2312" w:cs="Times New Roman"/>
          <w:sz w:val="30"/>
          <w:szCs w:val="30"/>
          <w:highlight w:val="none"/>
          <w:lang w:val="en-US" w:eastAsia="zh-CN"/>
        </w:rPr>
        <w:t>30.27</w:t>
      </w:r>
      <w:r>
        <w:rPr>
          <w:rFonts w:hint="default" w:ascii="Times New Roman" w:hAnsi="Times New Roman" w:eastAsia="仿宋_GB2312" w:cs="Times New Roman"/>
          <w:sz w:val="30"/>
          <w:szCs w:val="30"/>
          <w:highlight w:val="none"/>
          <w:lang w:val="en-US" w:eastAsia="zh-CN"/>
        </w:rPr>
        <w:t>万元，其中：政府采购货物支出</w:t>
      </w:r>
      <w:r>
        <w:rPr>
          <w:rFonts w:hint="eastAsia" w:eastAsia="仿宋_GB2312" w:cs="Times New Roman"/>
          <w:sz w:val="30"/>
          <w:szCs w:val="30"/>
          <w:highlight w:val="none"/>
          <w:lang w:val="en-US" w:eastAsia="zh-CN"/>
        </w:rPr>
        <w:t>30.27</w:t>
      </w:r>
      <w:r>
        <w:rPr>
          <w:rFonts w:hint="default" w:ascii="Times New Roman" w:hAnsi="Times New Roman" w:eastAsia="仿宋_GB2312" w:cs="Times New Roman"/>
          <w:sz w:val="30"/>
          <w:szCs w:val="30"/>
          <w:highlight w:val="none"/>
          <w:lang w:val="en-US" w:eastAsia="zh-CN"/>
        </w:rPr>
        <w:t>万元；政府采购工程支出</w:t>
      </w:r>
      <w:r>
        <w:rPr>
          <w:rFonts w:hint="eastAsia"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val="en-US" w:eastAsia="zh-CN"/>
        </w:rPr>
        <w:t>万元；政府采购服务支出</w:t>
      </w:r>
      <w:r>
        <w:rPr>
          <w:rFonts w:hint="eastAsia"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val="en-US" w:eastAsia="zh-CN"/>
        </w:rPr>
        <w:t>万元。授予中小企业合同金额</w:t>
      </w:r>
      <w:r>
        <w:rPr>
          <w:rFonts w:hint="eastAsia" w:eastAsia="仿宋_GB2312" w:cs="Times New Roman"/>
          <w:sz w:val="30"/>
          <w:szCs w:val="30"/>
          <w:highlight w:val="none"/>
          <w:lang w:val="en-US" w:eastAsia="zh-CN"/>
        </w:rPr>
        <w:t>30.27</w:t>
      </w:r>
      <w:r>
        <w:rPr>
          <w:rFonts w:hint="default" w:ascii="Times New Roman" w:hAnsi="Times New Roman" w:eastAsia="仿宋_GB2312" w:cs="Times New Roman"/>
          <w:sz w:val="30"/>
          <w:szCs w:val="30"/>
          <w:highlight w:val="none"/>
          <w:lang w:val="en-US" w:eastAsia="zh-CN"/>
        </w:rPr>
        <w:t>万元，占政府采购支出总额的</w:t>
      </w:r>
      <w:r>
        <w:rPr>
          <w:rFonts w:hint="eastAsia" w:ascii="Times New Roman" w:hAnsi="Times New Roman" w:eastAsia="仿宋_GB2312" w:cs="Times New Roman"/>
          <w:sz w:val="30"/>
          <w:szCs w:val="30"/>
          <w:highlight w:val="none"/>
          <w:lang w:val="en-US" w:eastAsia="zh-CN"/>
        </w:rPr>
        <w:t>100</w:t>
      </w:r>
      <w:r>
        <w:rPr>
          <w:rFonts w:hint="default" w:ascii="Times New Roman" w:hAnsi="Times New Roman" w:eastAsia="仿宋_GB2312" w:cs="Times New Roman"/>
          <w:sz w:val="30"/>
          <w:szCs w:val="30"/>
          <w:highlight w:val="none"/>
          <w:lang w:val="en-US" w:eastAsia="zh-CN"/>
        </w:rPr>
        <w:t>%。</w:t>
      </w:r>
    </w:p>
    <w:p>
      <w:pPr>
        <w:ind w:firstLine="600" w:firstLineChars="200"/>
        <w:jc w:val="left"/>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四、部门绩效自评情况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highlight w:val="none"/>
          <w:lang w:val="en-US" w:eastAsia="zh-CN"/>
        </w:rPr>
      </w:pPr>
      <w:r>
        <w:rPr>
          <w:rFonts w:hint="eastAsia" w:eastAsia="仿宋_GB2312" w:cs="Times New Roman"/>
          <w:sz w:val="30"/>
          <w:szCs w:val="30"/>
          <w:highlight w:val="none"/>
          <w:lang w:val="en-US" w:eastAsia="zh-CN"/>
        </w:rPr>
        <w:t>本</w:t>
      </w:r>
      <w:bookmarkStart w:id="0" w:name="_GoBack"/>
      <w:bookmarkEnd w:id="0"/>
      <w:r>
        <w:rPr>
          <w:rFonts w:hint="eastAsia" w:eastAsia="仿宋_GB2312" w:cs="Times New Roman"/>
          <w:sz w:val="30"/>
          <w:szCs w:val="30"/>
          <w:highlight w:val="none"/>
          <w:lang w:val="en-US" w:eastAsia="zh-CN"/>
        </w:rPr>
        <w:t>单位没有开展过相关绩效自评工作，故公开空表。相关</w:t>
      </w:r>
      <w:r>
        <w:rPr>
          <w:rFonts w:hint="default" w:ascii="Times New Roman" w:hAnsi="Times New Roman" w:eastAsia="仿宋_GB2312" w:cs="Times New Roman"/>
          <w:sz w:val="30"/>
          <w:szCs w:val="30"/>
          <w:highlight w:val="none"/>
          <w:lang w:val="en-US" w:eastAsia="zh-CN"/>
        </w:rPr>
        <w:t>部门绩效自评情况详见附表（附表9—附表12）。</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五、其他重要事项情况说明</w:t>
      </w:r>
    </w:p>
    <w:p>
      <w:pPr>
        <w:ind w:firstLine="600" w:firstLineChars="200"/>
        <w:jc w:val="left"/>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无。</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六、相关口径说明</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（一）</w:t>
      </w:r>
      <w:r>
        <w:rPr>
          <w:rFonts w:hint="default" w:ascii="Times New Roman" w:hAnsi="Times New Roman" w:eastAsia="仿宋_GB2312" w:cs="Times New Roman"/>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（二）</w:t>
      </w:r>
      <w:r>
        <w:rPr>
          <w:rFonts w:hint="default" w:ascii="Times New Roman" w:hAnsi="Times New Roman" w:eastAsia="仿宋_GB2312" w:cs="Times New Roman"/>
          <w:sz w:val="30"/>
          <w:szCs w:val="30"/>
        </w:rPr>
        <w:t>机关运行经费指行政单位和参照公务员法管理的事业单位使用一般公共预算财政拨款安排的基本支出中的日常公用经费支出</w:t>
      </w:r>
      <w:r>
        <w:rPr>
          <w:rFonts w:hint="default" w:ascii="Times New Roman" w:hAnsi="Times New Roman" w:eastAsia="仿宋_GB2312" w:cs="Times New Roman"/>
          <w:sz w:val="30"/>
          <w:szCs w:val="30"/>
          <w:lang w:eastAsia="zh-CN"/>
        </w:rPr>
        <w:t>。</w:t>
      </w:r>
    </w:p>
    <w:p>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lang w:eastAsia="zh-CN"/>
        </w:rPr>
        <w:t>（三）</w:t>
      </w:r>
      <w:r>
        <w:rPr>
          <w:rFonts w:hint="default" w:ascii="Times New Roman" w:hAnsi="Times New Roman" w:eastAsia="仿宋_GB2312" w:cs="Times New Roman"/>
          <w:sz w:val="30"/>
          <w:szCs w:val="30"/>
        </w:rPr>
        <w:t>按照党中央、国务院有关文件及部门预算管理有关规定，“三公”经费包括因公出国（境）费、公务用车购置及运行维护费、公务接待费。</w:t>
      </w:r>
      <w:r>
        <w:rPr>
          <w:rFonts w:hint="default" w:ascii="Times New Roman" w:hAnsi="Times New Roman" w:eastAsia="仿宋_GB2312" w:cs="Times New Roman"/>
          <w:sz w:val="30"/>
          <w:szCs w:val="30"/>
          <w:highlight w:val="none"/>
        </w:rPr>
        <w:t>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仿宋_GB2312" w:cs="Times New Roman"/>
          <w:sz w:val="30"/>
          <w:szCs w:val="30"/>
          <w:highlight w:val="none"/>
          <w:lang w:eastAsia="zh-CN"/>
        </w:rPr>
        <w:t>、牌照费</w:t>
      </w:r>
      <w:r>
        <w:rPr>
          <w:rFonts w:hint="default" w:ascii="Times New Roman" w:hAnsi="Times New Roman" w:eastAsia="仿宋_GB2312" w:cs="Times New Roman"/>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（四）</w:t>
      </w:r>
      <w:r>
        <w:rPr>
          <w:rFonts w:hint="default" w:ascii="Times New Roman" w:hAnsi="Times New Roman" w:eastAsia="仿宋_GB2312" w:cs="Times New Roman"/>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部分  名词解释</w:t>
      </w:r>
    </w:p>
    <w:p>
      <w:pPr>
        <w:spacing w:beforeLines="0" w:afterLines="0" w:line="600" w:lineRule="exact"/>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政府采购：指国家机关、事业单位和团体组织，依法在规定范围内使用财政性资金采购货物、工程和服务的行为。以公开招标为主要采购方式。</w:t>
      </w:r>
    </w:p>
    <w:p>
      <w:pPr>
        <w:spacing w:beforeLines="0" w:afterLines="0" w:line="600" w:lineRule="exact"/>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政府性基金：是对依照法律、行政法规的规定在一定期限内向特定对象征收、收取或者以其他方式筹集的资金，专项用于特定公共事业的发展。</w:t>
      </w:r>
    </w:p>
    <w:p>
      <w:pPr>
        <w:spacing w:beforeLines="0" w:afterLines="0" w:line="600" w:lineRule="exact"/>
        <w:ind w:firstLine="600"/>
        <w:jc w:val="left"/>
        <w:rPr>
          <w:rFonts w:hint="default" w:ascii="Times New Roman" w:hAnsi="Times New Roman" w:eastAsia="仿宋_GB2312" w:cs="Times New Roman"/>
          <w:sz w:val="30"/>
          <w:szCs w:val="30"/>
        </w:rPr>
      </w:pPr>
      <w:r>
        <w:rPr>
          <w:rFonts w:hint="default" w:ascii="仿宋_GB2312" w:hAnsi="仿宋_GB2312" w:eastAsia="仿宋_GB2312" w:cs="仿宋_GB2312"/>
          <w:sz w:val="30"/>
          <w:szCs w:val="30"/>
          <w:lang w:val="en-US" w:eastAsia="zh-CN"/>
        </w:rPr>
        <w:t>项目支出：是指行政事业单位为完成其特定的行政工作任务或事业发展目标，并依据其体工作内容编制的年度经费支出</w:t>
      </w:r>
      <w:r>
        <w:rPr>
          <w:rFonts w:hint="eastAsia" w:ascii="仿宋_GB2312" w:hAnsi="仿宋_GB2312" w:eastAsia="仿宋_GB2312" w:cs="仿宋_GB2312"/>
          <w:sz w:val="30"/>
          <w:szCs w:val="30"/>
          <w:lang w:val="en-US" w:eastAsia="zh-CN"/>
        </w:rPr>
        <w:t>。</w:t>
      </w:r>
    </w:p>
    <w:p>
      <w:pPr>
        <w:spacing w:beforeLines="0" w:afterLines="0" w:line="600" w:lineRule="exact"/>
        <w:ind w:firstLine="600"/>
        <w:jc w:val="left"/>
        <w:rPr>
          <w:rFonts w:hint="default" w:ascii="Times New Roman" w:hAnsi="Times New Roman" w:eastAsia="仿宋_GB2312" w:cs="Times New Roman"/>
          <w:sz w:val="30"/>
          <w:szCs w:val="30"/>
        </w:rPr>
      </w:pP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3501375"/>
    <w:rsid w:val="0E843C5B"/>
    <w:rsid w:val="109A2368"/>
    <w:rsid w:val="1253626C"/>
    <w:rsid w:val="12AF3DA1"/>
    <w:rsid w:val="15544F0A"/>
    <w:rsid w:val="19D211C3"/>
    <w:rsid w:val="1B9A76F1"/>
    <w:rsid w:val="1DB17A2D"/>
    <w:rsid w:val="1E223D99"/>
    <w:rsid w:val="22BA1854"/>
    <w:rsid w:val="236950F1"/>
    <w:rsid w:val="253B1B6C"/>
    <w:rsid w:val="29AB5281"/>
    <w:rsid w:val="2BE44B78"/>
    <w:rsid w:val="2C2C7BFF"/>
    <w:rsid w:val="2EBD6C76"/>
    <w:rsid w:val="2ECC42E8"/>
    <w:rsid w:val="31D23B45"/>
    <w:rsid w:val="37364169"/>
    <w:rsid w:val="3B9C14F5"/>
    <w:rsid w:val="3CF70F04"/>
    <w:rsid w:val="42C74F0E"/>
    <w:rsid w:val="47A16424"/>
    <w:rsid w:val="4A041DB5"/>
    <w:rsid w:val="4A5B043F"/>
    <w:rsid w:val="4AAF7540"/>
    <w:rsid w:val="4E375ECD"/>
    <w:rsid w:val="4FCC7BC5"/>
    <w:rsid w:val="51373AA3"/>
    <w:rsid w:val="52BC6998"/>
    <w:rsid w:val="58890172"/>
    <w:rsid w:val="61B00CAA"/>
    <w:rsid w:val="68333A82"/>
    <w:rsid w:val="68F03BBE"/>
    <w:rsid w:val="6DEE7310"/>
    <w:rsid w:val="70242325"/>
    <w:rsid w:val="73F5419E"/>
    <w:rsid w:val="76D317E9"/>
    <w:rsid w:val="77207610"/>
    <w:rsid w:val="78AF2483"/>
    <w:rsid w:val="792C3DA2"/>
    <w:rsid w:val="79EB17A6"/>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收入结构分析表</a:t>
            </a:r>
            <a:endParaRPr altLang="en-US"/>
          </a:p>
        </c:rich>
      </c:tx>
      <c:layout/>
      <c:overlay val="0"/>
      <c:spPr>
        <a:noFill/>
        <a:ln>
          <a:noFill/>
        </a:ln>
        <a:effectLst/>
      </c:spPr>
    </c:title>
    <c:autoTitleDeleted val="0"/>
    <c:plotArea>
      <c:layout>
        <c:manualLayout>
          <c:layoutTarget val="inner"/>
          <c:xMode val="edge"/>
          <c:yMode val="edge"/>
          <c:x val="0.253055555555556"/>
          <c:y val="0.22037037037037"/>
          <c:w val="0.463611111111111"/>
          <c:h val="0.772685185185185"/>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[工作簿1]Sheet1!$C$2:$C$4</c:f>
              <c:strCache>
                <c:ptCount val="3"/>
                <c:pt idx="0">
                  <c:v>财政拨款收入</c:v>
                </c:pt>
                <c:pt idx="1">
                  <c:v>事业收入</c:v>
                </c:pt>
                <c:pt idx="2">
                  <c:v>其他收入</c:v>
                </c:pt>
              </c:strCache>
            </c:strRef>
          </c:cat>
          <c:val>
            <c:numRef>
              <c:f>[工作簿1]Sheet1!$D$2:$D$4</c:f>
              <c:numCache>
                <c:formatCode>General</c:formatCode>
                <c:ptCount val="3"/>
                <c:pt idx="0" c:formatCode="General">
                  <c:v>477.14</c:v>
                </c:pt>
                <c:pt idx="1" c:formatCode="General">
                  <c:v>709.09</c:v>
                </c:pt>
                <c:pt idx="2" c:formatCode="General">
                  <c:v>5.86</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[工作簿1]Sheet1!$C$2:$C$4</c:f>
              <c:strCache>
                <c:ptCount val="3"/>
                <c:pt idx="0">
                  <c:v>财政拨款收入</c:v>
                </c:pt>
                <c:pt idx="1">
                  <c:v>事业收入</c:v>
                </c:pt>
                <c:pt idx="2">
                  <c:v>其他收入</c:v>
                </c:pt>
              </c:strCache>
            </c:strRef>
          </c:cat>
          <c:val>
            <c:numRef>
              <c:f>[工作簿1]Sheet1!$E$2:$E$4</c:f>
              <c:numCache>
                <c:formatCode>General</c:formatCode>
                <c:ptCount val="3"/>
                <c:pt idx="0" c:formatCode="General">
                  <c:v>515.35</c:v>
                </c:pt>
                <c:pt idx="1" c:formatCode="General">
                  <c:v>646.47</c:v>
                </c:pt>
                <c:pt idx="2" c:formatCode="General">
                  <c:v>0.57</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基本支出结构表</a:t>
            </a:r>
          </a:p>
        </c:rich>
      </c:tx>
      <c:layout>
        <c:manualLayout>
          <c:xMode val="edge"/>
          <c:yMode val="edge"/>
          <c:x val="0.37125"/>
          <c:y val="0.85162037037037"/>
        </c:manualLayout>
      </c:layout>
      <c:overlay val="0"/>
      <c:spPr>
        <a:noFill/>
        <a:ln>
          <a:noFill/>
        </a:ln>
        <a:effectLst/>
      </c:spPr>
    </c:title>
    <c:autoTitleDeleted val="0"/>
    <c:plotArea>
      <c:layout>
        <c:manualLayout>
          <c:layoutTarget val="inner"/>
          <c:xMode val="edge"/>
          <c:yMode val="edge"/>
          <c:x val="0.272083333333333"/>
          <c:y val="0.00694444444444444"/>
          <c:w val="0.463611111111111"/>
          <c:h val="0.772685185185185"/>
        </c:manualLayout>
      </c:layout>
      <c:pieChart>
        <c:varyColors val="1"/>
        <c:ser>
          <c:idx val="0"/>
          <c:order val="0"/>
          <c:spPr/>
          <c:explosion val="0"/>
          <c:dPt>
            <c:idx val="0"/>
            <c:bubble3D val="0"/>
            <c:explosion val="3"/>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[工作簿1]Sheet1!$B$46:$B$49</c:f>
              <c:strCache>
                <c:ptCount val="4"/>
                <c:pt idx="0">
                  <c:v>人员经费支出</c:v>
                </c:pt>
                <c:pt idx="1">
                  <c:v>日常公用经费</c:v>
                </c:pt>
                <c:pt idx="2">
                  <c:v>对个人和家庭的补助</c:v>
                </c:pt>
                <c:pt idx="3">
                  <c:v>资本性支出</c:v>
                </c:pt>
              </c:strCache>
            </c:strRef>
          </c:cat>
          <c:val>
            <c:numRef>
              <c:f>[工作簿1]Sheet1!$C$46:$C$49</c:f>
              <c:numCache>
                <c:formatCode>General</c:formatCode>
                <c:ptCount val="4"/>
                <c:pt idx="0" c:formatCode="General">
                  <c:v>420.26</c:v>
                </c:pt>
                <c:pt idx="1" c:formatCode="General">
                  <c:v>689.35</c:v>
                </c:pt>
                <c:pt idx="2" c:formatCode="General">
                  <c:v>32.83</c:v>
                </c:pt>
                <c:pt idx="3" c:formatCode="General">
                  <c:v>105.9</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598</Words>
  <Characters>3413</Characters>
  <Lines>28</Lines>
  <Paragraphs>8</Paragraphs>
  <TotalTime>0</TotalTime>
  <ScaleCrop>false</ScaleCrop>
  <LinksUpToDate>false</LinksUpToDate>
  <CharactersWithSpaces>4003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YTM4600n</cp:lastModifiedBy>
  <cp:lastPrinted>2020-07-10T01:05:00Z</cp:lastPrinted>
  <dcterms:modified xsi:type="dcterms:W3CDTF">2020-10-09T03:10:43Z</dcterms:modified>
  <dc:title>四川省财政厅2011年部门预算编制说明</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