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sz w:val="36"/>
          <w:szCs w:val="36"/>
        </w:rPr>
      </w:pPr>
      <w:r>
        <w:rPr>
          <w:rFonts w:eastAsia="方正小标宋简体"/>
          <w:sz w:val="36"/>
          <w:szCs w:val="36"/>
        </w:rPr>
        <w:t>芒市</w:t>
      </w:r>
      <w:r>
        <w:rPr>
          <w:rFonts w:hint="eastAsia" w:eastAsia="方正小标宋简体"/>
          <w:sz w:val="36"/>
          <w:szCs w:val="36"/>
        </w:rPr>
        <w:t>疾病预防控制中心</w:t>
      </w:r>
      <w:r>
        <w:rPr>
          <w:rFonts w:eastAsia="方正小标宋简体"/>
          <w:sz w:val="36"/>
          <w:szCs w:val="36"/>
        </w:rPr>
        <w:t>2019年度部门决算</w:t>
      </w:r>
      <w:r>
        <w:rPr>
          <w:rFonts w:hint="eastAsia" w:eastAsia="方正小标宋简体"/>
          <w:sz w:val="36"/>
          <w:szCs w:val="36"/>
        </w:rPr>
        <w:t>公开</w:t>
      </w:r>
    </w:p>
    <w:p>
      <w:pPr>
        <w:jc w:val="center"/>
        <w:rPr>
          <w:rFonts w:eastAsia="黑体"/>
          <w:sz w:val="30"/>
          <w:szCs w:val="30"/>
        </w:rPr>
      </w:pPr>
    </w:p>
    <w:p>
      <w:pPr>
        <w:jc w:val="center"/>
        <w:rPr>
          <w:rFonts w:eastAsia="黑体"/>
          <w:b/>
          <w:sz w:val="32"/>
          <w:szCs w:val="32"/>
        </w:rPr>
      </w:pPr>
      <w:r>
        <w:rPr>
          <w:rFonts w:eastAsia="黑体"/>
          <w:b/>
          <w:sz w:val="32"/>
          <w:szCs w:val="32"/>
        </w:rPr>
        <w:t>目录</w:t>
      </w:r>
    </w:p>
    <w:p>
      <w:pPr>
        <w:jc w:val="left"/>
        <w:rPr>
          <w:rFonts w:eastAsia="黑体"/>
          <w:sz w:val="30"/>
          <w:szCs w:val="30"/>
        </w:rPr>
      </w:pPr>
      <w:r>
        <w:rPr>
          <w:rFonts w:eastAsia="黑体"/>
          <w:sz w:val="30"/>
          <w:szCs w:val="30"/>
        </w:rPr>
        <w:t>第一部分  芒市</w:t>
      </w:r>
      <w:r>
        <w:rPr>
          <w:rFonts w:hint="eastAsia" w:eastAsia="黑体"/>
          <w:sz w:val="30"/>
          <w:szCs w:val="30"/>
        </w:rPr>
        <w:t>疾病预防控制中心</w:t>
      </w:r>
      <w:r>
        <w:rPr>
          <w:rFonts w:eastAsia="黑体"/>
          <w:sz w:val="30"/>
          <w:szCs w:val="30"/>
        </w:rPr>
        <w:t>概况</w:t>
      </w:r>
    </w:p>
    <w:p>
      <w:pPr>
        <w:spacing w:line="240" w:lineRule="atLeast"/>
        <w:jc w:val="left"/>
        <w:rPr>
          <w:rFonts w:eastAsia="楷体"/>
          <w:sz w:val="30"/>
          <w:szCs w:val="30"/>
        </w:rPr>
      </w:pPr>
      <w:r>
        <w:rPr>
          <w:rFonts w:eastAsia="楷体"/>
          <w:sz w:val="30"/>
          <w:szCs w:val="30"/>
        </w:rPr>
        <w:t>一、主要职能</w:t>
      </w:r>
    </w:p>
    <w:p>
      <w:pPr>
        <w:spacing w:line="240" w:lineRule="atLeast"/>
        <w:jc w:val="left"/>
        <w:rPr>
          <w:rFonts w:eastAsia="楷体"/>
          <w:sz w:val="30"/>
          <w:szCs w:val="30"/>
        </w:rPr>
      </w:pPr>
      <w:r>
        <w:rPr>
          <w:rFonts w:eastAsia="楷体"/>
          <w:sz w:val="30"/>
          <w:szCs w:val="30"/>
        </w:rPr>
        <w:t>二、部门基本情况</w:t>
      </w:r>
    </w:p>
    <w:p>
      <w:pPr>
        <w:jc w:val="left"/>
        <w:rPr>
          <w:rFonts w:eastAsia="黑体"/>
          <w:sz w:val="30"/>
          <w:szCs w:val="30"/>
        </w:rPr>
      </w:pPr>
      <w:r>
        <w:rPr>
          <w:rFonts w:eastAsia="黑体"/>
          <w:sz w:val="30"/>
          <w:szCs w:val="30"/>
        </w:rPr>
        <w:t>第二部分  2019年度部门决算表</w:t>
      </w:r>
    </w:p>
    <w:p>
      <w:pPr>
        <w:jc w:val="left"/>
        <w:rPr>
          <w:rFonts w:eastAsia="楷体"/>
          <w:sz w:val="30"/>
          <w:szCs w:val="30"/>
        </w:rPr>
      </w:pPr>
      <w:r>
        <w:rPr>
          <w:rFonts w:eastAsia="楷体"/>
          <w:sz w:val="30"/>
          <w:szCs w:val="30"/>
        </w:rPr>
        <w:t>一、收入支出决算总表</w:t>
      </w:r>
    </w:p>
    <w:p>
      <w:pPr>
        <w:jc w:val="left"/>
        <w:rPr>
          <w:rFonts w:eastAsia="楷体"/>
          <w:sz w:val="30"/>
          <w:szCs w:val="30"/>
        </w:rPr>
      </w:pPr>
      <w:r>
        <w:rPr>
          <w:rFonts w:eastAsia="楷体"/>
          <w:sz w:val="30"/>
          <w:szCs w:val="30"/>
        </w:rPr>
        <w:t>二、收入决算表</w:t>
      </w:r>
    </w:p>
    <w:p>
      <w:pPr>
        <w:jc w:val="left"/>
        <w:rPr>
          <w:rFonts w:eastAsia="楷体"/>
          <w:sz w:val="30"/>
          <w:szCs w:val="30"/>
        </w:rPr>
      </w:pPr>
      <w:r>
        <w:rPr>
          <w:rFonts w:eastAsia="楷体"/>
          <w:sz w:val="30"/>
          <w:szCs w:val="30"/>
        </w:rPr>
        <w:t>三、支出决算表</w:t>
      </w:r>
    </w:p>
    <w:p>
      <w:pPr>
        <w:jc w:val="left"/>
        <w:rPr>
          <w:rFonts w:eastAsia="楷体"/>
          <w:sz w:val="30"/>
          <w:szCs w:val="30"/>
        </w:rPr>
      </w:pPr>
      <w:r>
        <w:rPr>
          <w:rFonts w:eastAsia="楷体"/>
          <w:sz w:val="30"/>
          <w:szCs w:val="30"/>
        </w:rPr>
        <w:t>四、财政拨款收入支出决算总表</w:t>
      </w:r>
    </w:p>
    <w:p>
      <w:pPr>
        <w:jc w:val="left"/>
        <w:rPr>
          <w:rFonts w:eastAsia="楷体"/>
          <w:sz w:val="30"/>
          <w:szCs w:val="30"/>
        </w:rPr>
      </w:pPr>
      <w:r>
        <w:rPr>
          <w:rFonts w:eastAsia="楷体"/>
          <w:sz w:val="30"/>
          <w:szCs w:val="30"/>
        </w:rPr>
        <w:t>五、一般公共预算财政拨款收入支出决算表</w:t>
      </w:r>
    </w:p>
    <w:p>
      <w:pPr>
        <w:jc w:val="left"/>
        <w:rPr>
          <w:rFonts w:eastAsia="楷体"/>
          <w:sz w:val="30"/>
          <w:szCs w:val="30"/>
        </w:rPr>
      </w:pPr>
      <w:r>
        <w:rPr>
          <w:rFonts w:eastAsia="楷体"/>
          <w:sz w:val="30"/>
          <w:szCs w:val="30"/>
        </w:rPr>
        <w:t>六、一般公共预算财政拨款基本支出决算表</w:t>
      </w:r>
    </w:p>
    <w:p>
      <w:pPr>
        <w:jc w:val="left"/>
        <w:rPr>
          <w:rFonts w:eastAsia="楷体"/>
          <w:sz w:val="30"/>
          <w:szCs w:val="30"/>
        </w:rPr>
      </w:pPr>
      <w:r>
        <w:rPr>
          <w:rFonts w:eastAsia="楷体"/>
          <w:sz w:val="30"/>
          <w:szCs w:val="30"/>
        </w:rPr>
        <w:t>七、政府性基金预算财政拨款收入支出决算表</w:t>
      </w:r>
    </w:p>
    <w:p>
      <w:pPr>
        <w:jc w:val="left"/>
        <w:rPr>
          <w:rFonts w:eastAsia="楷体"/>
          <w:sz w:val="30"/>
          <w:szCs w:val="30"/>
        </w:rPr>
      </w:pPr>
      <w:r>
        <w:rPr>
          <w:rFonts w:eastAsia="楷体"/>
          <w:sz w:val="30"/>
          <w:szCs w:val="30"/>
        </w:rPr>
        <w:t>八、“三公”经费、行政参公单位机关运行经费情况表</w:t>
      </w:r>
    </w:p>
    <w:p>
      <w:pPr>
        <w:jc w:val="left"/>
        <w:rPr>
          <w:rFonts w:eastAsia="黑体"/>
          <w:sz w:val="30"/>
          <w:szCs w:val="30"/>
        </w:rPr>
      </w:pPr>
      <w:r>
        <w:rPr>
          <w:rFonts w:eastAsia="黑体"/>
          <w:sz w:val="30"/>
          <w:szCs w:val="30"/>
        </w:rPr>
        <w:t>第三部分  2019年度部门决算情况说明</w:t>
      </w:r>
    </w:p>
    <w:p>
      <w:pPr>
        <w:jc w:val="left"/>
        <w:rPr>
          <w:rFonts w:eastAsia="楷体"/>
          <w:sz w:val="30"/>
          <w:szCs w:val="30"/>
        </w:rPr>
      </w:pPr>
      <w:r>
        <w:rPr>
          <w:rFonts w:eastAsia="楷体"/>
          <w:sz w:val="30"/>
          <w:szCs w:val="30"/>
        </w:rPr>
        <w:t>一、收入决算情况说明</w:t>
      </w:r>
    </w:p>
    <w:p>
      <w:pPr>
        <w:jc w:val="left"/>
        <w:rPr>
          <w:rFonts w:eastAsia="楷体"/>
          <w:sz w:val="30"/>
          <w:szCs w:val="30"/>
        </w:rPr>
      </w:pPr>
      <w:r>
        <w:rPr>
          <w:rFonts w:eastAsia="楷体"/>
          <w:sz w:val="30"/>
          <w:szCs w:val="30"/>
        </w:rPr>
        <w:t>二、支出决算情况说明</w:t>
      </w:r>
    </w:p>
    <w:p>
      <w:pPr>
        <w:jc w:val="left"/>
        <w:rPr>
          <w:rFonts w:eastAsia="楷体"/>
          <w:sz w:val="30"/>
          <w:szCs w:val="30"/>
        </w:rPr>
      </w:pPr>
      <w:r>
        <w:rPr>
          <w:rFonts w:eastAsia="楷体"/>
          <w:sz w:val="30"/>
          <w:szCs w:val="30"/>
        </w:rPr>
        <w:t>三、一般公共预算财政拨款支出决算情况说明</w:t>
      </w:r>
    </w:p>
    <w:p>
      <w:pPr>
        <w:widowControl/>
        <w:snapToGrid w:val="0"/>
        <w:spacing w:before="100" w:after="100" w:line="360" w:lineRule="auto"/>
        <w:jc w:val="left"/>
        <w:rPr>
          <w:rFonts w:eastAsia="楷体"/>
          <w:sz w:val="30"/>
          <w:szCs w:val="30"/>
        </w:rPr>
      </w:pPr>
      <w:r>
        <w:rPr>
          <w:rFonts w:eastAsia="楷体"/>
          <w:sz w:val="30"/>
          <w:szCs w:val="30"/>
        </w:rPr>
        <w:t>四、一般公共预算财政拨款“三公”经费支出决算情况说明</w:t>
      </w:r>
    </w:p>
    <w:p>
      <w:pPr>
        <w:widowControl/>
        <w:snapToGrid w:val="0"/>
        <w:spacing w:before="100" w:after="100" w:line="360" w:lineRule="auto"/>
        <w:jc w:val="left"/>
        <w:rPr>
          <w:rFonts w:eastAsia="黑体"/>
          <w:sz w:val="30"/>
          <w:szCs w:val="30"/>
        </w:rPr>
      </w:pPr>
      <w:r>
        <w:rPr>
          <w:rFonts w:eastAsia="黑体"/>
          <w:sz w:val="30"/>
          <w:szCs w:val="30"/>
        </w:rPr>
        <w:t>第四部分</w:t>
      </w:r>
      <w:r>
        <w:rPr>
          <w:rFonts w:eastAsia="楷体"/>
          <w:sz w:val="30"/>
          <w:szCs w:val="30"/>
        </w:rPr>
        <w:t xml:space="preserve">  </w:t>
      </w:r>
      <w:r>
        <w:rPr>
          <w:rFonts w:eastAsia="黑体"/>
          <w:sz w:val="30"/>
          <w:szCs w:val="30"/>
        </w:rPr>
        <w:t>其他重要事项及相关口径情况说明</w:t>
      </w:r>
    </w:p>
    <w:p>
      <w:pPr>
        <w:jc w:val="left"/>
        <w:rPr>
          <w:rFonts w:eastAsia="楷体"/>
          <w:sz w:val="30"/>
          <w:szCs w:val="30"/>
        </w:rPr>
      </w:pPr>
      <w:r>
        <w:rPr>
          <w:rFonts w:eastAsia="楷体"/>
          <w:sz w:val="30"/>
          <w:szCs w:val="30"/>
        </w:rPr>
        <w:t>一、机关运行经费支出情况</w:t>
      </w:r>
    </w:p>
    <w:p>
      <w:pPr>
        <w:jc w:val="left"/>
        <w:rPr>
          <w:rFonts w:eastAsia="楷体"/>
          <w:sz w:val="30"/>
          <w:szCs w:val="30"/>
        </w:rPr>
      </w:pPr>
      <w:r>
        <w:rPr>
          <w:rFonts w:eastAsia="楷体"/>
          <w:sz w:val="30"/>
          <w:szCs w:val="30"/>
        </w:rPr>
        <w:t>二、国有资产占用情况</w:t>
      </w:r>
    </w:p>
    <w:p>
      <w:pPr>
        <w:jc w:val="left"/>
        <w:rPr>
          <w:rFonts w:eastAsia="楷体"/>
          <w:sz w:val="30"/>
          <w:szCs w:val="30"/>
        </w:rPr>
      </w:pPr>
      <w:r>
        <w:rPr>
          <w:rFonts w:eastAsia="楷体"/>
          <w:sz w:val="30"/>
          <w:szCs w:val="30"/>
        </w:rPr>
        <w:t>三、政府采购支出情况</w:t>
      </w:r>
    </w:p>
    <w:p>
      <w:pPr>
        <w:jc w:val="left"/>
        <w:rPr>
          <w:rFonts w:eastAsia="楷体"/>
          <w:sz w:val="30"/>
          <w:szCs w:val="30"/>
        </w:rPr>
      </w:pPr>
      <w:r>
        <w:rPr>
          <w:rFonts w:eastAsia="楷体"/>
          <w:sz w:val="30"/>
          <w:szCs w:val="30"/>
        </w:rPr>
        <w:t>四、部门绩效自评情况</w:t>
      </w:r>
    </w:p>
    <w:p>
      <w:pPr>
        <w:jc w:val="left"/>
        <w:rPr>
          <w:rFonts w:eastAsia="楷体"/>
          <w:sz w:val="30"/>
          <w:szCs w:val="30"/>
        </w:rPr>
      </w:pPr>
      <w:r>
        <w:rPr>
          <w:rFonts w:eastAsia="楷体"/>
          <w:sz w:val="30"/>
          <w:szCs w:val="30"/>
        </w:rPr>
        <w:t>（一）项目支出绩效自评/项目支出绩效自评报告（表）</w:t>
      </w:r>
    </w:p>
    <w:p>
      <w:pPr>
        <w:jc w:val="left"/>
        <w:rPr>
          <w:rFonts w:eastAsia="楷体"/>
          <w:sz w:val="30"/>
          <w:szCs w:val="30"/>
        </w:rPr>
      </w:pPr>
      <w:r>
        <w:rPr>
          <w:rFonts w:eastAsia="楷体"/>
          <w:sz w:val="30"/>
          <w:szCs w:val="30"/>
        </w:rPr>
        <w:t>（二）部门整体支出绩效自评报告</w:t>
      </w:r>
    </w:p>
    <w:p>
      <w:pPr>
        <w:jc w:val="left"/>
        <w:rPr>
          <w:rFonts w:eastAsia="楷体"/>
          <w:sz w:val="30"/>
          <w:szCs w:val="30"/>
        </w:rPr>
      </w:pPr>
      <w:r>
        <w:rPr>
          <w:rFonts w:eastAsia="楷体"/>
          <w:sz w:val="30"/>
          <w:szCs w:val="30"/>
        </w:rPr>
        <w:t>（三）部门整体支出绩效自评表</w:t>
      </w:r>
    </w:p>
    <w:p>
      <w:pPr>
        <w:jc w:val="left"/>
        <w:rPr>
          <w:rFonts w:eastAsia="楷体"/>
          <w:sz w:val="30"/>
          <w:szCs w:val="30"/>
        </w:rPr>
      </w:pPr>
      <w:r>
        <w:rPr>
          <w:rFonts w:eastAsia="楷体"/>
          <w:sz w:val="30"/>
          <w:szCs w:val="30"/>
        </w:rPr>
        <w:t>五、其他重要事项情况说明</w:t>
      </w:r>
    </w:p>
    <w:p>
      <w:pPr>
        <w:jc w:val="left"/>
        <w:rPr>
          <w:rFonts w:eastAsia="楷体"/>
          <w:sz w:val="30"/>
          <w:szCs w:val="30"/>
        </w:rPr>
      </w:pPr>
      <w:r>
        <w:rPr>
          <w:rFonts w:eastAsia="楷体"/>
          <w:sz w:val="30"/>
          <w:szCs w:val="30"/>
        </w:rPr>
        <w:t>六、相关口径说明</w:t>
      </w:r>
    </w:p>
    <w:p>
      <w:pPr>
        <w:widowControl/>
        <w:snapToGrid w:val="0"/>
        <w:spacing w:before="100" w:after="100" w:line="360" w:lineRule="auto"/>
        <w:jc w:val="left"/>
        <w:rPr>
          <w:rFonts w:eastAsia="黑体"/>
          <w:sz w:val="30"/>
          <w:szCs w:val="30"/>
        </w:rPr>
      </w:pPr>
      <w:r>
        <w:rPr>
          <w:rFonts w:eastAsia="黑体"/>
          <w:sz w:val="30"/>
          <w:szCs w:val="30"/>
        </w:rPr>
        <w:t>第五部分  名词解释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rPr>
          <w:rFonts w:eastAsia="黑体"/>
          <w:sz w:val="32"/>
          <w:szCs w:val="32"/>
        </w:rPr>
      </w:pPr>
    </w:p>
    <w:p>
      <w:pPr>
        <w:jc w:val="center"/>
        <w:rPr>
          <w:rFonts w:eastAsia="黑体"/>
          <w:sz w:val="32"/>
          <w:szCs w:val="32"/>
        </w:rPr>
      </w:pPr>
    </w:p>
    <w:p>
      <w:pPr>
        <w:jc w:val="center"/>
        <w:rPr>
          <w:rFonts w:ascii="黑体" w:hAnsi="黑体" w:eastAsia="黑体"/>
          <w:sz w:val="36"/>
          <w:szCs w:val="36"/>
        </w:rPr>
      </w:pPr>
      <w:r>
        <w:rPr>
          <w:rFonts w:hint="eastAsia" w:ascii="黑体" w:hAnsi="黑体" w:eastAsia="黑体"/>
          <w:sz w:val="36"/>
          <w:szCs w:val="36"/>
        </w:rPr>
        <w:t>芒市疾病预防控制中心2019年度部门决算公开说明</w:t>
      </w:r>
    </w:p>
    <w:p>
      <w:pPr>
        <w:jc w:val="center"/>
        <w:rPr>
          <w:rFonts w:ascii="黑体" w:hAnsi="黑体" w:eastAsia="黑体"/>
          <w:sz w:val="32"/>
          <w:szCs w:val="32"/>
        </w:rPr>
      </w:pPr>
    </w:p>
    <w:p>
      <w:pPr>
        <w:jc w:val="left"/>
        <w:rPr>
          <w:rFonts w:ascii="黑体" w:hAnsi="黑体" w:eastAsia="黑体"/>
          <w:sz w:val="30"/>
          <w:szCs w:val="30"/>
        </w:rPr>
      </w:pPr>
      <w:r>
        <w:rPr>
          <w:rFonts w:hint="eastAsia" w:ascii="黑体" w:hAnsi="黑体" w:eastAsia="黑体"/>
          <w:sz w:val="30"/>
          <w:szCs w:val="30"/>
        </w:rPr>
        <w:t>第一部分  单位概况</w:t>
      </w:r>
    </w:p>
    <w:p>
      <w:pPr>
        <w:spacing w:line="240" w:lineRule="atLeast"/>
        <w:jc w:val="left"/>
        <w:rPr>
          <w:rFonts w:ascii="楷体" w:hAnsi="楷体" w:eastAsia="楷体"/>
          <w:sz w:val="30"/>
          <w:szCs w:val="30"/>
        </w:rPr>
      </w:pPr>
      <w:r>
        <w:rPr>
          <w:rFonts w:hint="eastAsia" w:ascii="楷体" w:hAnsi="楷体" w:eastAsia="楷体"/>
          <w:sz w:val="30"/>
          <w:szCs w:val="30"/>
        </w:rPr>
        <w:t>一、主要职能</w:t>
      </w:r>
    </w:p>
    <w:p>
      <w:pPr>
        <w:ind w:firstLine="560" w:firstLineChars="200"/>
        <w:rPr>
          <w:rStyle w:val="13"/>
          <w:rFonts w:hint="eastAsia" w:ascii="楷体" w:hAnsi="楷体" w:eastAsia="楷体" w:cs="仿宋"/>
          <w:color w:val="FF0000"/>
          <w:sz w:val="28"/>
          <w:szCs w:val="28"/>
        </w:rPr>
      </w:pPr>
      <w:r>
        <w:rPr>
          <w:rFonts w:hint="eastAsia" w:ascii="楷体" w:hAnsi="楷体" w:eastAsia="楷体" w:cs="仿宋"/>
          <w:kern w:val="0"/>
          <w:sz w:val="28"/>
          <w:szCs w:val="28"/>
        </w:rPr>
        <w:t>芒市疾病预防控制中心</w:t>
      </w:r>
      <w:r>
        <w:rPr>
          <w:rFonts w:hint="eastAsia" w:ascii="楷体" w:hAnsi="楷体" w:eastAsia="楷体" w:cs="仿宋"/>
          <w:sz w:val="28"/>
          <w:szCs w:val="28"/>
        </w:rPr>
        <w:t>承担全市疾病预防与控制、突发公共卫生事件应急处置、疫情及健康相关因素信息管理、健康危害因素监测与控制、实验室检测检验与评价、健康教育与健康促进、技术管理与应用研究指导等技术职能。</w:t>
      </w:r>
    </w:p>
    <w:p>
      <w:pPr>
        <w:widowControl/>
        <w:spacing w:line="360" w:lineRule="auto"/>
        <w:ind w:firstLine="560" w:firstLineChars="200"/>
        <w:jc w:val="left"/>
        <w:rPr>
          <w:rFonts w:hint="eastAsia" w:ascii="楷体" w:hAnsi="楷体" w:eastAsia="楷体" w:cs="仿宋"/>
          <w:sz w:val="30"/>
          <w:szCs w:val="30"/>
        </w:rPr>
      </w:pPr>
      <w:r>
        <w:rPr>
          <w:rFonts w:hint="eastAsia" w:ascii="楷体" w:hAnsi="楷体" w:eastAsia="楷体" w:cs="仿宋"/>
          <w:kern w:val="0"/>
          <w:sz w:val="28"/>
          <w:szCs w:val="28"/>
        </w:rPr>
        <w:t>芒市疾病预防控制中心始终贯彻“预防为主”的卫生工作方针，</w:t>
      </w:r>
      <w:r>
        <w:rPr>
          <w:rFonts w:hint="eastAsia" w:ascii="楷体" w:hAnsi="楷体" w:eastAsia="楷体" w:cs="仿宋"/>
          <w:sz w:val="28"/>
          <w:szCs w:val="28"/>
        </w:rPr>
        <w:t>坚持“重点地区、重点预防，重点疾病、重点防治，重点人群、重点保护”的原则，以艾滋病防治为首要任务，以鼠疫、霍乱、疟疾、结核病等重点疾病防治为重点，牢牢抓住免疫规划基础，全面开展各项预防控制工作，有效地控制了传染病的发生和流行，杜绝了重大疫情的发生，为我市的经济社会发展作出了贡献。</w:t>
      </w:r>
    </w:p>
    <w:p>
      <w:pPr>
        <w:spacing w:line="240" w:lineRule="atLeast"/>
        <w:jc w:val="left"/>
        <w:rPr>
          <w:rFonts w:ascii="楷体" w:hAnsi="楷体" w:eastAsia="楷体"/>
          <w:sz w:val="30"/>
          <w:szCs w:val="30"/>
        </w:rPr>
      </w:pPr>
      <w:r>
        <w:rPr>
          <w:rFonts w:hint="eastAsia" w:ascii="楷体" w:hAnsi="楷体" w:eastAsia="楷体"/>
          <w:sz w:val="30"/>
          <w:szCs w:val="30"/>
        </w:rPr>
        <w:t>二、部门基本情况</w:t>
      </w:r>
    </w:p>
    <w:p>
      <w:pPr>
        <w:spacing w:line="600" w:lineRule="exact"/>
        <w:ind w:firstLine="280" w:firstLineChars="100"/>
        <w:rPr>
          <w:rFonts w:hint="eastAsia" w:ascii="楷体" w:hAnsi="楷体" w:eastAsia="楷体" w:cs="仿宋"/>
          <w:sz w:val="30"/>
          <w:szCs w:val="30"/>
        </w:rPr>
      </w:pPr>
      <w:r>
        <w:rPr>
          <w:rFonts w:hint="eastAsia" w:ascii="楷体" w:hAnsi="楷体" w:eastAsia="楷体" w:cs="仿宋"/>
          <w:sz w:val="28"/>
          <w:szCs w:val="28"/>
        </w:rPr>
        <w:t>2019年部门决算编报的单位共1个，</w:t>
      </w:r>
      <w:r>
        <w:rPr>
          <w:rFonts w:hint="eastAsia" w:ascii="楷体" w:hAnsi="楷体" w:eastAsia="楷体" w:cs="仿宋"/>
          <w:kern w:val="0"/>
          <w:sz w:val="28"/>
          <w:szCs w:val="28"/>
        </w:rPr>
        <w:t>实有编制人数</w:t>
      </w:r>
      <w:r>
        <w:rPr>
          <w:rFonts w:hint="eastAsia" w:ascii="楷体" w:hAnsi="楷体" w:eastAsia="楷体" w:cs="仿宋"/>
          <w:sz w:val="28"/>
          <w:szCs w:val="28"/>
        </w:rPr>
        <w:t>59</w:t>
      </w:r>
      <w:r>
        <w:rPr>
          <w:rFonts w:hint="eastAsia" w:ascii="楷体" w:hAnsi="楷体" w:eastAsia="楷体" w:cs="仿宋"/>
          <w:kern w:val="0"/>
          <w:sz w:val="28"/>
          <w:szCs w:val="28"/>
        </w:rPr>
        <w:t>人，其中：在职职工58人，</w:t>
      </w:r>
      <w:r>
        <w:rPr>
          <w:rStyle w:val="13"/>
          <w:rFonts w:hint="eastAsia" w:ascii="楷体" w:hAnsi="楷体" w:eastAsia="楷体" w:cs="仿宋"/>
          <w:sz w:val="28"/>
          <w:szCs w:val="28"/>
        </w:rPr>
        <w:t>退休24人；车辆编制3辆</w:t>
      </w:r>
      <w:r>
        <w:rPr>
          <w:rFonts w:hint="eastAsia" w:ascii="楷体" w:hAnsi="楷体" w:eastAsia="楷体" w:cs="仿宋"/>
          <w:kern w:val="0"/>
          <w:sz w:val="28"/>
          <w:szCs w:val="28"/>
        </w:rPr>
        <w:t>，实有车辆</w:t>
      </w:r>
      <w:r>
        <w:rPr>
          <w:rFonts w:hint="eastAsia" w:ascii="楷体" w:hAnsi="楷体" w:eastAsia="楷体" w:cs="仿宋"/>
          <w:sz w:val="28"/>
          <w:szCs w:val="28"/>
        </w:rPr>
        <w:t>3</w:t>
      </w:r>
      <w:r>
        <w:rPr>
          <w:rFonts w:hint="eastAsia" w:ascii="楷体" w:hAnsi="楷体" w:eastAsia="楷体" w:cs="仿宋"/>
          <w:kern w:val="0"/>
          <w:sz w:val="28"/>
          <w:szCs w:val="28"/>
        </w:rPr>
        <w:t>辆。</w:t>
      </w:r>
    </w:p>
    <w:p>
      <w:pPr>
        <w:spacing w:line="600" w:lineRule="exact"/>
        <w:ind w:firstLine="300" w:firstLineChars="100"/>
        <w:rPr>
          <w:rFonts w:hint="eastAsia" w:ascii="楷体" w:hAnsi="楷体" w:eastAsia="楷体" w:cs="仿宋"/>
          <w:sz w:val="30"/>
          <w:szCs w:val="30"/>
        </w:rPr>
      </w:pPr>
    </w:p>
    <w:p>
      <w:pPr>
        <w:jc w:val="left"/>
        <w:rPr>
          <w:rFonts w:ascii="黑体" w:hAnsi="黑体" w:eastAsia="黑体"/>
          <w:sz w:val="30"/>
          <w:szCs w:val="30"/>
        </w:rPr>
      </w:pPr>
      <w:r>
        <w:rPr>
          <w:rFonts w:hint="eastAsia" w:ascii="黑体" w:hAnsi="黑体" w:eastAsia="黑体"/>
          <w:sz w:val="30"/>
          <w:szCs w:val="30"/>
        </w:rPr>
        <w:t>第二部分  2019年度部门决算表</w:t>
      </w:r>
    </w:p>
    <w:p>
      <w:pPr>
        <w:jc w:val="left"/>
        <w:rPr>
          <w:rFonts w:ascii="黑体" w:hAnsi="黑体" w:eastAsia="黑体"/>
          <w:sz w:val="30"/>
          <w:szCs w:val="30"/>
        </w:rPr>
      </w:pPr>
      <w:r>
        <w:rPr>
          <w:rFonts w:hint="eastAsia" w:ascii="黑体" w:hAnsi="黑体" w:eastAsia="黑体"/>
          <w:sz w:val="30"/>
          <w:szCs w:val="30"/>
        </w:rPr>
        <w:t xml:space="preserve">         （详见附件）</w:t>
      </w:r>
    </w:p>
    <w:p>
      <w:pPr>
        <w:jc w:val="left"/>
        <w:rPr>
          <w:rFonts w:hint="eastAsia" w:ascii="仿宋_GB2312" w:hAnsi="仿宋" w:eastAsia="仿宋_GB2312" w:cs="仿宋"/>
          <w:b/>
          <w:bCs/>
          <w:sz w:val="30"/>
          <w:szCs w:val="30"/>
        </w:rPr>
      </w:pPr>
      <w:r>
        <w:rPr>
          <w:rFonts w:hint="eastAsia" w:ascii="仿宋_GB2312" w:hAnsi="黑体" w:eastAsia="仿宋_GB2312"/>
          <w:b/>
          <w:sz w:val="30"/>
          <w:szCs w:val="30"/>
        </w:rPr>
        <w:t xml:space="preserve">第三部分  </w:t>
      </w:r>
      <w:r>
        <w:rPr>
          <w:rFonts w:hint="eastAsia" w:ascii="仿宋_GB2312" w:hAnsi="仿宋" w:eastAsia="仿宋_GB2312" w:cs="仿宋"/>
          <w:b/>
          <w:bCs/>
          <w:sz w:val="30"/>
          <w:szCs w:val="30"/>
        </w:rPr>
        <w:t>2019年度部门决算情况说明</w:t>
      </w:r>
    </w:p>
    <w:p>
      <w:pPr>
        <w:jc w:val="left"/>
        <w:rPr>
          <w:rFonts w:hint="eastAsia" w:ascii="楷体" w:hAnsi="楷体" w:eastAsia="楷体"/>
          <w:sz w:val="30"/>
          <w:szCs w:val="30"/>
        </w:rPr>
      </w:pPr>
      <w:r>
        <w:rPr>
          <w:rFonts w:hint="eastAsia" w:ascii="楷体" w:hAnsi="楷体" w:eastAsia="楷体"/>
          <w:sz w:val="30"/>
          <w:szCs w:val="30"/>
        </w:rPr>
        <w:t>一、收入决算情况说明</w:t>
      </w:r>
    </w:p>
    <w:p>
      <w:pPr>
        <w:jc w:val="left"/>
        <w:rPr>
          <w:rFonts w:hint="eastAsia" w:ascii="楷体" w:hAnsi="楷体" w:eastAsia="楷体" w:cs="仿宋"/>
          <w:sz w:val="28"/>
          <w:szCs w:val="28"/>
        </w:rPr>
      </w:pPr>
      <w:r>
        <w:rPr>
          <w:rFonts w:hint="eastAsia" w:ascii="楷体" w:hAnsi="楷体" w:eastAsia="楷体" w:cs="仿宋"/>
          <w:sz w:val="28"/>
          <w:szCs w:val="28"/>
        </w:rPr>
        <w:t xml:space="preserve">  2019年芒市疾病预防控制中心决算总收入</w:t>
      </w:r>
      <w:r>
        <w:rPr>
          <w:rFonts w:hint="eastAsia" w:ascii="楷体" w:hAnsi="楷体" w:eastAsia="楷体" w:cs="Arial"/>
          <w:color w:val="000000"/>
          <w:kern w:val="0"/>
          <w:sz w:val="28"/>
          <w:szCs w:val="28"/>
        </w:rPr>
        <w:t>1,960.90万</w:t>
      </w:r>
      <w:r>
        <w:rPr>
          <w:rFonts w:hint="eastAsia" w:ascii="楷体" w:hAnsi="楷体" w:eastAsia="楷体" w:cs="仿宋"/>
          <w:sz w:val="28"/>
          <w:szCs w:val="28"/>
        </w:rPr>
        <w:t>元，其中财政补助收入1053.78万元；占总收入的53.74%，事业收入733.24万元；占总收入的37.39%；其他收入173.88万元，占总收入的8.87%。</w:t>
      </w:r>
    </w:p>
    <w:tbl>
      <w:tblPr>
        <w:tblStyle w:val="10"/>
        <w:tblW w:w="81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364"/>
        <w:gridCol w:w="1320"/>
        <w:gridCol w:w="1393"/>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160" w:type="dxa"/>
            <w:gridSpan w:val="5"/>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收入与上年度对比（万元）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22"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eastAsia="zh-CN"/>
              </w:rPr>
              <w:t>项目</w:t>
            </w:r>
          </w:p>
        </w:tc>
        <w:tc>
          <w:tcPr>
            <w:tcW w:w="1364"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2018年</w:t>
            </w:r>
          </w:p>
        </w:tc>
        <w:tc>
          <w:tcPr>
            <w:tcW w:w="1320"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2019年</w:t>
            </w:r>
          </w:p>
        </w:tc>
        <w:tc>
          <w:tcPr>
            <w:tcW w:w="1393"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增减数</w:t>
            </w:r>
          </w:p>
        </w:tc>
        <w:tc>
          <w:tcPr>
            <w:tcW w:w="3161"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b/>
                <w:bCs/>
                <w:sz w:val="21"/>
                <w:szCs w:val="21"/>
                <w:vertAlign w:val="baseline"/>
                <w:lang w:eastAsia="zh-CN"/>
              </w:rPr>
              <w:t>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财政拨款收入</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1328.76</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right"/>
              <w:textAlignment w:val="auto"/>
              <w:outlineLvl w:val="9"/>
              <w:rPr>
                <w:rFonts w:hint="default" w:cs="Times New Roman"/>
                <w:sz w:val="21"/>
                <w:szCs w:val="21"/>
                <w:vertAlign w:val="baseline"/>
                <w:lang w:val="en-US" w:eastAsia="zh-CN"/>
              </w:rPr>
            </w:pPr>
            <w:r>
              <w:rPr>
                <w:rFonts w:hint="eastAsia" w:cs="Times New Roman"/>
                <w:sz w:val="21"/>
                <w:szCs w:val="21"/>
                <w:vertAlign w:val="baseline"/>
                <w:lang w:val="en-US" w:eastAsia="zh-CN"/>
              </w:rPr>
              <w:t>1053.78</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r>
              <w:rPr>
                <w:rFonts w:hint="eastAsia" w:cs="Times New Roman"/>
                <w:sz w:val="21"/>
                <w:szCs w:val="21"/>
                <w:vertAlign w:val="baseline"/>
                <w:lang w:val="en-US" w:eastAsia="zh-CN"/>
              </w:rPr>
              <w:t>274.98</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left"/>
              <w:textAlignment w:val="auto"/>
              <w:outlineLvl w:val="9"/>
              <w:rPr>
                <w:rFonts w:hint="eastAsia" w:ascii="Times New Roman" w:hAnsi="Times New Roman" w:eastAsia="宋体" w:cs="Times New Roman"/>
                <w:sz w:val="18"/>
                <w:szCs w:val="18"/>
                <w:vertAlign w:val="baseline"/>
                <w:lang w:val="en-US" w:eastAsia="zh-CN"/>
              </w:rPr>
            </w:pPr>
            <w:r>
              <w:rPr>
                <w:rFonts w:hint="eastAsia" w:cs="Times New Roman"/>
                <w:sz w:val="18"/>
                <w:szCs w:val="18"/>
                <w:vertAlign w:val="baseline"/>
                <w:lang w:val="en-US" w:eastAsia="zh-CN"/>
              </w:rPr>
              <w:t>因本年部分项目经费未及时下拨。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事业收入</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0</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733.24</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733.24</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left"/>
              <w:textAlignment w:val="auto"/>
              <w:outlineLvl w:val="9"/>
              <w:rPr>
                <w:rFonts w:hint="default" w:ascii="Times New Roman" w:hAnsi="Times New Roman" w:eastAsia="宋体" w:cs="Times New Roman"/>
                <w:sz w:val="21"/>
                <w:szCs w:val="21"/>
                <w:vertAlign w:val="baseline"/>
                <w:lang w:eastAsia="zh-CN"/>
              </w:rPr>
            </w:pPr>
            <w:r>
              <w:rPr>
                <w:rFonts w:hint="eastAsia" w:cs="Times New Roman"/>
                <w:sz w:val="18"/>
                <w:szCs w:val="18"/>
                <w:vertAlign w:val="baseline"/>
                <w:lang w:eastAsia="zh-CN"/>
              </w:rPr>
              <w:t>因</w:t>
            </w:r>
            <w:r>
              <w:rPr>
                <w:rFonts w:hint="eastAsia" w:cs="Times New Roman"/>
                <w:sz w:val="18"/>
                <w:szCs w:val="18"/>
                <w:vertAlign w:val="baseline"/>
                <w:lang w:val="en-US" w:eastAsia="zh-CN"/>
              </w:rPr>
              <w:t>2018年项目经费未纳入事业收入科目核算，2019纳入事业收入科目核算，所以造成增加数大。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其他收入</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53.31</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173.88</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120.57</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left"/>
              <w:textAlignment w:val="auto"/>
              <w:outlineLvl w:val="9"/>
              <w:rPr>
                <w:rFonts w:hint="eastAsia" w:ascii="Times New Roman" w:hAnsi="Times New Roman" w:eastAsia="宋体" w:cs="Times New Roman"/>
                <w:sz w:val="21"/>
                <w:szCs w:val="21"/>
                <w:vertAlign w:val="baseline"/>
                <w:lang w:val="en-US" w:eastAsia="zh-CN"/>
              </w:rPr>
            </w:pPr>
            <w:r>
              <w:rPr>
                <w:rFonts w:hint="eastAsia" w:cs="Times New Roman"/>
                <w:sz w:val="18"/>
                <w:szCs w:val="18"/>
                <w:vertAlign w:val="baseline"/>
                <w:lang w:val="en-US" w:eastAsia="zh-CN"/>
              </w:rPr>
              <w:t>因调整2019年会计核算方法导致。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合计</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eastAsia" w:cs="Times New Roman"/>
                <w:b/>
                <w:bCs/>
                <w:sz w:val="21"/>
                <w:szCs w:val="21"/>
                <w:vertAlign w:val="baseline"/>
                <w:lang w:val="en-US" w:eastAsia="zh-CN"/>
              </w:rPr>
              <w:t>1382.07</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eastAsia" w:cs="Times New Roman"/>
                <w:b/>
                <w:bCs/>
                <w:sz w:val="21"/>
                <w:szCs w:val="21"/>
                <w:vertAlign w:val="baseline"/>
                <w:lang w:val="en-US" w:eastAsia="zh-CN"/>
              </w:rPr>
              <w:t>1960.90</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eastAsia" w:cs="Times New Roman"/>
                <w:b/>
                <w:bCs/>
                <w:sz w:val="21"/>
                <w:szCs w:val="21"/>
                <w:vertAlign w:val="baseline"/>
                <w:lang w:val="en-US" w:eastAsia="zh-CN"/>
              </w:rPr>
              <w:t>57.82</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rPr>
            </w:pPr>
          </w:p>
        </w:tc>
      </w:tr>
    </w:tbl>
    <w:p>
      <w:pPr>
        <w:jc w:val="left"/>
        <w:rPr>
          <w:rFonts w:hint="eastAsia" w:ascii="楷体" w:hAnsi="楷体" w:eastAsia="楷体" w:cs="Arial"/>
          <w:color w:val="000000"/>
          <w:kern w:val="0"/>
          <w:sz w:val="28"/>
          <w:szCs w:val="28"/>
        </w:rPr>
      </w:pPr>
    </w:p>
    <w:p>
      <w:pPr>
        <w:jc w:val="left"/>
        <w:rPr>
          <w:rFonts w:hint="eastAsia" w:ascii="楷体" w:hAnsi="楷体" w:eastAsia="楷体" w:cs="Arial"/>
          <w:color w:val="000000"/>
          <w:kern w:val="0"/>
          <w:sz w:val="28"/>
          <w:szCs w:val="28"/>
        </w:rPr>
      </w:pPr>
      <w:r>
        <w:rPr>
          <w:rFonts w:hint="eastAsia" w:ascii="楷体" w:hAnsi="楷体" w:eastAsia="楷体" w:cs="Arial"/>
          <w:color w:val="000000"/>
          <w:kern w:val="0"/>
          <w:sz w:val="28"/>
          <w:szCs w:val="28"/>
        </w:rPr>
        <w:drawing>
          <wp:inline distT="0" distB="0" distL="0" distR="0">
            <wp:extent cx="5089525" cy="252539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hint="eastAsia" w:ascii="楷体" w:hAnsi="楷体" w:eastAsia="楷体"/>
          <w:sz w:val="28"/>
          <w:szCs w:val="28"/>
        </w:rPr>
      </w:pPr>
    </w:p>
    <w:p>
      <w:pPr>
        <w:jc w:val="left"/>
        <w:rPr>
          <w:rFonts w:hint="eastAsia" w:ascii="楷体" w:hAnsi="楷体" w:eastAsia="楷体"/>
          <w:sz w:val="28"/>
          <w:szCs w:val="28"/>
        </w:rPr>
      </w:pPr>
      <w:r>
        <w:rPr>
          <w:rFonts w:hint="eastAsia" w:ascii="楷体" w:hAnsi="楷体" w:eastAsia="楷体"/>
          <w:sz w:val="28"/>
          <w:szCs w:val="28"/>
        </w:rPr>
        <w:t>二、支出决算情况说明</w:t>
      </w:r>
    </w:p>
    <w:p>
      <w:pPr>
        <w:jc w:val="left"/>
        <w:rPr>
          <w:rFonts w:hint="eastAsia" w:ascii="楷体" w:hAnsi="楷体" w:eastAsia="楷体" w:cs="仿宋"/>
          <w:kern w:val="0"/>
          <w:sz w:val="28"/>
          <w:szCs w:val="28"/>
        </w:rPr>
      </w:pPr>
      <w:r>
        <w:rPr>
          <w:rFonts w:hint="eastAsia" w:ascii="楷体" w:hAnsi="楷体" w:eastAsia="楷体" w:cs="仿宋"/>
          <w:kern w:val="0"/>
          <w:sz w:val="28"/>
          <w:szCs w:val="28"/>
        </w:rPr>
        <w:t xml:space="preserve">  部门决算总支出</w:t>
      </w:r>
      <w:r>
        <w:rPr>
          <w:rFonts w:hint="eastAsia" w:ascii="楷体" w:hAnsi="楷体" w:eastAsia="楷体" w:cs="Arial"/>
          <w:color w:val="000000"/>
          <w:kern w:val="0"/>
          <w:sz w:val="28"/>
          <w:szCs w:val="28"/>
        </w:rPr>
        <w:t>1,871.90</w:t>
      </w:r>
      <w:r>
        <w:rPr>
          <w:rFonts w:hint="eastAsia" w:ascii="楷体" w:hAnsi="楷体" w:eastAsia="楷体" w:cs="仿宋"/>
          <w:sz w:val="28"/>
          <w:szCs w:val="28"/>
        </w:rPr>
        <w:t>万元，其中：</w:t>
      </w:r>
      <w:r>
        <w:rPr>
          <w:rFonts w:hint="eastAsia" w:ascii="楷体" w:hAnsi="楷体" w:eastAsia="楷体" w:cs="仿宋"/>
          <w:kern w:val="0"/>
          <w:sz w:val="28"/>
          <w:szCs w:val="28"/>
        </w:rPr>
        <w:t>基本支出</w:t>
      </w:r>
      <w:r>
        <w:rPr>
          <w:rFonts w:hint="eastAsia" w:ascii="楷体" w:hAnsi="楷体" w:eastAsia="楷体" w:cs="Arial"/>
          <w:color w:val="000000"/>
          <w:kern w:val="0"/>
          <w:sz w:val="28"/>
          <w:szCs w:val="28"/>
        </w:rPr>
        <w:t>899.55万</w:t>
      </w:r>
      <w:r>
        <w:rPr>
          <w:rFonts w:hint="eastAsia" w:ascii="楷体" w:hAnsi="楷体" w:eastAsia="楷体" w:cs="仿宋"/>
          <w:kern w:val="0"/>
          <w:sz w:val="28"/>
          <w:szCs w:val="28"/>
        </w:rPr>
        <w:t>元，占总支出的</w:t>
      </w:r>
      <w:r>
        <w:rPr>
          <w:rFonts w:hint="eastAsia" w:ascii="楷体" w:hAnsi="楷体" w:eastAsia="楷体" w:cs="仿宋"/>
          <w:sz w:val="28"/>
          <w:szCs w:val="28"/>
        </w:rPr>
        <w:t>48.06</w:t>
      </w:r>
      <w:r>
        <w:rPr>
          <w:rFonts w:hint="eastAsia" w:ascii="楷体" w:hAnsi="楷体" w:eastAsia="楷体" w:cs="仿宋"/>
          <w:kern w:val="0"/>
          <w:sz w:val="28"/>
          <w:szCs w:val="28"/>
        </w:rPr>
        <w:t>％；项目支出</w:t>
      </w:r>
      <w:r>
        <w:rPr>
          <w:rFonts w:hint="eastAsia" w:ascii="楷体" w:hAnsi="楷体" w:eastAsia="楷体" w:cs="Arial"/>
          <w:color w:val="000000"/>
          <w:kern w:val="0"/>
          <w:sz w:val="28"/>
          <w:szCs w:val="28"/>
        </w:rPr>
        <w:t>972.35万</w:t>
      </w:r>
      <w:r>
        <w:rPr>
          <w:rFonts w:hint="eastAsia" w:ascii="楷体" w:hAnsi="楷体" w:eastAsia="楷体" w:cs="仿宋"/>
          <w:kern w:val="0"/>
          <w:sz w:val="28"/>
          <w:szCs w:val="28"/>
        </w:rPr>
        <w:t>元，占总支出的</w:t>
      </w:r>
      <w:r>
        <w:rPr>
          <w:rFonts w:hint="eastAsia" w:ascii="楷体" w:hAnsi="楷体" w:eastAsia="楷体" w:cs="仿宋"/>
          <w:sz w:val="28"/>
          <w:szCs w:val="28"/>
        </w:rPr>
        <w:t>51.94</w:t>
      </w:r>
      <w:r>
        <w:rPr>
          <w:rFonts w:hint="eastAsia" w:ascii="楷体" w:hAnsi="楷体" w:eastAsia="楷体" w:cs="仿宋"/>
          <w:kern w:val="0"/>
          <w:sz w:val="28"/>
          <w:szCs w:val="28"/>
        </w:rPr>
        <w:t>％；上缴上级支出、经营支出、对附属单位补助支出共</w:t>
      </w:r>
      <w:r>
        <w:rPr>
          <w:rFonts w:hint="eastAsia" w:ascii="楷体" w:hAnsi="楷体" w:eastAsia="楷体" w:cs="仿宋"/>
          <w:sz w:val="28"/>
          <w:szCs w:val="28"/>
        </w:rPr>
        <w:t>0</w:t>
      </w:r>
      <w:r>
        <w:rPr>
          <w:rFonts w:hint="eastAsia" w:ascii="楷体" w:hAnsi="楷体" w:eastAsia="楷体" w:cs="仿宋"/>
          <w:kern w:val="0"/>
          <w:sz w:val="28"/>
          <w:szCs w:val="28"/>
        </w:rPr>
        <w:t>元，占总支出的</w:t>
      </w:r>
      <w:r>
        <w:rPr>
          <w:rFonts w:hint="eastAsia" w:ascii="楷体" w:hAnsi="楷体" w:eastAsia="楷体" w:cs="仿宋"/>
          <w:sz w:val="28"/>
          <w:szCs w:val="28"/>
        </w:rPr>
        <w:t>0</w:t>
      </w:r>
      <w:r>
        <w:rPr>
          <w:rFonts w:hint="eastAsia" w:ascii="楷体" w:hAnsi="楷体" w:eastAsia="楷体" w:cs="仿宋"/>
          <w:kern w:val="0"/>
          <w:sz w:val="28"/>
          <w:szCs w:val="28"/>
        </w:rPr>
        <w:t>％。</w:t>
      </w:r>
    </w:p>
    <w:p>
      <w:pPr>
        <w:jc w:val="left"/>
        <w:rPr>
          <w:rFonts w:hint="eastAsia" w:ascii="楷体" w:hAnsi="楷体" w:eastAsia="楷体" w:cs="仿宋"/>
          <w:kern w:val="0"/>
          <w:sz w:val="28"/>
          <w:szCs w:val="28"/>
        </w:rPr>
      </w:pPr>
    </w:p>
    <w:tbl>
      <w:tblPr>
        <w:tblStyle w:val="10"/>
        <w:tblW w:w="81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364"/>
        <w:gridCol w:w="1320"/>
        <w:gridCol w:w="1393"/>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160" w:type="dxa"/>
            <w:gridSpan w:val="5"/>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支出与上年度对比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22"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eastAsia="zh-CN"/>
              </w:rPr>
              <w:t>项目</w:t>
            </w:r>
          </w:p>
        </w:tc>
        <w:tc>
          <w:tcPr>
            <w:tcW w:w="1364"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2018年</w:t>
            </w:r>
          </w:p>
        </w:tc>
        <w:tc>
          <w:tcPr>
            <w:tcW w:w="1320"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2019年</w:t>
            </w:r>
          </w:p>
        </w:tc>
        <w:tc>
          <w:tcPr>
            <w:tcW w:w="1393"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增减数</w:t>
            </w:r>
          </w:p>
        </w:tc>
        <w:tc>
          <w:tcPr>
            <w:tcW w:w="3161"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b/>
                <w:bCs/>
                <w:sz w:val="21"/>
                <w:szCs w:val="21"/>
                <w:vertAlign w:val="baseline"/>
                <w:lang w:eastAsia="zh-CN"/>
              </w:rPr>
              <w:t>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18"/>
                <w:szCs w:val="18"/>
                <w:vertAlign w:val="baseline"/>
                <w:lang w:val="en-US" w:eastAsia="zh-CN"/>
              </w:rPr>
              <w:t>基本支出</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1010.95</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899.55</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r>
              <w:rPr>
                <w:rFonts w:hint="eastAsia" w:cs="Times New Roman"/>
                <w:sz w:val="21"/>
                <w:szCs w:val="21"/>
                <w:vertAlign w:val="baseline"/>
                <w:lang w:val="en-US" w:eastAsia="zh-CN"/>
              </w:rPr>
              <w:t>111.4</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18"/>
                <w:szCs w:val="18"/>
                <w:vertAlign w:val="baseline"/>
                <w:lang w:val="en-US" w:eastAsia="zh-CN"/>
              </w:rPr>
              <w:t>2018年</w:t>
            </w:r>
            <w:r>
              <w:rPr>
                <w:rFonts w:hint="eastAsia" w:cs="Times New Roman"/>
                <w:sz w:val="18"/>
                <w:szCs w:val="18"/>
                <w:vertAlign w:val="baseline"/>
                <w:lang w:val="en-US" w:eastAsia="zh-CN"/>
              </w:rPr>
              <w:t>科室下乡及业务量比2019年多及严格控制公用经费开支。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18"/>
                <w:szCs w:val="18"/>
                <w:vertAlign w:val="baseline"/>
                <w:lang w:val="en-US" w:eastAsia="zh-CN"/>
              </w:rPr>
              <w:t>项目支出</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371.11</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972.35</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601.24</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18"/>
                <w:szCs w:val="18"/>
                <w:vertAlign w:val="baseline"/>
                <w:lang w:val="en-US" w:eastAsia="zh-CN"/>
              </w:rPr>
              <w:t>201</w:t>
            </w:r>
            <w:r>
              <w:rPr>
                <w:rFonts w:hint="eastAsia" w:cs="Times New Roman"/>
                <w:sz w:val="18"/>
                <w:szCs w:val="18"/>
                <w:vertAlign w:val="baseline"/>
                <w:lang w:val="en-US" w:eastAsia="zh-CN"/>
              </w:rPr>
              <w:t>9年项目工作开展工作多，业务量大，项目经费使用多</w:t>
            </w:r>
            <w:r>
              <w:rPr>
                <w:rFonts w:hint="default" w:ascii="Times New Roman" w:hAnsi="Times New Roman" w:eastAsia="宋体" w:cs="Times New Roman"/>
                <w:sz w:val="18"/>
                <w:szCs w:val="1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160" w:lineRule="exact"/>
              <w:ind w:left="0" w:leftChars="0" w:right="0" w:rightChars="0" w:firstLine="0" w:firstLineChars="0"/>
              <w:jc w:val="both"/>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15"/>
                <w:szCs w:val="15"/>
                <w:vertAlign w:val="baseline"/>
                <w:lang w:val="en-US" w:eastAsia="zh-CN"/>
              </w:rPr>
              <w:t>上缴上级支出、经营支出、对附属单位补助支出</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0.00</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0.00</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default" w:ascii="Times New Roman" w:hAnsi="Times New Roman" w:eastAsia="宋体"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合计</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eastAsia" w:cs="Times New Roman"/>
                <w:b/>
                <w:bCs/>
                <w:sz w:val="21"/>
                <w:szCs w:val="21"/>
                <w:vertAlign w:val="baseline"/>
                <w:lang w:val="en-US" w:eastAsia="zh-CN"/>
              </w:rPr>
              <w:t>1382.06</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eastAsia" w:cs="Times New Roman"/>
                <w:b/>
                <w:bCs/>
                <w:sz w:val="21"/>
                <w:szCs w:val="21"/>
                <w:vertAlign w:val="baseline"/>
                <w:lang w:val="en-US" w:eastAsia="zh-CN"/>
              </w:rPr>
              <w:t>1871.90</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eastAsia" w:cs="Times New Roman"/>
                <w:sz w:val="21"/>
                <w:szCs w:val="21"/>
                <w:vertAlign w:val="baseline"/>
                <w:lang w:val="en-US" w:eastAsia="zh-CN"/>
              </w:rPr>
              <w:t>489.84</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rPr>
            </w:pPr>
          </w:p>
        </w:tc>
      </w:tr>
    </w:tbl>
    <w:p>
      <w:pPr>
        <w:jc w:val="left"/>
        <w:rPr>
          <w:rFonts w:hint="eastAsia" w:ascii="楷体" w:hAnsi="楷体" w:eastAsia="楷体" w:cs="仿宋"/>
          <w:kern w:val="0"/>
          <w:sz w:val="28"/>
          <w:szCs w:val="28"/>
        </w:rPr>
      </w:pPr>
    </w:p>
    <w:p>
      <w:pPr>
        <w:widowControl/>
        <w:numPr>
          <w:ilvl w:val="0"/>
          <w:numId w:val="1"/>
        </w:numPr>
        <w:snapToGrid w:val="0"/>
        <w:spacing w:before="100" w:after="100" w:line="600" w:lineRule="exact"/>
        <w:ind w:firstLine="560" w:firstLineChars="200"/>
        <w:jc w:val="left"/>
        <w:rPr>
          <w:rFonts w:hint="eastAsia" w:ascii="楷体" w:hAnsi="楷体" w:eastAsia="楷体" w:cs="仿宋"/>
          <w:sz w:val="28"/>
          <w:szCs w:val="28"/>
        </w:rPr>
      </w:pPr>
      <w:r>
        <w:rPr>
          <w:rFonts w:hint="eastAsia" w:ascii="楷体" w:hAnsi="楷体" w:eastAsia="楷体" w:cs="仿宋"/>
          <w:bCs/>
          <w:sz w:val="28"/>
          <w:szCs w:val="28"/>
        </w:rPr>
        <w:t>基本支出情况</w:t>
      </w:r>
      <w:r>
        <w:rPr>
          <w:rFonts w:hint="eastAsia" w:ascii="楷体" w:hAnsi="楷体" w:eastAsia="楷体" w:cs="仿宋"/>
          <w:sz w:val="28"/>
          <w:szCs w:val="28"/>
        </w:rPr>
        <w:t>：2019年用于保障机构正常运转的日常支出899.55万元。与上年对比减少111.40万元，减少11.02%。原因是严格按照相关制度执行公用经费的开支。包括基本工资，津贴补贴等人员经费、支出占总支出的93.71％；办公经费、印刷费、水电费、汽燃费、办公设备购置等日常公用经费占总支出的6.30％。</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240" w:lineRule="auto"/>
        <w:ind w:left="0" w:leftChars="0" w:right="0" w:rightChars="0" w:firstLine="0" w:firstLineChars="0"/>
        <w:jc w:val="left"/>
        <w:textAlignment w:val="auto"/>
        <w:outlineLvl w:val="9"/>
        <w:rPr>
          <w:rFonts w:hint="eastAsia" w:ascii="楷体" w:hAnsi="楷体" w:eastAsia="楷体" w:cs="仿宋"/>
          <w:sz w:val="28"/>
          <w:szCs w:val="28"/>
          <w:lang w:eastAsia="zh-CN"/>
        </w:rPr>
      </w:pPr>
      <w:r>
        <w:rPr>
          <w:rFonts w:hint="eastAsia" w:ascii="楷体" w:hAnsi="楷体" w:eastAsia="楷体" w:cs="仿宋"/>
          <w:sz w:val="28"/>
          <w:szCs w:val="28"/>
          <w:lang w:eastAsia="zh-CN"/>
        </w:rPr>
        <w:drawing>
          <wp:inline distT="0" distB="0" distL="114300" distR="114300">
            <wp:extent cx="4537075" cy="3258185"/>
            <wp:effectExtent l="0" t="0" r="15875" b="1841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widowControl/>
        <w:snapToGrid w:val="0"/>
        <w:spacing w:before="100" w:after="100" w:line="600" w:lineRule="exact"/>
        <w:jc w:val="left"/>
        <w:rPr>
          <w:rFonts w:hint="eastAsia" w:ascii="楷体" w:hAnsi="楷体" w:eastAsia="楷体" w:cs="楷体"/>
          <w:sz w:val="28"/>
          <w:szCs w:val="28"/>
        </w:rPr>
      </w:pPr>
      <w:r>
        <w:rPr>
          <w:rFonts w:hint="eastAsia" w:ascii="楷体" w:hAnsi="楷体" w:eastAsia="楷体" w:cs="仿宋"/>
          <w:bCs/>
          <w:sz w:val="28"/>
          <w:szCs w:val="28"/>
        </w:rPr>
        <w:t xml:space="preserve"> （二）</w:t>
      </w:r>
      <w:r>
        <w:rPr>
          <w:rFonts w:hint="eastAsia" w:ascii="楷体" w:hAnsi="楷体" w:eastAsia="楷体" w:cs="楷体"/>
          <w:bCs/>
          <w:sz w:val="28"/>
          <w:szCs w:val="28"/>
        </w:rPr>
        <w:t>项目支出情况</w:t>
      </w:r>
      <w:r>
        <w:rPr>
          <w:rFonts w:hint="eastAsia" w:ascii="楷体" w:hAnsi="楷体" w:eastAsia="楷体" w:cs="楷体"/>
          <w:sz w:val="28"/>
          <w:szCs w:val="28"/>
        </w:rPr>
        <w:t>：2019年用于保障机构正常运转的日常支出</w:t>
      </w:r>
      <w:r>
        <w:rPr>
          <w:rFonts w:hint="eastAsia" w:ascii="楷体" w:hAnsi="楷体" w:eastAsia="楷体" w:cs="楷体"/>
          <w:sz w:val="28"/>
          <w:szCs w:val="28"/>
          <w:lang w:val="en-US" w:eastAsia="zh-CN"/>
        </w:rPr>
        <w:t>972.34</w:t>
      </w:r>
      <w:r>
        <w:rPr>
          <w:rFonts w:hint="eastAsia" w:ascii="楷体" w:hAnsi="楷体" w:eastAsia="楷体" w:cs="楷体"/>
          <w:sz w:val="28"/>
          <w:szCs w:val="28"/>
        </w:rPr>
        <w:t>万元。与上年对比</w:t>
      </w:r>
      <w:r>
        <w:rPr>
          <w:rFonts w:hint="eastAsia" w:ascii="楷体" w:hAnsi="楷体" w:eastAsia="楷体" w:cs="楷体"/>
          <w:sz w:val="28"/>
          <w:szCs w:val="28"/>
          <w:lang w:eastAsia="zh-CN"/>
        </w:rPr>
        <w:t>增加</w:t>
      </w:r>
      <w:r>
        <w:rPr>
          <w:rFonts w:hint="eastAsia" w:ascii="楷体" w:hAnsi="楷体" w:eastAsia="楷体" w:cs="楷体"/>
          <w:sz w:val="28"/>
          <w:szCs w:val="28"/>
          <w:lang w:val="en-US" w:eastAsia="zh-CN"/>
        </w:rPr>
        <w:t>601.24</w:t>
      </w:r>
      <w:r>
        <w:rPr>
          <w:rFonts w:hint="eastAsia" w:ascii="楷体" w:hAnsi="楷体" w:eastAsia="楷体" w:cs="楷体"/>
          <w:sz w:val="28"/>
          <w:szCs w:val="28"/>
        </w:rPr>
        <w:t>万元，</w:t>
      </w:r>
      <w:r>
        <w:rPr>
          <w:rFonts w:hint="eastAsia" w:ascii="楷体" w:hAnsi="楷体" w:eastAsia="楷体" w:cs="楷体"/>
          <w:sz w:val="28"/>
          <w:szCs w:val="28"/>
          <w:lang w:eastAsia="zh-CN"/>
        </w:rPr>
        <w:t>增加</w:t>
      </w:r>
      <w:r>
        <w:rPr>
          <w:rFonts w:hint="eastAsia" w:ascii="楷体" w:hAnsi="楷体" w:eastAsia="楷体" w:cs="楷体"/>
          <w:sz w:val="28"/>
          <w:szCs w:val="28"/>
          <w:lang w:val="en-US" w:eastAsia="zh-CN"/>
        </w:rPr>
        <w:t>162</w:t>
      </w:r>
      <w:r>
        <w:rPr>
          <w:rFonts w:hint="eastAsia" w:ascii="楷体" w:hAnsi="楷体" w:eastAsia="楷体" w:cs="楷体"/>
          <w:sz w:val="28"/>
          <w:szCs w:val="28"/>
        </w:rPr>
        <w:t>%。原因是</w:t>
      </w:r>
      <w:r>
        <w:rPr>
          <w:rFonts w:hint="eastAsia" w:ascii="楷体" w:hAnsi="楷体" w:eastAsia="楷体" w:cs="楷体"/>
          <w:sz w:val="28"/>
          <w:szCs w:val="28"/>
          <w:lang w:val="en-US" w:eastAsia="zh-CN"/>
        </w:rPr>
        <w:t>2019年度项目工作增加，为规范核算，单位部分科室相关支出纳入项目支出，所以造成本年度项目支出增加。</w:t>
      </w:r>
      <w:r>
        <w:rPr>
          <w:rFonts w:hint="eastAsia" w:ascii="楷体" w:hAnsi="楷体" w:eastAsia="楷体" w:cs="楷体"/>
          <w:sz w:val="28"/>
          <w:szCs w:val="28"/>
          <w:lang w:eastAsia="zh-CN"/>
        </w:rPr>
        <w:t>人员经费占总支出的</w:t>
      </w:r>
      <w:r>
        <w:rPr>
          <w:rFonts w:hint="eastAsia" w:ascii="楷体" w:hAnsi="楷体" w:eastAsia="楷体" w:cs="楷体"/>
          <w:sz w:val="28"/>
          <w:szCs w:val="28"/>
          <w:lang w:val="en-US" w:eastAsia="zh-CN"/>
        </w:rPr>
        <w:t>0.82%；</w:t>
      </w:r>
      <w:r>
        <w:rPr>
          <w:rFonts w:hint="eastAsia" w:ascii="楷体" w:hAnsi="楷体" w:eastAsia="楷体" w:cs="楷体"/>
          <w:sz w:val="28"/>
          <w:szCs w:val="28"/>
        </w:rPr>
        <w:t>办公经费、印刷费、水电费、汽燃费、办公设备购置等日常公用经费占总项目支出</w:t>
      </w:r>
      <w:r>
        <w:rPr>
          <w:rFonts w:hint="eastAsia" w:ascii="楷体" w:hAnsi="楷体" w:eastAsia="楷体" w:cs="楷体"/>
          <w:sz w:val="28"/>
          <w:szCs w:val="28"/>
          <w:lang w:val="en-US" w:eastAsia="zh-CN"/>
        </w:rPr>
        <w:t>96.76</w:t>
      </w:r>
      <w:r>
        <w:rPr>
          <w:rFonts w:hint="eastAsia" w:ascii="楷体" w:hAnsi="楷体" w:eastAsia="楷体" w:cs="楷体"/>
          <w:sz w:val="28"/>
          <w:szCs w:val="28"/>
        </w:rPr>
        <w:t>％</w:t>
      </w:r>
      <w:r>
        <w:rPr>
          <w:rFonts w:hint="eastAsia" w:ascii="楷体" w:hAnsi="楷体" w:eastAsia="楷体" w:cs="楷体"/>
          <w:sz w:val="28"/>
          <w:szCs w:val="28"/>
          <w:lang w:eastAsia="zh-CN"/>
        </w:rPr>
        <w:t>；设备购置占总支出的</w:t>
      </w:r>
      <w:r>
        <w:rPr>
          <w:rFonts w:hint="eastAsia" w:ascii="楷体" w:hAnsi="楷体" w:eastAsia="楷体" w:cs="楷体"/>
          <w:sz w:val="28"/>
          <w:szCs w:val="28"/>
          <w:lang w:val="en-US" w:eastAsia="zh-CN"/>
        </w:rPr>
        <w:t>2.41%。</w:t>
      </w:r>
    </w:p>
    <w:p>
      <w:pPr>
        <w:widowControl/>
        <w:snapToGrid w:val="0"/>
        <w:spacing w:before="100" w:after="100" w:line="600" w:lineRule="exact"/>
        <w:ind w:firstLine="560"/>
        <w:jc w:val="lef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1.2100102款一般行政管理事务11.51万元，该项目主要内容是实施州级艾滋病项目补助经费，年度内已完成该项目的兑付和使用，通过该项目的实施，</w:t>
      </w:r>
      <w:r>
        <w:rPr>
          <w:rFonts w:hint="eastAsia" w:ascii="楷体" w:hAnsi="楷体" w:eastAsia="楷体" w:cs="楷体"/>
          <w:sz w:val="28"/>
          <w:szCs w:val="28"/>
          <w:lang w:val="en-US" w:eastAsia="zh-CN"/>
        </w:rPr>
        <w:t>大大提高艾滋病项目工作的效益。</w:t>
      </w:r>
    </w:p>
    <w:p>
      <w:pPr>
        <w:widowControl/>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lang w:val="en-US" w:eastAsia="zh-CN"/>
        </w:rPr>
        <w:t>2.2100401款疾病预防控制机构824.57万元，该项目主要实施整个疾病预防控制范围的项目补助经费，年度内已完成该项目的工作并按规定全部兑付使用完项目经费，通过该项目的实施，</w:t>
      </w:r>
      <w:r>
        <w:rPr>
          <w:rFonts w:hint="eastAsia" w:ascii="楷体" w:hAnsi="楷体" w:eastAsia="楷体" w:cs="楷体"/>
          <w:sz w:val="28"/>
          <w:szCs w:val="28"/>
        </w:rPr>
        <w:t>有效地控制了传染病的发生和流行，杜绝了重大疫情的发生，为我市的经济社会发展作出了贡献。</w:t>
      </w:r>
    </w:p>
    <w:p>
      <w:pPr>
        <w:widowControl/>
        <w:spacing w:line="360" w:lineRule="auto"/>
        <w:ind w:firstLine="560" w:firstLineChars="200"/>
        <w:jc w:val="lef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3.2100408款基本公共卫生服务3.64万元，该项目主要内容是实施国家基本公共卫生服务项目补助资金，年度内已完成该项目的工作并按规定全部兑付使用完项目经费，通过该项目的实施，进一步促进辖区居民健康意识的提高和不良生活方式的改变，特别是对65岁以上老年人、0—6岁儿童、孕产妇、高血压患者、糖尿病患者和重性精神病患者等重点人群实施健康干预措施，使全体居民逐步树立自我健康管理观念，提高全民健康素质。</w:t>
      </w:r>
    </w:p>
    <w:p>
      <w:pPr>
        <w:widowControl/>
        <w:spacing w:line="360" w:lineRule="auto"/>
        <w:ind w:firstLine="560" w:firstLineChars="200"/>
        <w:jc w:val="lef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4.2100409款重大公共卫生服务132.63万元，该项目主要内容实施国家重大公共卫生项目补助资金，年度内已完成该项目的工作并按规定全部兑付使用完成经费，通过该项目的实施，有效的杜绝并控制了传染疾病的发生和流行。</w:t>
      </w:r>
    </w:p>
    <w:p>
      <w:pPr>
        <w:jc w:val="left"/>
        <w:rPr>
          <w:rFonts w:hint="eastAsia" w:ascii="楷体" w:hAnsi="楷体" w:eastAsia="楷体"/>
          <w:sz w:val="28"/>
          <w:szCs w:val="28"/>
        </w:rPr>
      </w:pPr>
      <w:r>
        <w:rPr>
          <w:rFonts w:hint="eastAsia" w:ascii="楷体" w:hAnsi="楷体" w:eastAsia="楷体"/>
          <w:sz w:val="28"/>
          <w:szCs w:val="28"/>
        </w:rPr>
        <w:t>三、一般公共预算财政拨款支出决算情况说明</w:t>
      </w:r>
    </w:p>
    <w:p>
      <w:pPr>
        <w:snapToGrid w:val="0"/>
        <w:spacing w:line="520" w:lineRule="exact"/>
        <w:ind w:firstLine="560" w:firstLineChars="200"/>
        <w:rPr>
          <w:rFonts w:hint="eastAsia" w:ascii="楷体" w:hAnsi="楷体" w:eastAsia="楷体" w:cs="仿宋"/>
          <w:kern w:val="0"/>
          <w:sz w:val="28"/>
          <w:szCs w:val="28"/>
        </w:rPr>
      </w:pPr>
      <w:r>
        <w:rPr>
          <w:rFonts w:hint="eastAsia" w:ascii="楷体" w:hAnsi="楷体" w:eastAsia="楷体" w:cs="仿宋"/>
          <w:sz w:val="28"/>
          <w:szCs w:val="28"/>
        </w:rPr>
        <w:t>2019</w:t>
      </w:r>
      <w:r>
        <w:rPr>
          <w:rFonts w:hint="eastAsia" w:ascii="楷体" w:hAnsi="楷体" w:eastAsia="楷体" w:cs="仿宋"/>
          <w:kern w:val="0"/>
          <w:sz w:val="28"/>
          <w:szCs w:val="28"/>
        </w:rPr>
        <w:t>年部门公共预算财政拨款支出</w:t>
      </w:r>
      <w:r>
        <w:rPr>
          <w:rFonts w:hint="eastAsia" w:ascii="楷体" w:hAnsi="楷体" w:eastAsia="楷体" w:cs="仿宋"/>
          <w:sz w:val="28"/>
          <w:szCs w:val="28"/>
        </w:rPr>
        <w:t>1053.78万</w:t>
      </w:r>
      <w:r>
        <w:rPr>
          <w:rFonts w:hint="eastAsia" w:ascii="楷体" w:hAnsi="楷体" w:eastAsia="楷体" w:cs="仿宋"/>
          <w:kern w:val="0"/>
          <w:sz w:val="28"/>
          <w:szCs w:val="28"/>
        </w:rPr>
        <w:t>元,占本年支出合计100%。</w:t>
      </w:r>
      <w:r>
        <w:rPr>
          <w:rFonts w:hint="eastAsia" w:ascii="楷体" w:hAnsi="楷体" w:eastAsia="楷体" w:cs="仿宋"/>
          <w:sz w:val="28"/>
          <w:szCs w:val="28"/>
        </w:rPr>
        <w:t>与上年对比减少274.98万元，减少20.69%原因是</w:t>
      </w:r>
      <w:r>
        <w:rPr>
          <w:rFonts w:hint="eastAsia" w:ascii="楷体" w:hAnsi="楷体" w:eastAsia="楷体" w:cs="仿宋"/>
          <w:sz w:val="28"/>
          <w:szCs w:val="28"/>
          <w:lang w:eastAsia="zh-CN"/>
        </w:rPr>
        <w:t>因本年度部分项目经费为及时下达。</w:t>
      </w:r>
      <w:r>
        <w:rPr>
          <w:rFonts w:hint="eastAsia" w:ascii="楷体" w:hAnsi="楷体" w:eastAsia="楷体" w:cs="仿宋"/>
          <w:kern w:val="0"/>
          <w:sz w:val="28"/>
          <w:szCs w:val="28"/>
        </w:rPr>
        <w:t>按支出功能分类主要用于以下方面：</w:t>
      </w:r>
    </w:p>
    <w:p>
      <w:pPr>
        <w:snapToGrid w:val="0"/>
        <w:spacing w:line="520" w:lineRule="exact"/>
        <w:ind w:firstLine="560" w:firstLineChars="200"/>
        <w:jc w:val="left"/>
        <w:rPr>
          <w:rFonts w:hint="eastAsia" w:ascii="楷体" w:hAnsi="楷体" w:eastAsia="楷体" w:cs="仿宋"/>
          <w:kern w:val="0"/>
          <w:sz w:val="28"/>
          <w:szCs w:val="28"/>
        </w:rPr>
      </w:pPr>
      <w:r>
        <w:rPr>
          <w:rFonts w:hint="eastAsia" w:ascii="楷体" w:hAnsi="楷体" w:eastAsia="楷体" w:cs="仿宋"/>
          <w:kern w:val="0"/>
          <w:sz w:val="28"/>
          <w:szCs w:val="28"/>
        </w:rPr>
        <w:t>2080501：归口管理的行政单位离退休：17.79万元。</w:t>
      </w:r>
    </w:p>
    <w:p>
      <w:pPr>
        <w:snapToGrid w:val="0"/>
        <w:spacing w:line="520" w:lineRule="exact"/>
        <w:ind w:firstLine="560" w:firstLineChars="200"/>
        <w:rPr>
          <w:rFonts w:hint="eastAsia" w:ascii="楷体" w:hAnsi="楷体" w:eastAsia="楷体" w:cs="仿宋"/>
          <w:sz w:val="28"/>
          <w:szCs w:val="28"/>
        </w:rPr>
      </w:pPr>
      <w:r>
        <w:rPr>
          <w:rFonts w:hint="eastAsia" w:ascii="楷体" w:hAnsi="楷体" w:eastAsia="楷体" w:cs="仿宋"/>
          <w:sz w:val="28"/>
          <w:szCs w:val="28"/>
        </w:rPr>
        <w:t xml:space="preserve">2080502款：事业单位离退休(退休公用经费）：13.85万元 。 </w:t>
      </w:r>
    </w:p>
    <w:p>
      <w:pPr>
        <w:snapToGrid w:val="0"/>
        <w:spacing w:line="520" w:lineRule="exact"/>
        <w:ind w:firstLine="560" w:firstLineChars="200"/>
        <w:rPr>
          <w:rFonts w:hint="eastAsia" w:ascii="楷体" w:hAnsi="楷体" w:eastAsia="楷体" w:cs="仿宋"/>
          <w:sz w:val="28"/>
          <w:szCs w:val="28"/>
        </w:rPr>
      </w:pPr>
      <w:r>
        <w:rPr>
          <w:rFonts w:hint="eastAsia" w:ascii="楷体" w:hAnsi="楷体" w:eastAsia="楷体" w:cs="仿宋"/>
          <w:sz w:val="28"/>
          <w:szCs w:val="28"/>
        </w:rPr>
        <w:t>2080505款：机关事业单位基本养老保险缴费支出：79.51万元。</w:t>
      </w:r>
    </w:p>
    <w:p>
      <w:pPr>
        <w:ind w:firstLine="560" w:firstLineChars="200"/>
        <w:rPr>
          <w:rFonts w:hint="eastAsia" w:ascii="楷体" w:hAnsi="楷体" w:eastAsia="楷体" w:cs="Arial"/>
          <w:color w:val="000000"/>
          <w:kern w:val="0"/>
          <w:sz w:val="28"/>
          <w:szCs w:val="28"/>
        </w:rPr>
      </w:pPr>
      <w:r>
        <w:rPr>
          <w:rFonts w:hint="eastAsia" w:ascii="楷体" w:hAnsi="楷体" w:eastAsia="楷体" w:cs="仿宋"/>
          <w:sz w:val="28"/>
          <w:szCs w:val="28"/>
        </w:rPr>
        <w:t>2080506款：</w:t>
      </w:r>
      <w:r>
        <w:rPr>
          <w:rFonts w:hint="eastAsia" w:ascii="楷体" w:hAnsi="楷体" w:eastAsia="楷体" w:cs="Arial"/>
          <w:color w:val="000000"/>
          <w:kern w:val="0"/>
          <w:sz w:val="28"/>
          <w:szCs w:val="28"/>
        </w:rPr>
        <w:t xml:space="preserve">  机关事业单位职业年金缴费支出：2.48万元。</w:t>
      </w:r>
    </w:p>
    <w:p>
      <w:pPr>
        <w:snapToGrid w:val="0"/>
        <w:spacing w:line="520" w:lineRule="exact"/>
        <w:ind w:firstLine="560" w:firstLineChars="200"/>
        <w:rPr>
          <w:rFonts w:hint="eastAsia" w:ascii="楷体" w:hAnsi="楷体" w:eastAsia="楷体" w:cs="仿宋"/>
          <w:sz w:val="28"/>
          <w:szCs w:val="28"/>
        </w:rPr>
      </w:pPr>
      <w:r>
        <w:rPr>
          <w:rFonts w:hint="eastAsia" w:ascii="楷体" w:hAnsi="楷体" w:eastAsia="楷体" w:cs="仿宋"/>
          <w:sz w:val="28"/>
          <w:szCs w:val="28"/>
        </w:rPr>
        <w:t>2089901款：其他财政对社会保险基金缴费支出：11.32万元。</w:t>
      </w:r>
    </w:p>
    <w:p>
      <w:pPr>
        <w:snapToGrid w:val="0"/>
        <w:spacing w:line="520" w:lineRule="exact"/>
        <w:ind w:firstLine="560" w:firstLineChars="200"/>
        <w:rPr>
          <w:rFonts w:hint="eastAsia" w:ascii="楷体" w:hAnsi="楷体" w:eastAsia="楷体" w:cs="仿宋"/>
          <w:sz w:val="28"/>
          <w:szCs w:val="28"/>
        </w:rPr>
      </w:pPr>
      <w:r>
        <w:rPr>
          <w:rFonts w:hint="eastAsia" w:ascii="楷体" w:hAnsi="楷体" w:eastAsia="楷体" w:cs="仿宋"/>
          <w:sz w:val="28"/>
          <w:szCs w:val="28"/>
        </w:rPr>
        <w:t>2100401款：疾病预防控制机构：719.73万元。</w:t>
      </w:r>
    </w:p>
    <w:p>
      <w:pPr>
        <w:snapToGrid w:val="0"/>
        <w:spacing w:line="520" w:lineRule="exact"/>
        <w:ind w:firstLine="560" w:firstLineChars="200"/>
        <w:rPr>
          <w:rFonts w:hint="eastAsia" w:ascii="楷体" w:hAnsi="楷体" w:eastAsia="楷体" w:cs="仿宋"/>
          <w:sz w:val="28"/>
          <w:szCs w:val="28"/>
        </w:rPr>
      </w:pPr>
      <w:r>
        <w:rPr>
          <w:rFonts w:hint="eastAsia" w:ascii="楷体" w:hAnsi="楷体" w:eastAsia="楷体" w:cs="仿宋"/>
          <w:sz w:val="28"/>
          <w:szCs w:val="28"/>
        </w:rPr>
        <w:t>2100012款：一般行政管理事务：12.86万元。</w:t>
      </w:r>
    </w:p>
    <w:p>
      <w:pPr>
        <w:snapToGrid w:val="0"/>
        <w:spacing w:line="520" w:lineRule="exact"/>
        <w:ind w:firstLine="560" w:firstLineChars="200"/>
        <w:rPr>
          <w:rFonts w:hint="eastAsia" w:ascii="楷体" w:hAnsi="楷体" w:eastAsia="楷体" w:cs="仿宋"/>
          <w:sz w:val="28"/>
          <w:szCs w:val="28"/>
        </w:rPr>
      </w:pPr>
      <w:r>
        <w:rPr>
          <w:rFonts w:hint="eastAsia" w:ascii="楷体" w:hAnsi="楷体" w:eastAsia="楷体" w:cs="仿宋"/>
          <w:sz w:val="28"/>
          <w:szCs w:val="28"/>
        </w:rPr>
        <w:t>2100201款：综合医院：10万元。</w:t>
      </w:r>
    </w:p>
    <w:p>
      <w:pPr>
        <w:snapToGrid w:val="0"/>
        <w:spacing w:line="520" w:lineRule="exact"/>
        <w:ind w:firstLine="560" w:firstLineChars="200"/>
        <w:rPr>
          <w:rFonts w:hint="eastAsia" w:ascii="楷体" w:hAnsi="楷体" w:eastAsia="楷体" w:cs="仿宋"/>
          <w:sz w:val="28"/>
          <w:szCs w:val="28"/>
        </w:rPr>
      </w:pPr>
      <w:r>
        <w:rPr>
          <w:rFonts w:hint="eastAsia" w:ascii="楷体" w:hAnsi="楷体" w:eastAsia="楷体" w:cs="仿宋"/>
          <w:sz w:val="28"/>
          <w:szCs w:val="28"/>
        </w:rPr>
        <w:t>2100408款：基本公共卫生服务：3.64万元。</w:t>
      </w:r>
    </w:p>
    <w:p>
      <w:pPr>
        <w:snapToGrid w:val="0"/>
        <w:spacing w:line="520" w:lineRule="exact"/>
        <w:ind w:firstLine="560" w:firstLineChars="200"/>
        <w:rPr>
          <w:rFonts w:hint="eastAsia" w:ascii="楷体" w:hAnsi="楷体" w:eastAsia="楷体" w:cs="仿宋"/>
          <w:sz w:val="28"/>
          <w:szCs w:val="28"/>
        </w:rPr>
      </w:pPr>
      <w:r>
        <w:rPr>
          <w:rFonts w:hint="eastAsia" w:ascii="楷体" w:hAnsi="楷体" w:eastAsia="楷体" w:cs="仿宋"/>
          <w:sz w:val="28"/>
          <w:szCs w:val="28"/>
        </w:rPr>
        <w:t>2100409款：重大公共卫生专项：132.63万元。</w:t>
      </w:r>
    </w:p>
    <w:p>
      <w:pPr>
        <w:snapToGrid w:val="0"/>
        <w:spacing w:line="520" w:lineRule="exact"/>
        <w:ind w:firstLine="560" w:firstLineChars="200"/>
        <w:rPr>
          <w:rFonts w:hint="eastAsia" w:ascii="楷体" w:hAnsi="楷体" w:eastAsia="楷体" w:cs="仿宋"/>
          <w:sz w:val="28"/>
          <w:szCs w:val="28"/>
        </w:rPr>
      </w:pPr>
      <w:r>
        <w:rPr>
          <w:rFonts w:hint="eastAsia" w:ascii="楷体" w:hAnsi="楷体" w:eastAsia="楷体" w:cs="仿宋"/>
          <w:sz w:val="28"/>
          <w:szCs w:val="28"/>
        </w:rPr>
        <w:t>2210201款：住房公积金：49.97万元。</w:t>
      </w:r>
      <w:bookmarkStart w:id="0" w:name="_GoBack"/>
      <w:bookmarkEnd w:id="0"/>
    </w:p>
    <w:p>
      <w:pPr>
        <w:snapToGrid w:val="0"/>
        <w:spacing w:line="520" w:lineRule="exact"/>
        <w:rPr>
          <w:rFonts w:hint="eastAsia" w:ascii="楷体" w:hAnsi="楷体" w:eastAsia="楷体" w:cs="仿宋"/>
          <w:sz w:val="32"/>
          <w:szCs w:val="22"/>
        </w:rPr>
      </w:pPr>
      <w:r>
        <w:rPr>
          <w:rFonts w:hint="eastAsia" w:ascii="楷体" w:hAnsi="楷体" w:eastAsia="楷体" w:cs="仿宋"/>
          <w:kern w:val="0"/>
          <w:sz w:val="28"/>
          <w:szCs w:val="28"/>
        </w:rPr>
        <w:t>（一）基本支出及项目支出</w:t>
      </w:r>
      <w:r>
        <w:rPr>
          <w:rFonts w:hint="eastAsia" w:ascii="楷体" w:hAnsi="楷体" w:eastAsia="楷体" w:cs="仿宋"/>
          <w:sz w:val="28"/>
          <w:szCs w:val="28"/>
        </w:rPr>
        <w:t>1053.78万</w:t>
      </w:r>
      <w:r>
        <w:rPr>
          <w:rFonts w:hint="eastAsia" w:ascii="楷体" w:hAnsi="楷体" w:eastAsia="楷体" w:cs="仿宋"/>
          <w:kern w:val="0"/>
          <w:sz w:val="28"/>
          <w:szCs w:val="28"/>
        </w:rPr>
        <w:t>元，主要用于</w:t>
      </w:r>
      <w:r>
        <w:rPr>
          <w:rFonts w:hint="eastAsia" w:ascii="楷体" w:hAnsi="楷体" w:eastAsia="楷体" w:cs="仿宋"/>
          <w:sz w:val="28"/>
          <w:szCs w:val="28"/>
        </w:rPr>
        <w:t>工资福利支出812.33万元，占总支出77.09%；商品服务支出188.82万元，占总支出17.92%；对个人和家庭的补助30.61万元，占总支出2.9%；资本性支出</w:t>
      </w:r>
      <w:r>
        <w:rPr>
          <w:rFonts w:hint="eastAsia" w:ascii="楷体" w:hAnsi="楷体" w:eastAsia="楷体" w:cs="仿宋"/>
          <w:sz w:val="32"/>
          <w:szCs w:val="32"/>
        </w:rPr>
        <w:t>22.02万元，占总支出的2.09％。</w:t>
      </w:r>
    </w:p>
    <w:p>
      <w:pPr>
        <w:widowControl/>
        <w:snapToGrid w:val="0"/>
        <w:spacing w:before="100" w:after="100" w:line="360" w:lineRule="auto"/>
        <w:jc w:val="left"/>
        <w:rPr>
          <w:rFonts w:hint="eastAsia" w:ascii="楷体" w:hAnsi="楷体" w:eastAsia="楷体" w:cs="仿宋"/>
          <w:kern w:val="0"/>
          <w:sz w:val="30"/>
          <w:szCs w:val="30"/>
        </w:rPr>
      </w:pPr>
      <w:r>
        <w:rPr>
          <w:rFonts w:hint="eastAsia" w:ascii="楷体" w:hAnsi="楷体" w:eastAsia="楷体" w:cs="仿宋"/>
          <w:kern w:val="0"/>
          <w:sz w:val="30"/>
          <w:szCs w:val="30"/>
        </w:rPr>
        <w:t>（二）外交支出</w:t>
      </w:r>
      <w:r>
        <w:rPr>
          <w:rFonts w:hint="eastAsia" w:ascii="楷体" w:hAnsi="楷体" w:eastAsia="楷体" w:cs="仿宋"/>
          <w:sz w:val="30"/>
          <w:szCs w:val="30"/>
        </w:rPr>
        <w:t>0</w:t>
      </w:r>
      <w:r>
        <w:rPr>
          <w:rFonts w:hint="eastAsia" w:ascii="楷体" w:hAnsi="楷体" w:eastAsia="楷体" w:cs="仿宋"/>
          <w:kern w:val="0"/>
          <w:sz w:val="30"/>
          <w:szCs w:val="30"/>
        </w:rPr>
        <w:t>元；</w:t>
      </w:r>
    </w:p>
    <w:p>
      <w:pPr>
        <w:widowControl/>
        <w:snapToGrid w:val="0"/>
        <w:spacing w:before="100" w:after="100" w:line="360" w:lineRule="auto"/>
        <w:ind w:firstLine="600" w:firstLineChars="200"/>
        <w:jc w:val="left"/>
        <w:rPr>
          <w:rFonts w:hint="eastAsia" w:ascii="楷体" w:hAnsi="楷体" w:eastAsia="楷体" w:cs="仿宋"/>
          <w:kern w:val="0"/>
          <w:sz w:val="30"/>
          <w:szCs w:val="30"/>
        </w:rPr>
      </w:pPr>
      <w:r>
        <w:rPr>
          <w:rFonts w:hint="eastAsia" w:ascii="楷体" w:hAnsi="楷体" w:eastAsia="楷体" w:cs="仿宋"/>
          <w:kern w:val="0"/>
          <w:sz w:val="30"/>
          <w:szCs w:val="30"/>
        </w:rPr>
        <w:t>（三）国防支出</w:t>
      </w:r>
      <w:r>
        <w:rPr>
          <w:rFonts w:hint="eastAsia" w:ascii="楷体" w:hAnsi="楷体" w:eastAsia="楷体" w:cs="仿宋"/>
          <w:sz w:val="30"/>
          <w:szCs w:val="30"/>
        </w:rPr>
        <w:t>0</w:t>
      </w:r>
      <w:r>
        <w:rPr>
          <w:rFonts w:hint="eastAsia" w:ascii="楷体" w:hAnsi="楷体" w:eastAsia="楷体" w:cs="仿宋"/>
          <w:kern w:val="0"/>
          <w:sz w:val="30"/>
          <w:szCs w:val="30"/>
        </w:rPr>
        <w:t>万元；</w:t>
      </w:r>
    </w:p>
    <w:p>
      <w:pPr>
        <w:widowControl/>
        <w:snapToGrid w:val="0"/>
        <w:spacing w:before="100" w:after="100" w:line="360" w:lineRule="auto"/>
        <w:ind w:firstLine="600" w:firstLineChars="200"/>
        <w:jc w:val="left"/>
        <w:rPr>
          <w:rFonts w:hint="eastAsia" w:ascii="楷体" w:hAnsi="楷体" w:eastAsia="楷体" w:cs="仿宋"/>
          <w:kern w:val="0"/>
          <w:sz w:val="30"/>
          <w:szCs w:val="30"/>
        </w:rPr>
      </w:pPr>
      <w:r>
        <w:rPr>
          <w:rFonts w:hint="eastAsia" w:ascii="楷体" w:hAnsi="楷体" w:eastAsia="楷体" w:cs="仿宋"/>
          <w:kern w:val="0"/>
          <w:sz w:val="30"/>
          <w:szCs w:val="30"/>
        </w:rPr>
        <w:t>（四）公共安全支出</w:t>
      </w:r>
      <w:r>
        <w:rPr>
          <w:rFonts w:hint="eastAsia" w:ascii="楷体" w:hAnsi="楷体" w:eastAsia="楷体" w:cs="仿宋"/>
          <w:sz w:val="30"/>
          <w:szCs w:val="30"/>
        </w:rPr>
        <w:t>0</w:t>
      </w:r>
      <w:r>
        <w:rPr>
          <w:rFonts w:hint="eastAsia" w:ascii="楷体" w:hAnsi="楷体" w:eastAsia="楷体" w:cs="仿宋"/>
          <w:kern w:val="0"/>
          <w:sz w:val="30"/>
          <w:szCs w:val="30"/>
        </w:rPr>
        <w:t>元；</w:t>
      </w:r>
    </w:p>
    <w:p>
      <w:pPr>
        <w:widowControl/>
        <w:snapToGrid w:val="0"/>
        <w:spacing w:before="100" w:after="100" w:line="360" w:lineRule="auto"/>
        <w:ind w:firstLine="600" w:firstLineChars="200"/>
        <w:jc w:val="left"/>
        <w:rPr>
          <w:rFonts w:hint="eastAsia" w:ascii="楷体" w:hAnsi="楷体" w:eastAsia="楷体" w:cs="仿宋"/>
          <w:kern w:val="0"/>
          <w:sz w:val="30"/>
          <w:szCs w:val="30"/>
        </w:rPr>
      </w:pPr>
      <w:r>
        <w:rPr>
          <w:rFonts w:hint="eastAsia" w:ascii="楷体" w:hAnsi="楷体" w:eastAsia="楷体" w:cs="仿宋"/>
          <w:kern w:val="0"/>
          <w:sz w:val="30"/>
          <w:szCs w:val="30"/>
        </w:rPr>
        <w:t>（五）教育支出</w:t>
      </w:r>
      <w:r>
        <w:rPr>
          <w:rFonts w:hint="eastAsia" w:ascii="楷体" w:hAnsi="楷体" w:eastAsia="楷体" w:cs="仿宋"/>
          <w:sz w:val="30"/>
          <w:szCs w:val="30"/>
        </w:rPr>
        <w:t>0</w:t>
      </w:r>
      <w:r>
        <w:rPr>
          <w:rFonts w:hint="eastAsia" w:ascii="楷体" w:hAnsi="楷体" w:eastAsia="楷体" w:cs="仿宋"/>
          <w:kern w:val="0"/>
          <w:sz w:val="30"/>
          <w:szCs w:val="30"/>
        </w:rPr>
        <w:t>元。</w:t>
      </w:r>
    </w:p>
    <w:p>
      <w:pPr>
        <w:widowControl/>
        <w:snapToGrid w:val="0"/>
        <w:spacing w:before="100" w:after="100" w:line="360" w:lineRule="auto"/>
        <w:jc w:val="left"/>
        <w:rPr>
          <w:rFonts w:hint="eastAsia" w:ascii="楷体" w:hAnsi="楷体" w:eastAsia="楷体"/>
          <w:sz w:val="28"/>
          <w:szCs w:val="28"/>
        </w:rPr>
      </w:pPr>
      <w:r>
        <w:rPr>
          <w:rFonts w:hint="eastAsia" w:ascii="楷体" w:hAnsi="楷体" w:eastAsia="楷体"/>
          <w:sz w:val="28"/>
          <w:szCs w:val="28"/>
        </w:rPr>
        <w:t>四、一般公共预算财政拨款“三公”经费支出决算情况说明</w:t>
      </w:r>
    </w:p>
    <w:p>
      <w:pPr>
        <w:widowControl/>
        <w:snapToGrid w:val="0"/>
        <w:spacing w:before="100" w:after="100" w:line="360" w:lineRule="auto"/>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w:t>
      </w:r>
      <w:r>
        <w:rPr>
          <w:rFonts w:hint="default" w:ascii="Times New Roman" w:hAnsi="Times New Roman" w:eastAsia="黑体" w:cs="Times New Roman"/>
          <w:sz w:val="30"/>
          <w:szCs w:val="30"/>
        </w:rPr>
        <w:t xml:space="preserve"> </w:t>
      </w:r>
      <w:r>
        <w:rPr>
          <w:rFonts w:hint="default" w:ascii="Times New Roman" w:hAnsi="Times New Roman" w:eastAsia="楷体" w:cs="Times New Roman"/>
          <w:sz w:val="30"/>
          <w:szCs w:val="30"/>
        </w:rPr>
        <w:t>一般公共预算财政拨款“三公”经费支出决算总体情况</w:t>
      </w:r>
    </w:p>
    <w:p>
      <w:pPr>
        <w:widowControl/>
        <w:snapToGrid w:val="0"/>
        <w:spacing w:before="100" w:after="100"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lang w:eastAsia="zh-CN"/>
        </w:rPr>
        <w:t>芒市疾病预防控制中心</w:t>
      </w:r>
      <w:r>
        <w:rPr>
          <w:rFonts w:hint="eastAsia" w:ascii="楷体" w:hAnsi="楷体" w:eastAsia="楷体" w:cs="楷体"/>
          <w:sz w:val="28"/>
          <w:szCs w:val="28"/>
          <w:lang w:val="en-US" w:eastAsia="zh-CN"/>
        </w:rPr>
        <w:t>2019</w:t>
      </w:r>
      <w:r>
        <w:rPr>
          <w:rFonts w:hint="eastAsia" w:ascii="楷体" w:hAnsi="楷体" w:eastAsia="楷体" w:cs="楷体"/>
          <w:sz w:val="28"/>
          <w:szCs w:val="28"/>
        </w:rPr>
        <w:t>年度一般公共预算财政拨款“三公”经费预算为</w:t>
      </w:r>
      <w:r>
        <w:rPr>
          <w:rFonts w:hint="eastAsia" w:ascii="楷体" w:hAnsi="楷体" w:eastAsia="楷体" w:cs="楷体"/>
          <w:sz w:val="28"/>
          <w:szCs w:val="28"/>
          <w:lang w:val="en-US" w:eastAsia="zh-CN"/>
        </w:rPr>
        <w:t>15.79</w:t>
      </w:r>
      <w:r>
        <w:rPr>
          <w:rFonts w:hint="eastAsia" w:ascii="楷体" w:hAnsi="楷体" w:eastAsia="楷体" w:cs="楷体"/>
          <w:sz w:val="28"/>
          <w:szCs w:val="28"/>
        </w:rPr>
        <w:t>万元，支出决算为</w:t>
      </w:r>
      <w:r>
        <w:rPr>
          <w:rFonts w:hint="eastAsia" w:ascii="楷体" w:hAnsi="楷体" w:eastAsia="楷体" w:cs="楷体"/>
          <w:sz w:val="28"/>
          <w:szCs w:val="28"/>
          <w:lang w:val="en-US" w:eastAsia="zh-CN"/>
        </w:rPr>
        <w:t>10.54</w:t>
      </w:r>
      <w:r>
        <w:rPr>
          <w:rFonts w:hint="eastAsia" w:ascii="楷体" w:hAnsi="楷体" w:eastAsia="楷体" w:cs="楷体"/>
          <w:sz w:val="28"/>
          <w:szCs w:val="28"/>
        </w:rPr>
        <w:t>万元，完成预算的</w:t>
      </w:r>
      <w:r>
        <w:rPr>
          <w:rFonts w:hint="eastAsia" w:ascii="楷体" w:hAnsi="楷体" w:eastAsia="楷体" w:cs="楷体"/>
          <w:sz w:val="28"/>
          <w:szCs w:val="28"/>
          <w:lang w:val="en-US" w:eastAsia="zh-CN"/>
        </w:rPr>
        <w:t>66.75</w:t>
      </w:r>
      <w:r>
        <w:rPr>
          <w:rFonts w:hint="eastAsia" w:ascii="楷体" w:hAnsi="楷体" w:eastAsia="楷体" w:cs="楷体"/>
          <w:sz w:val="28"/>
          <w:szCs w:val="28"/>
        </w:rPr>
        <w:t>%。其中：因公出国（境）费支出决算为</w:t>
      </w:r>
      <w:r>
        <w:rPr>
          <w:rFonts w:hint="eastAsia" w:ascii="楷体" w:hAnsi="楷体" w:eastAsia="楷体" w:cs="楷体"/>
          <w:sz w:val="28"/>
          <w:szCs w:val="28"/>
          <w:lang w:val="en-US" w:eastAsia="zh-CN"/>
        </w:rPr>
        <w:t>0</w:t>
      </w:r>
      <w:r>
        <w:rPr>
          <w:rFonts w:hint="eastAsia" w:ascii="楷体" w:hAnsi="楷体" w:eastAsia="楷体" w:cs="楷体"/>
          <w:sz w:val="28"/>
          <w:szCs w:val="28"/>
        </w:rPr>
        <w:t>万元，完成预算的</w:t>
      </w:r>
      <w:r>
        <w:rPr>
          <w:rFonts w:hint="eastAsia" w:ascii="楷体" w:hAnsi="楷体" w:eastAsia="楷体" w:cs="楷体"/>
          <w:sz w:val="28"/>
          <w:szCs w:val="28"/>
          <w:lang w:val="en-US" w:eastAsia="zh-CN"/>
        </w:rPr>
        <w:t>0</w:t>
      </w:r>
      <w:r>
        <w:rPr>
          <w:rFonts w:hint="eastAsia" w:ascii="楷体" w:hAnsi="楷体" w:eastAsia="楷体" w:cs="楷体"/>
          <w:sz w:val="28"/>
          <w:szCs w:val="28"/>
        </w:rPr>
        <w:t>%；</w:t>
      </w:r>
      <w:r>
        <w:rPr>
          <w:rFonts w:hint="eastAsia" w:ascii="楷体" w:hAnsi="楷体" w:eastAsia="楷体" w:cs="仿宋"/>
          <w:sz w:val="28"/>
          <w:szCs w:val="28"/>
        </w:rPr>
        <w:t>公务用车运行维护费支出万8.6万元</w:t>
      </w:r>
      <w:r>
        <w:rPr>
          <w:rFonts w:hint="eastAsia" w:ascii="楷体" w:hAnsi="楷体" w:eastAsia="楷体" w:cs="仿宋"/>
          <w:sz w:val="28"/>
          <w:szCs w:val="28"/>
          <w:lang w:eastAsia="zh-CN"/>
        </w:rPr>
        <w:t>，</w:t>
      </w:r>
      <w:r>
        <w:rPr>
          <w:rFonts w:hint="eastAsia" w:ascii="楷体" w:hAnsi="楷体" w:eastAsia="楷体" w:cs="楷体"/>
          <w:sz w:val="28"/>
          <w:szCs w:val="28"/>
        </w:rPr>
        <w:t>完成预算的</w:t>
      </w:r>
      <w:r>
        <w:rPr>
          <w:rFonts w:hint="eastAsia" w:ascii="楷体" w:hAnsi="楷体" w:eastAsia="楷体" w:cs="楷体"/>
          <w:sz w:val="28"/>
          <w:szCs w:val="28"/>
          <w:lang w:val="en-US" w:eastAsia="zh-CN"/>
        </w:rPr>
        <w:t>66.46</w:t>
      </w:r>
      <w:r>
        <w:rPr>
          <w:rFonts w:hint="eastAsia" w:ascii="楷体" w:hAnsi="楷体" w:eastAsia="楷体" w:cs="楷体"/>
          <w:sz w:val="28"/>
          <w:szCs w:val="28"/>
        </w:rPr>
        <w:t>%</w:t>
      </w:r>
      <w:r>
        <w:rPr>
          <w:rFonts w:hint="eastAsia" w:ascii="楷体" w:hAnsi="楷体" w:eastAsia="楷体" w:cs="楷体"/>
          <w:sz w:val="28"/>
          <w:szCs w:val="28"/>
          <w:lang w:eastAsia="zh-CN"/>
        </w:rPr>
        <w:t>，</w:t>
      </w:r>
      <w:r>
        <w:rPr>
          <w:rFonts w:hint="eastAsia" w:ascii="楷体" w:hAnsi="楷体" w:eastAsia="楷体" w:cs="楷体"/>
          <w:sz w:val="28"/>
          <w:szCs w:val="28"/>
        </w:rPr>
        <w:t>公务用车购置及运行费支出决算为</w:t>
      </w:r>
      <w:r>
        <w:rPr>
          <w:rFonts w:hint="eastAsia" w:ascii="楷体" w:hAnsi="楷体" w:eastAsia="楷体" w:cs="楷体"/>
          <w:sz w:val="28"/>
          <w:szCs w:val="28"/>
          <w:lang w:val="en-US" w:eastAsia="zh-CN"/>
        </w:rPr>
        <w:t>8.6</w:t>
      </w:r>
      <w:r>
        <w:rPr>
          <w:rFonts w:hint="eastAsia" w:ascii="楷体" w:hAnsi="楷体" w:eastAsia="楷体" w:cs="楷体"/>
          <w:sz w:val="28"/>
          <w:szCs w:val="28"/>
        </w:rPr>
        <w:t>万元，完成预算的</w:t>
      </w:r>
      <w:r>
        <w:rPr>
          <w:rFonts w:hint="eastAsia" w:ascii="楷体" w:hAnsi="楷体" w:eastAsia="楷体" w:cs="楷体"/>
          <w:sz w:val="28"/>
          <w:szCs w:val="28"/>
          <w:lang w:val="en-US" w:eastAsia="zh-CN"/>
        </w:rPr>
        <w:t>66.46</w:t>
      </w:r>
      <w:r>
        <w:rPr>
          <w:rFonts w:hint="eastAsia" w:ascii="楷体" w:hAnsi="楷体" w:eastAsia="楷体" w:cs="楷体"/>
          <w:sz w:val="28"/>
          <w:szCs w:val="28"/>
        </w:rPr>
        <w:t>%；公务接待费支出决算为</w:t>
      </w:r>
      <w:r>
        <w:rPr>
          <w:rFonts w:hint="eastAsia" w:ascii="楷体" w:hAnsi="楷体" w:eastAsia="楷体" w:cs="楷体"/>
          <w:sz w:val="28"/>
          <w:szCs w:val="28"/>
          <w:lang w:val="en-US" w:eastAsia="zh-CN"/>
        </w:rPr>
        <w:t>1.94</w:t>
      </w:r>
      <w:r>
        <w:rPr>
          <w:rFonts w:hint="eastAsia" w:ascii="楷体" w:hAnsi="楷体" w:eastAsia="楷体" w:cs="楷体"/>
          <w:sz w:val="28"/>
          <w:szCs w:val="28"/>
        </w:rPr>
        <w:t>万元，完成预算的</w:t>
      </w:r>
      <w:r>
        <w:rPr>
          <w:rFonts w:hint="eastAsia" w:ascii="楷体" w:hAnsi="楷体" w:eastAsia="楷体" w:cs="楷体"/>
          <w:sz w:val="28"/>
          <w:szCs w:val="28"/>
          <w:lang w:val="en-US" w:eastAsia="zh-CN"/>
        </w:rPr>
        <w:t>68.07</w:t>
      </w:r>
      <w:r>
        <w:rPr>
          <w:rFonts w:hint="eastAsia" w:ascii="楷体" w:hAnsi="楷体" w:eastAsia="楷体" w:cs="楷体"/>
          <w:sz w:val="28"/>
          <w:szCs w:val="28"/>
        </w:rPr>
        <w:t>%。</w:t>
      </w:r>
    </w:p>
    <w:p>
      <w:pPr>
        <w:widowControl/>
        <w:snapToGrid w:val="0"/>
        <w:spacing w:before="100" w:after="100" w:line="360" w:lineRule="auto"/>
        <w:ind w:firstLine="560" w:firstLineChars="200"/>
        <w:jc w:val="left"/>
        <w:rPr>
          <w:rFonts w:hint="eastAsia" w:ascii="楷体" w:hAnsi="楷体" w:eastAsia="楷体" w:cs="楷体"/>
          <w:sz w:val="28"/>
          <w:szCs w:val="28"/>
        </w:rPr>
      </w:pPr>
      <w:r>
        <w:rPr>
          <w:rFonts w:hint="eastAsia" w:ascii="楷体" w:hAnsi="楷体" w:eastAsia="楷体" w:cs="仿宋"/>
          <w:sz w:val="28"/>
          <w:szCs w:val="28"/>
        </w:rPr>
        <w:t>2019年“三公”经费决算数比2018年决算数减少1.54万元，减少的主要原因是：2019年我单位部分科室下乡采用租车形式，并按照相关规定严格控制公务接待批次。</w:t>
      </w:r>
    </w:p>
    <w:p>
      <w:pPr>
        <w:widowControl/>
        <w:numPr>
          <w:ilvl w:val="0"/>
          <w:numId w:val="2"/>
        </w:numPr>
        <w:snapToGrid w:val="0"/>
        <w:spacing w:before="100" w:after="100" w:line="360" w:lineRule="auto"/>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一般公共预算财政拨款“三公”经费支出决算具体情况</w:t>
      </w:r>
    </w:p>
    <w:p>
      <w:pPr>
        <w:widowControl/>
        <w:snapToGrid w:val="0"/>
        <w:spacing w:before="100" w:after="100" w:line="360" w:lineRule="auto"/>
        <w:ind w:firstLine="560" w:firstLineChars="200"/>
        <w:jc w:val="left"/>
        <w:rPr>
          <w:rFonts w:hint="eastAsia" w:ascii="楷体" w:hAnsi="楷体" w:eastAsia="楷体" w:cs="仿宋"/>
          <w:sz w:val="28"/>
          <w:szCs w:val="28"/>
        </w:rPr>
      </w:pPr>
      <w:r>
        <w:rPr>
          <w:rFonts w:hint="eastAsia" w:ascii="楷体" w:hAnsi="楷体" w:eastAsia="楷体" w:cs="仿宋"/>
          <w:sz w:val="28"/>
          <w:szCs w:val="28"/>
        </w:rPr>
        <w:t>芒市疾病预防控制中心2019年财政拨款“三公”经费决算总额</w:t>
      </w:r>
      <w:r>
        <w:rPr>
          <w:rFonts w:hint="eastAsia" w:ascii="楷体" w:hAnsi="楷体" w:eastAsia="楷体" w:cs="Arial"/>
          <w:color w:val="000000"/>
          <w:kern w:val="0"/>
          <w:sz w:val="28"/>
          <w:szCs w:val="28"/>
        </w:rPr>
        <w:t>10.54万</w:t>
      </w:r>
      <w:r>
        <w:rPr>
          <w:rFonts w:hint="eastAsia" w:ascii="楷体" w:hAnsi="楷体" w:eastAsia="楷体" w:cs="仿宋"/>
          <w:sz w:val="28"/>
          <w:szCs w:val="28"/>
        </w:rPr>
        <w:t>元，其中，因公出国（境）费支出0元，公务用车运行维护费支出万8.6万元，公务接待费支出1.94万元。</w:t>
      </w:r>
    </w:p>
    <w:p>
      <w:pPr>
        <w:widowControl/>
        <w:numPr>
          <w:ilvl w:val="0"/>
          <w:numId w:val="0"/>
        </w:numPr>
        <w:snapToGrid w:val="0"/>
        <w:spacing w:before="100" w:after="100" w:line="360" w:lineRule="auto"/>
        <w:jc w:val="left"/>
        <w:rPr>
          <w:rFonts w:hint="default" w:ascii="Times New Roman" w:hAnsi="Times New Roman" w:eastAsia="楷体" w:cs="Times New Roman"/>
          <w:sz w:val="30"/>
          <w:szCs w:val="30"/>
        </w:rPr>
      </w:pPr>
    </w:p>
    <w:p>
      <w:pPr>
        <w:widowControl/>
        <w:snapToGrid w:val="0"/>
        <w:spacing w:before="100" w:after="100" w:line="360" w:lineRule="auto"/>
        <w:jc w:val="left"/>
        <w:rPr>
          <w:rFonts w:hint="eastAsia" w:ascii="仿宋_GB2312" w:hAnsi="黑体" w:eastAsia="仿宋_GB2312"/>
          <w:b/>
          <w:sz w:val="30"/>
          <w:szCs w:val="30"/>
        </w:rPr>
      </w:pPr>
      <w:r>
        <w:rPr>
          <w:rFonts w:hint="eastAsia" w:ascii="仿宋_GB2312" w:hAnsi="黑体" w:eastAsia="仿宋_GB2312"/>
          <w:b/>
          <w:sz w:val="30"/>
          <w:szCs w:val="30"/>
        </w:rPr>
        <w:t>第四部分</w:t>
      </w:r>
      <w:r>
        <w:rPr>
          <w:rFonts w:hint="eastAsia" w:ascii="仿宋_GB2312" w:hAnsi="楷体" w:eastAsia="仿宋_GB2312"/>
          <w:b/>
          <w:sz w:val="30"/>
          <w:szCs w:val="30"/>
        </w:rPr>
        <w:t xml:space="preserve">  </w:t>
      </w:r>
      <w:r>
        <w:rPr>
          <w:rFonts w:hint="eastAsia" w:ascii="仿宋_GB2312" w:hAnsi="黑体" w:eastAsia="仿宋_GB2312"/>
          <w:b/>
          <w:sz w:val="30"/>
          <w:szCs w:val="30"/>
        </w:rPr>
        <w:t>其他重要事项及相关口径情况说明</w:t>
      </w:r>
    </w:p>
    <w:p>
      <w:pPr>
        <w:jc w:val="left"/>
        <w:rPr>
          <w:rFonts w:hint="eastAsia" w:ascii="仿宋_GB2312" w:hAnsi="楷体" w:eastAsia="仿宋_GB2312"/>
          <w:sz w:val="28"/>
          <w:szCs w:val="28"/>
        </w:rPr>
      </w:pPr>
      <w:r>
        <w:rPr>
          <w:rFonts w:hint="eastAsia" w:ascii="仿宋_GB2312" w:hAnsi="楷体" w:eastAsia="仿宋_GB2312"/>
          <w:sz w:val="28"/>
          <w:szCs w:val="28"/>
        </w:rPr>
        <w:t>一、机关运行经费支出情况</w:t>
      </w:r>
    </w:p>
    <w:p>
      <w:pPr>
        <w:ind w:firstLine="560" w:firstLineChars="200"/>
        <w:jc w:val="left"/>
        <w:rPr>
          <w:rFonts w:hint="eastAsia" w:ascii="楷体" w:hAnsi="楷体" w:eastAsia="楷体" w:cs="仿宋"/>
          <w:sz w:val="28"/>
          <w:szCs w:val="28"/>
        </w:rPr>
      </w:pPr>
      <w:r>
        <w:rPr>
          <w:rFonts w:hint="eastAsia" w:ascii="楷体" w:hAnsi="楷体" w:eastAsia="楷体" w:cs="仿宋"/>
          <w:sz w:val="28"/>
          <w:szCs w:val="28"/>
        </w:rPr>
        <w:t>2019年经费支出1053.78万元，与上年对比减少了274.98万元，经费主要用于单位工资福利支出、材料采购、办公经费、聘用临时人员补助支出、设备购置、维修费用、公用经费支出等。</w:t>
      </w:r>
    </w:p>
    <w:p>
      <w:pPr>
        <w:ind w:firstLine="560" w:firstLineChars="200"/>
        <w:jc w:val="left"/>
        <w:rPr>
          <w:rFonts w:hint="eastAsia" w:ascii="楷体" w:hAnsi="楷体" w:eastAsia="楷体" w:cs="仿宋"/>
          <w:sz w:val="28"/>
          <w:szCs w:val="28"/>
        </w:rPr>
      </w:pPr>
      <w:r>
        <w:rPr>
          <w:rFonts w:hint="eastAsia" w:ascii="楷体" w:hAnsi="楷体" w:eastAsia="楷体"/>
          <w:sz w:val="28"/>
          <w:szCs w:val="28"/>
        </w:rPr>
        <w:t>二、国有资产占用情况</w:t>
      </w:r>
    </w:p>
    <w:p>
      <w:pPr>
        <w:widowControl/>
        <w:ind w:firstLine="560" w:firstLineChars="200"/>
        <w:rPr>
          <w:rFonts w:hint="eastAsia" w:ascii="楷体" w:hAnsi="楷体" w:eastAsia="楷体" w:cs="宋体"/>
          <w:color w:val="000000"/>
          <w:kern w:val="0"/>
          <w:sz w:val="28"/>
          <w:szCs w:val="28"/>
        </w:rPr>
      </w:pPr>
      <w:r>
        <w:rPr>
          <w:rFonts w:hint="eastAsia" w:ascii="楷体" w:hAnsi="楷体" w:eastAsia="楷体" w:cs="方正小标宋简体"/>
          <w:color w:val="000000"/>
          <w:kern w:val="0"/>
          <w:sz w:val="28"/>
          <w:szCs w:val="28"/>
        </w:rPr>
        <w:t>截至2019年12月31日，我单位资产总额1276.94万元，其中，流动资产772.04万元，固定资产490.41万元，受托代理资产14.5万元，对外投资及有价证券0.00万元，在建工程0.00万元，无形资产0万元，其他资产0.00万元（具体内容详见附表）。与上年相比，本年资产总额增加521.77万元，增加主要原因是我单位年末乡镇交来的疫苗款未及时上缴所导致，其中固定资产增加17.54万元。处置房屋建筑物0.00平方米，账面原值0.00万元；处置车辆0辆，账面原值0万元；报废报损资产0项，账面原值0万元，实现资产处置收入0万元；出租房屋0平方米，账面原值0.00万元，实现资产使用收入0.00万元。</w:t>
      </w:r>
    </w:p>
    <w:p>
      <w:pPr>
        <w:spacing w:line="200" w:lineRule="atLeast"/>
        <w:jc w:val="left"/>
        <w:rPr>
          <w:rFonts w:hint="eastAsia" w:ascii="楷体" w:hAnsi="楷体" w:eastAsia="楷体" w:cs="仿宋"/>
          <w:sz w:val="28"/>
          <w:szCs w:val="28"/>
        </w:rPr>
      </w:pPr>
      <w:r>
        <w:rPr>
          <w:rFonts w:hint="eastAsia" w:ascii="楷体" w:hAnsi="楷体" w:eastAsia="楷体" w:cs="仿宋"/>
          <w:sz w:val="28"/>
          <w:szCs w:val="28"/>
        </w:rPr>
        <w:t>对外投资及有价证券0万元，在建工程0万元，无形资产0万元，其他资产0万元。与上年相比，本年资产总额增加521.77万元，其中固定资产增加17.54万元。</w:t>
      </w:r>
    </w:p>
    <w:tbl>
      <w:tblPr>
        <w:tblStyle w:val="9"/>
        <w:tblpPr w:leftFromText="180" w:rightFromText="180" w:vertAnchor="text" w:horzAnchor="page" w:tblpX="693" w:tblpY="31"/>
        <w:tblOverlap w:val="never"/>
        <w:tblW w:w="9776" w:type="dxa"/>
        <w:tblInd w:w="0" w:type="dxa"/>
        <w:tblLayout w:type="fixed"/>
        <w:tblCellMar>
          <w:top w:w="15" w:type="dxa"/>
          <w:left w:w="15" w:type="dxa"/>
          <w:bottom w:w="15" w:type="dxa"/>
          <w:right w:w="15" w:type="dxa"/>
        </w:tblCellMar>
      </w:tblPr>
      <w:tblGrid>
        <w:gridCol w:w="608"/>
        <w:gridCol w:w="378"/>
        <w:gridCol w:w="950"/>
        <w:gridCol w:w="810"/>
        <w:gridCol w:w="433"/>
        <w:gridCol w:w="572"/>
        <w:gridCol w:w="253"/>
        <w:gridCol w:w="640"/>
        <w:gridCol w:w="90"/>
        <w:gridCol w:w="200"/>
        <w:gridCol w:w="285"/>
        <w:gridCol w:w="395"/>
        <w:gridCol w:w="591"/>
        <w:gridCol w:w="90"/>
        <w:gridCol w:w="186"/>
        <w:gridCol w:w="540"/>
        <w:gridCol w:w="635"/>
        <w:gridCol w:w="40"/>
        <w:gridCol w:w="390"/>
        <w:gridCol w:w="90"/>
        <w:gridCol w:w="152"/>
        <w:gridCol w:w="283"/>
        <w:gridCol w:w="231"/>
        <w:gridCol w:w="152"/>
        <w:gridCol w:w="112"/>
        <w:gridCol w:w="539"/>
        <w:gridCol w:w="131"/>
      </w:tblGrid>
      <w:tr>
        <w:tblPrEx>
          <w:tblLayout w:type="fixed"/>
          <w:tblCellMar>
            <w:top w:w="15" w:type="dxa"/>
            <w:left w:w="15" w:type="dxa"/>
            <w:bottom w:w="15" w:type="dxa"/>
            <w:right w:w="15" w:type="dxa"/>
          </w:tblCellMar>
        </w:tblPrEx>
        <w:trPr>
          <w:trHeight w:val="552" w:hRule="atLeast"/>
        </w:trPr>
        <w:tc>
          <w:tcPr>
            <w:tcW w:w="8086" w:type="dxa"/>
            <w:gridSpan w:val="19"/>
            <w:shd w:val="clear" w:color="auto" w:fill="FFFFFF"/>
            <w:vAlign w:val="center"/>
          </w:tcPr>
          <w:p>
            <w:pPr>
              <w:widowControl/>
              <w:jc w:val="center"/>
              <w:textAlignment w:val="center"/>
              <w:rPr>
                <w:rFonts w:hint="eastAsia" w:ascii="仿宋" w:hAnsi="仿宋" w:eastAsia="仿宋" w:cs="仿宋"/>
                <w:b/>
                <w:sz w:val="24"/>
              </w:rPr>
            </w:pPr>
            <w:r>
              <w:rPr>
                <w:rFonts w:hint="eastAsia" w:ascii="仿宋" w:hAnsi="仿宋" w:eastAsia="仿宋" w:cs="仿宋"/>
                <w:b/>
                <w:kern w:val="0"/>
                <w:sz w:val="24"/>
                <w:lang w:bidi="ar"/>
              </w:rPr>
              <w:t>国有资产占有使用情况表</w:t>
            </w:r>
          </w:p>
        </w:tc>
        <w:tc>
          <w:tcPr>
            <w:tcW w:w="90" w:type="dxa"/>
            <w:shd w:val="clear" w:color="auto" w:fill="FFFFFF"/>
            <w:vAlign w:val="center"/>
          </w:tcPr>
          <w:p>
            <w:pPr>
              <w:widowControl/>
              <w:jc w:val="center"/>
              <w:textAlignment w:val="center"/>
              <w:rPr>
                <w:rFonts w:hint="eastAsia" w:ascii="仿宋" w:hAnsi="仿宋" w:eastAsia="仿宋" w:cs="仿宋"/>
                <w:b/>
                <w:kern w:val="0"/>
                <w:sz w:val="24"/>
                <w:lang w:bidi="ar"/>
              </w:rPr>
            </w:pPr>
          </w:p>
        </w:tc>
        <w:tc>
          <w:tcPr>
            <w:tcW w:w="666" w:type="dxa"/>
            <w:gridSpan w:val="3"/>
            <w:shd w:val="clear" w:color="auto" w:fill="FFFFFF"/>
            <w:vAlign w:val="center"/>
          </w:tcPr>
          <w:p>
            <w:pPr>
              <w:widowControl/>
              <w:jc w:val="center"/>
              <w:textAlignment w:val="center"/>
              <w:rPr>
                <w:rFonts w:hint="eastAsia" w:ascii="仿宋" w:hAnsi="仿宋" w:eastAsia="仿宋" w:cs="仿宋"/>
                <w:b/>
                <w:kern w:val="0"/>
                <w:sz w:val="24"/>
                <w:lang w:bidi="ar"/>
              </w:rPr>
            </w:pPr>
          </w:p>
        </w:tc>
        <w:tc>
          <w:tcPr>
            <w:tcW w:w="934" w:type="dxa"/>
            <w:gridSpan w:val="4"/>
            <w:shd w:val="clear" w:color="auto" w:fill="FFFFFF"/>
            <w:vAlign w:val="center"/>
          </w:tcPr>
          <w:p>
            <w:pPr>
              <w:widowControl/>
              <w:jc w:val="center"/>
              <w:textAlignment w:val="center"/>
              <w:rPr>
                <w:rFonts w:hint="eastAsia" w:ascii="仿宋" w:hAnsi="仿宋" w:eastAsia="仿宋" w:cs="仿宋"/>
                <w:b/>
                <w:kern w:val="0"/>
                <w:sz w:val="24"/>
                <w:lang w:bidi="ar"/>
              </w:rPr>
            </w:pPr>
          </w:p>
        </w:tc>
      </w:tr>
      <w:tr>
        <w:tblPrEx>
          <w:tblLayout w:type="fixed"/>
          <w:tblCellMar>
            <w:top w:w="15" w:type="dxa"/>
            <w:left w:w="15" w:type="dxa"/>
            <w:bottom w:w="15" w:type="dxa"/>
            <w:right w:w="15" w:type="dxa"/>
          </w:tblCellMar>
        </w:tblPrEx>
        <w:trPr>
          <w:gridAfter w:val="1"/>
          <w:wAfter w:w="131" w:type="dxa"/>
          <w:trHeight w:val="317" w:hRule="atLeast"/>
        </w:trPr>
        <w:tc>
          <w:tcPr>
            <w:tcW w:w="3751" w:type="dxa"/>
            <w:gridSpan w:val="6"/>
            <w:tcBorders>
              <w:bottom w:val="single" w:color="808080" w:sz="4" w:space="0"/>
            </w:tcBorders>
            <w:shd w:val="clear" w:color="auto" w:fill="FFFFFF"/>
            <w:vAlign w:val="center"/>
          </w:tcPr>
          <w:p>
            <w:pPr>
              <w:widowControl/>
              <w:jc w:val="left"/>
              <w:textAlignment w:val="center"/>
              <w:rPr>
                <w:rFonts w:hint="eastAsia" w:ascii="仿宋" w:hAnsi="仿宋" w:eastAsia="仿宋" w:cs="仿宋"/>
                <w:sz w:val="24"/>
              </w:rPr>
            </w:pPr>
          </w:p>
        </w:tc>
        <w:tc>
          <w:tcPr>
            <w:tcW w:w="893" w:type="dxa"/>
            <w:gridSpan w:val="2"/>
            <w:tcBorders>
              <w:bottom w:val="single" w:color="808080" w:sz="4" w:space="0"/>
            </w:tcBorders>
            <w:shd w:val="clear" w:color="auto" w:fill="FFFFFF"/>
            <w:vAlign w:val="center"/>
          </w:tcPr>
          <w:p>
            <w:pPr>
              <w:rPr>
                <w:rFonts w:hint="eastAsia" w:ascii="仿宋" w:hAnsi="仿宋" w:eastAsia="仿宋" w:cs="仿宋"/>
                <w:sz w:val="24"/>
              </w:rPr>
            </w:pPr>
          </w:p>
        </w:tc>
        <w:tc>
          <w:tcPr>
            <w:tcW w:w="90" w:type="dxa"/>
            <w:tcBorders>
              <w:bottom w:val="single" w:color="808080" w:sz="4" w:space="0"/>
            </w:tcBorders>
            <w:shd w:val="clear" w:color="auto" w:fill="FFFFFF"/>
            <w:vAlign w:val="center"/>
          </w:tcPr>
          <w:p>
            <w:pPr>
              <w:rPr>
                <w:rFonts w:hint="eastAsia" w:ascii="仿宋" w:hAnsi="仿宋" w:eastAsia="仿宋" w:cs="仿宋"/>
                <w:sz w:val="24"/>
              </w:rPr>
            </w:pPr>
          </w:p>
        </w:tc>
        <w:tc>
          <w:tcPr>
            <w:tcW w:w="200" w:type="dxa"/>
            <w:tcBorders>
              <w:bottom w:val="single" w:color="808080" w:sz="4" w:space="0"/>
            </w:tcBorders>
            <w:shd w:val="clear" w:color="auto" w:fill="FFFFFF"/>
            <w:vAlign w:val="center"/>
          </w:tcPr>
          <w:p>
            <w:pPr>
              <w:rPr>
                <w:rFonts w:hint="eastAsia" w:ascii="仿宋" w:hAnsi="仿宋" w:eastAsia="仿宋" w:cs="仿宋"/>
                <w:sz w:val="24"/>
              </w:rPr>
            </w:pPr>
          </w:p>
        </w:tc>
        <w:tc>
          <w:tcPr>
            <w:tcW w:w="680" w:type="dxa"/>
            <w:gridSpan w:val="2"/>
            <w:tcBorders>
              <w:bottom w:val="single" w:color="808080" w:sz="4" w:space="0"/>
            </w:tcBorders>
            <w:shd w:val="clear" w:color="auto" w:fill="FFFFFF"/>
            <w:vAlign w:val="center"/>
          </w:tcPr>
          <w:p>
            <w:pPr>
              <w:rPr>
                <w:rFonts w:hint="eastAsia" w:ascii="仿宋" w:hAnsi="仿宋" w:eastAsia="仿宋" w:cs="仿宋"/>
                <w:sz w:val="24"/>
              </w:rPr>
            </w:pPr>
          </w:p>
        </w:tc>
        <w:tc>
          <w:tcPr>
            <w:tcW w:w="681" w:type="dxa"/>
            <w:gridSpan w:val="2"/>
            <w:tcBorders>
              <w:bottom w:val="single" w:color="808080" w:sz="4" w:space="0"/>
            </w:tcBorders>
            <w:shd w:val="clear" w:color="auto" w:fill="FFFFFF"/>
            <w:vAlign w:val="center"/>
          </w:tcPr>
          <w:p>
            <w:pPr>
              <w:rPr>
                <w:rFonts w:hint="eastAsia" w:ascii="仿宋" w:hAnsi="仿宋" w:eastAsia="仿宋" w:cs="仿宋"/>
                <w:sz w:val="24"/>
              </w:rPr>
            </w:pPr>
          </w:p>
        </w:tc>
        <w:tc>
          <w:tcPr>
            <w:tcW w:w="1361" w:type="dxa"/>
            <w:gridSpan w:val="3"/>
            <w:tcBorders>
              <w:bottom w:val="single" w:color="808080" w:sz="4" w:space="0"/>
            </w:tcBorders>
            <w:shd w:val="clear" w:color="auto" w:fill="FFFFFF"/>
            <w:vAlign w:val="center"/>
          </w:tcPr>
          <w:p>
            <w:pPr>
              <w:widowControl/>
              <w:jc w:val="right"/>
              <w:textAlignment w:val="center"/>
              <w:rPr>
                <w:rFonts w:hint="eastAsia" w:ascii="仿宋" w:hAnsi="仿宋" w:eastAsia="仿宋" w:cs="仿宋"/>
                <w:sz w:val="24"/>
              </w:rPr>
            </w:pPr>
            <w:r>
              <w:rPr>
                <w:rFonts w:hint="eastAsia" w:ascii="仿宋" w:hAnsi="仿宋" w:eastAsia="仿宋" w:cs="仿宋"/>
                <w:kern w:val="0"/>
                <w:sz w:val="24"/>
                <w:lang w:bidi="ar"/>
              </w:rPr>
              <w:t>单位：万元</w:t>
            </w:r>
          </w:p>
        </w:tc>
        <w:tc>
          <w:tcPr>
            <w:tcW w:w="672" w:type="dxa"/>
            <w:gridSpan w:val="4"/>
            <w:tcBorders>
              <w:bottom w:val="single" w:color="808080" w:sz="4" w:space="0"/>
            </w:tcBorders>
            <w:shd w:val="clear" w:color="auto" w:fill="FFFFFF"/>
            <w:vAlign w:val="center"/>
          </w:tcPr>
          <w:p>
            <w:pPr>
              <w:widowControl/>
              <w:jc w:val="right"/>
              <w:textAlignment w:val="center"/>
              <w:rPr>
                <w:rFonts w:hint="eastAsia" w:ascii="仿宋" w:hAnsi="仿宋" w:eastAsia="仿宋" w:cs="仿宋"/>
                <w:kern w:val="0"/>
                <w:sz w:val="24"/>
                <w:lang w:bidi="ar"/>
              </w:rPr>
            </w:pPr>
          </w:p>
        </w:tc>
        <w:tc>
          <w:tcPr>
            <w:tcW w:w="666" w:type="dxa"/>
            <w:gridSpan w:val="3"/>
            <w:tcBorders>
              <w:bottom w:val="single" w:color="808080" w:sz="4" w:space="0"/>
            </w:tcBorders>
            <w:shd w:val="clear" w:color="auto" w:fill="FFFFFF"/>
            <w:vAlign w:val="center"/>
          </w:tcPr>
          <w:p>
            <w:pPr>
              <w:widowControl/>
              <w:jc w:val="right"/>
              <w:textAlignment w:val="center"/>
              <w:rPr>
                <w:rFonts w:hint="eastAsia" w:ascii="仿宋" w:hAnsi="仿宋" w:eastAsia="仿宋" w:cs="仿宋"/>
                <w:kern w:val="0"/>
                <w:sz w:val="24"/>
                <w:lang w:bidi="ar"/>
              </w:rPr>
            </w:pPr>
          </w:p>
        </w:tc>
        <w:tc>
          <w:tcPr>
            <w:tcW w:w="651" w:type="dxa"/>
            <w:gridSpan w:val="2"/>
            <w:tcBorders>
              <w:bottom w:val="single" w:color="808080" w:sz="4" w:space="0"/>
            </w:tcBorders>
            <w:shd w:val="clear" w:color="auto" w:fill="FFFFFF"/>
            <w:vAlign w:val="center"/>
          </w:tcPr>
          <w:p>
            <w:pPr>
              <w:widowControl/>
              <w:jc w:val="right"/>
              <w:textAlignment w:val="center"/>
              <w:rPr>
                <w:rFonts w:hint="eastAsia" w:ascii="仿宋" w:hAnsi="仿宋" w:eastAsia="仿宋" w:cs="仿宋"/>
                <w:kern w:val="0"/>
                <w:sz w:val="24"/>
                <w:lang w:bidi="ar"/>
              </w:rPr>
            </w:pPr>
          </w:p>
        </w:tc>
      </w:tr>
      <w:tr>
        <w:tblPrEx>
          <w:tblLayout w:type="fixed"/>
          <w:tblCellMar>
            <w:top w:w="15" w:type="dxa"/>
            <w:left w:w="15" w:type="dxa"/>
            <w:bottom w:w="15" w:type="dxa"/>
            <w:right w:w="15" w:type="dxa"/>
          </w:tblCellMar>
        </w:tblPrEx>
        <w:trPr>
          <w:trHeight w:val="415" w:hRule="atLeast"/>
        </w:trPr>
        <w:tc>
          <w:tcPr>
            <w:tcW w:w="608" w:type="dxa"/>
            <w:vMerge w:val="restart"/>
            <w:tcBorders>
              <w:top w:val="single" w:color="80808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项目</w:t>
            </w:r>
          </w:p>
        </w:tc>
        <w:tc>
          <w:tcPr>
            <w:tcW w:w="378" w:type="dxa"/>
            <w:vMerge w:val="restart"/>
            <w:tcBorders>
              <w:top w:val="single" w:color="80808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行次</w:t>
            </w:r>
          </w:p>
        </w:tc>
        <w:tc>
          <w:tcPr>
            <w:tcW w:w="950" w:type="dxa"/>
            <w:vMerge w:val="restart"/>
            <w:tcBorders>
              <w:top w:val="single" w:color="80808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资产总额</w:t>
            </w:r>
          </w:p>
        </w:tc>
        <w:tc>
          <w:tcPr>
            <w:tcW w:w="810" w:type="dxa"/>
            <w:vMerge w:val="restart"/>
            <w:tcBorders>
              <w:top w:val="single" w:color="80808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流动资产</w:t>
            </w:r>
          </w:p>
        </w:tc>
        <w:tc>
          <w:tcPr>
            <w:tcW w:w="3459" w:type="dxa"/>
            <w:gridSpan w:val="9"/>
            <w:tcBorders>
              <w:top w:val="single" w:color="80808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固定资产</w:t>
            </w:r>
          </w:p>
        </w:tc>
        <w:tc>
          <w:tcPr>
            <w:tcW w:w="276" w:type="dxa"/>
            <w:gridSpan w:val="2"/>
            <w:tcBorders>
              <w:top w:val="single" w:color="80808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对外投资/有价证券</w:t>
            </w:r>
          </w:p>
        </w:tc>
        <w:tc>
          <w:tcPr>
            <w:tcW w:w="540" w:type="dxa"/>
            <w:tcBorders>
              <w:top w:val="single" w:color="80808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在建工程</w:t>
            </w:r>
          </w:p>
        </w:tc>
        <w:tc>
          <w:tcPr>
            <w:tcW w:w="675"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无形资产</w:t>
            </w:r>
          </w:p>
        </w:tc>
        <w:tc>
          <w:tcPr>
            <w:tcW w:w="390"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其他资产</w:t>
            </w:r>
          </w:p>
        </w:tc>
        <w:tc>
          <w:tcPr>
            <w:tcW w:w="525" w:type="dxa"/>
            <w:gridSpan w:val="3"/>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4"/>
                <w:lang w:bidi="ar"/>
              </w:rPr>
            </w:pPr>
          </w:p>
        </w:tc>
        <w:tc>
          <w:tcPr>
            <w:tcW w:w="495" w:type="dxa"/>
            <w:gridSpan w:val="3"/>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4"/>
                <w:lang w:bidi="ar"/>
              </w:rPr>
            </w:pPr>
          </w:p>
        </w:tc>
        <w:tc>
          <w:tcPr>
            <w:tcW w:w="670"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4"/>
                <w:lang w:bidi="ar"/>
              </w:rPr>
            </w:pPr>
          </w:p>
        </w:tc>
      </w:tr>
      <w:tr>
        <w:tblPrEx>
          <w:tblLayout w:type="fixed"/>
          <w:tblCellMar>
            <w:top w:w="15" w:type="dxa"/>
            <w:left w:w="15" w:type="dxa"/>
            <w:bottom w:w="15" w:type="dxa"/>
            <w:right w:w="15" w:type="dxa"/>
          </w:tblCellMar>
        </w:tblPrEx>
        <w:trPr>
          <w:trHeight w:val="345" w:hRule="atLeast"/>
        </w:trPr>
        <w:tc>
          <w:tcPr>
            <w:tcW w:w="608"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c>
          <w:tcPr>
            <w:tcW w:w="378"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c>
          <w:tcPr>
            <w:tcW w:w="950"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c>
          <w:tcPr>
            <w:tcW w:w="810"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c>
          <w:tcPr>
            <w:tcW w:w="4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小计</w:t>
            </w:r>
          </w:p>
        </w:tc>
        <w:tc>
          <w:tcPr>
            <w:tcW w:w="82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房屋构筑物</w:t>
            </w:r>
          </w:p>
        </w:tc>
        <w:tc>
          <w:tcPr>
            <w:tcW w:w="6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汽车</w:t>
            </w:r>
          </w:p>
        </w:tc>
        <w:tc>
          <w:tcPr>
            <w:tcW w:w="575"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单价200万以上大型设备</w:t>
            </w:r>
          </w:p>
        </w:tc>
        <w:tc>
          <w:tcPr>
            <w:tcW w:w="98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其他固定资产</w:t>
            </w:r>
          </w:p>
        </w:tc>
        <w:tc>
          <w:tcPr>
            <w:tcW w:w="276" w:type="dxa"/>
            <w:gridSpan w:val="2"/>
            <w:tcBorders>
              <w:top w:val="single" w:color="80808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c>
          <w:tcPr>
            <w:tcW w:w="540" w:type="dxa"/>
            <w:tcBorders>
              <w:top w:val="single" w:color="80808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c>
          <w:tcPr>
            <w:tcW w:w="675" w:type="dxa"/>
            <w:gridSpan w:val="2"/>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c>
          <w:tcPr>
            <w:tcW w:w="390" w:type="dxa"/>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c>
          <w:tcPr>
            <w:tcW w:w="525" w:type="dxa"/>
            <w:gridSpan w:val="3"/>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c>
          <w:tcPr>
            <w:tcW w:w="495" w:type="dxa"/>
            <w:gridSpan w:val="3"/>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c>
          <w:tcPr>
            <w:tcW w:w="670" w:type="dxa"/>
            <w:gridSpan w:val="2"/>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r>
      <w:tr>
        <w:tblPrEx>
          <w:tblLayout w:type="fixed"/>
          <w:tblCellMar>
            <w:top w:w="15" w:type="dxa"/>
            <w:left w:w="15" w:type="dxa"/>
            <w:bottom w:w="15" w:type="dxa"/>
            <w:right w:w="15" w:type="dxa"/>
          </w:tblCellMar>
        </w:tblPrEx>
        <w:trPr>
          <w:trHeight w:val="2746" w:hRule="atLeast"/>
        </w:trPr>
        <w:tc>
          <w:tcPr>
            <w:tcW w:w="608"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c>
          <w:tcPr>
            <w:tcW w:w="378"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c>
          <w:tcPr>
            <w:tcW w:w="950"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c>
          <w:tcPr>
            <w:tcW w:w="810"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c>
          <w:tcPr>
            <w:tcW w:w="4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c>
          <w:tcPr>
            <w:tcW w:w="57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c>
          <w:tcPr>
            <w:tcW w:w="98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c>
          <w:tcPr>
            <w:tcW w:w="276" w:type="dxa"/>
            <w:gridSpan w:val="2"/>
            <w:tcBorders>
              <w:top w:val="single" w:color="80808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c>
          <w:tcPr>
            <w:tcW w:w="540" w:type="dxa"/>
            <w:tcBorders>
              <w:top w:val="single" w:color="80808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c>
          <w:tcPr>
            <w:tcW w:w="675" w:type="dxa"/>
            <w:gridSpan w:val="2"/>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c>
          <w:tcPr>
            <w:tcW w:w="390" w:type="dxa"/>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c>
          <w:tcPr>
            <w:tcW w:w="525" w:type="dxa"/>
            <w:gridSpan w:val="3"/>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c>
          <w:tcPr>
            <w:tcW w:w="495" w:type="dxa"/>
            <w:gridSpan w:val="3"/>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c>
          <w:tcPr>
            <w:tcW w:w="670" w:type="dxa"/>
            <w:gridSpan w:val="2"/>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rPr>
            </w:pPr>
          </w:p>
        </w:tc>
      </w:tr>
      <w:tr>
        <w:tblPrEx>
          <w:tblLayout w:type="fixed"/>
          <w:tblCellMar>
            <w:top w:w="15" w:type="dxa"/>
            <w:left w:w="15" w:type="dxa"/>
            <w:bottom w:w="15" w:type="dxa"/>
            <w:right w:w="15" w:type="dxa"/>
          </w:tblCellMar>
        </w:tblPrEx>
        <w:trPr>
          <w:trHeight w:val="254" w:hRule="atLeast"/>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栏次</w:t>
            </w:r>
          </w:p>
        </w:tc>
        <w:tc>
          <w:tcPr>
            <w:tcW w:w="37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sz w:val="24"/>
              </w:rPr>
            </w:pP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1</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2</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3</w:t>
            </w: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4</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5</w:t>
            </w:r>
          </w:p>
        </w:tc>
        <w:tc>
          <w:tcPr>
            <w:tcW w:w="57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6</w:t>
            </w:r>
          </w:p>
        </w:tc>
        <w:tc>
          <w:tcPr>
            <w:tcW w:w="98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7</w:t>
            </w:r>
          </w:p>
        </w:tc>
        <w:tc>
          <w:tcPr>
            <w:tcW w:w="27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8</w:t>
            </w: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9</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10</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11</w:t>
            </w:r>
          </w:p>
        </w:tc>
        <w:tc>
          <w:tcPr>
            <w:tcW w:w="52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4"/>
                <w:lang w:bidi="ar"/>
              </w:rPr>
            </w:pPr>
          </w:p>
        </w:tc>
        <w:tc>
          <w:tcPr>
            <w:tcW w:w="49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4"/>
                <w:lang w:bidi="ar"/>
              </w:rPr>
            </w:pPr>
          </w:p>
        </w:tc>
        <w:tc>
          <w:tcPr>
            <w:tcW w:w="6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4"/>
                <w:lang w:bidi="ar"/>
              </w:rPr>
            </w:pPr>
          </w:p>
        </w:tc>
      </w:tr>
      <w:tr>
        <w:tblPrEx>
          <w:tblLayout w:type="fixed"/>
          <w:tblCellMar>
            <w:top w:w="15" w:type="dxa"/>
            <w:left w:w="15" w:type="dxa"/>
            <w:bottom w:w="15" w:type="dxa"/>
            <w:right w:w="15" w:type="dxa"/>
          </w:tblCellMar>
        </w:tblPrEx>
        <w:trPr>
          <w:trHeight w:val="563" w:hRule="atLeast"/>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合计</w:t>
            </w:r>
          </w:p>
        </w:tc>
        <w:tc>
          <w:tcPr>
            <w:tcW w:w="3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1</w:t>
            </w:r>
          </w:p>
        </w:tc>
        <w:tc>
          <w:tcPr>
            <w:tcW w:w="9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sz w:val="16"/>
                <w:szCs w:val="16"/>
                <w:lang w:eastAsia="zh-CN"/>
              </w:rPr>
            </w:pPr>
            <w:r>
              <w:rPr>
                <w:rFonts w:hint="eastAsia" w:ascii="仿宋" w:hAnsi="仿宋" w:eastAsia="仿宋" w:cs="仿宋"/>
                <w:sz w:val="16"/>
                <w:szCs w:val="16"/>
                <w:lang w:val="en-US" w:eastAsia="zh-CN"/>
              </w:rPr>
              <w:t>1276.94</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16"/>
                <w:szCs w:val="16"/>
                <w:lang w:eastAsia="zh-CN"/>
              </w:rPr>
            </w:pPr>
            <w:r>
              <w:rPr>
                <w:rFonts w:hint="eastAsia" w:ascii="仿宋" w:hAnsi="仿宋" w:eastAsia="仿宋" w:cs="仿宋"/>
                <w:sz w:val="16"/>
                <w:szCs w:val="16"/>
                <w:lang w:val="en-US" w:eastAsia="zh-CN"/>
              </w:rPr>
              <w:t>772.04</w:t>
            </w:r>
          </w:p>
        </w:tc>
        <w:tc>
          <w:tcPr>
            <w:tcW w:w="4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sz w:val="16"/>
                <w:szCs w:val="16"/>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sz w:val="16"/>
                <w:szCs w:val="16"/>
                <w:lang w:eastAsia="zh-CN"/>
              </w:rPr>
            </w:pPr>
            <w:r>
              <w:rPr>
                <w:rFonts w:hint="eastAsia" w:ascii="仿宋" w:hAnsi="仿宋" w:eastAsia="仿宋" w:cs="仿宋"/>
                <w:sz w:val="16"/>
                <w:szCs w:val="16"/>
                <w:lang w:val="en-US" w:eastAsia="zh-CN"/>
              </w:rPr>
              <w:t>356.99</w:t>
            </w:r>
          </w:p>
        </w:tc>
        <w:tc>
          <w:tcPr>
            <w:tcW w:w="64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sz w:val="16"/>
                <w:szCs w:val="16"/>
                <w:lang w:eastAsia="zh-CN"/>
              </w:rPr>
            </w:pPr>
            <w:r>
              <w:rPr>
                <w:rFonts w:hint="eastAsia" w:ascii="仿宋" w:hAnsi="仿宋" w:eastAsia="仿宋" w:cs="仿宋"/>
                <w:sz w:val="16"/>
                <w:szCs w:val="16"/>
                <w:lang w:val="en-US" w:eastAsia="zh-CN"/>
              </w:rPr>
              <w:t>52.49</w:t>
            </w:r>
          </w:p>
        </w:tc>
        <w:tc>
          <w:tcPr>
            <w:tcW w:w="575"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0</w:t>
            </w:r>
          </w:p>
        </w:tc>
        <w:tc>
          <w:tcPr>
            <w:tcW w:w="98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16"/>
                <w:szCs w:val="16"/>
                <w:lang w:eastAsia="zh-CN"/>
              </w:rPr>
            </w:pPr>
            <w:r>
              <w:rPr>
                <w:rFonts w:hint="eastAsia" w:ascii="仿宋" w:hAnsi="仿宋" w:eastAsia="仿宋" w:cs="仿宋"/>
                <w:sz w:val="16"/>
                <w:szCs w:val="16"/>
                <w:lang w:val="en-US" w:eastAsia="zh-CN"/>
              </w:rPr>
              <w:t>95.42</w:t>
            </w:r>
          </w:p>
        </w:tc>
        <w:tc>
          <w:tcPr>
            <w:tcW w:w="276"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sz w:val="18"/>
                <w:lang w:val="en-US" w:eastAsia="zh-CN"/>
              </w:rPr>
            </w:pPr>
            <w:r>
              <w:rPr>
                <w:rFonts w:hint="eastAsia" w:ascii="仿宋" w:hAnsi="仿宋" w:eastAsia="仿宋" w:cs="仿宋"/>
                <w:sz w:val="18"/>
                <w:lang w:val="en-US" w:eastAsia="zh-CN"/>
              </w:rPr>
              <w:t>0</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sz w:val="18"/>
              </w:rPr>
            </w:pPr>
            <w:r>
              <w:rPr>
                <w:rFonts w:hint="eastAsia" w:ascii="仿宋" w:hAnsi="仿宋" w:eastAsia="仿宋" w:cs="仿宋"/>
                <w:sz w:val="18"/>
              </w:rPr>
              <w:t>0</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sz w:val="18"/>
              </w:rPr>
            </w:pPr>
            <w:r>
              <w:rPr>
                <w:rFonts w:hint="eastAsia" w:ascii="仿宋" w:hAnsi="仿宋" w:eastAsia="仿宋" w:cs="仿宋"/>
                <w:sz w:val="18"/>
              </w:rPr>
              <w:t>0</w:t>
            </w:r>
          </w:p>
        </w:tc>
        <w:tc>
          <w:tcPr>
            <w:tcW w:w="39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sz w:val="18"/>
              </w:rPr>
            </w:pPr>
          </w:p>
        </w:tc>
        <w:tc>
          <w:tcPr>
            <w:tcW w:w="525"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sz w:val="18"/>
              </w:rPr>
            </w:pPr>
          </w:p>
        </w:tc>
        <w:tc>
          <w:tcPr>
            <w:tcW w:w="495"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sz w:val="18"/>
              </w:rPr>
            </w:pPr>
          </w:p>
        </w:tc>
        <w:tc>
          <w:tcPr>
            <w:tcW w:w="6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sz w:val="18"/>
              </w:rPr>
            </w:pPr>
          </w:p>
        </w:tc>
      </w:tr>
      <w:tr>
        <w:tblPrEx>
          <w:tblLayout w:type="fixed"/>
          <w:tblCellMar>
            <w:top w:w="15" w:type="dxa"/>
            <w:left w:w="15" w:type="dxa"/>
            <w:bottom w:w="15" w:type="dxa"/>
            <w:right w:w="15" w:type="dxa"/>
          </w:tblCellMar>
        </w:tblPrEx>
        <w:trPr>
          <w:trHeight w:val="259" w:hRule="atLeast"/>
        </w:trPr>
        <w:tc>
          <w:tcPr>
            <w:tcW w:w="7021" w:type="dxa"/>
            <w:gridSpan w:val="16"/>
            <w:vAlign w:val="bottom"/>
          </w:tcPr>
          <w:p>
            <w:pPr>
              <w:rPr>
                <w:rFonts w:hint="eastAsia" w:ascii="仿宋" w:hAnsi="仿宋" w:eastAsia="仿宋" w:cs="仿宋"/>
                <w:sz w:val="24"/>
              </w:rPr>
            </w:pPr>
            <w:r>
              <w:rPr>
                <w:rFonts w:hint="eastAsia" w:ascii="仿宋" w:hAnsi="仿宋" w:eastAsia="仿宋" w:cs="仿宋"/>
                <w:kern w:val="0"/>
                <w:sz w:val="24"/>
                <w:lang w:bidi="ar"/>
              </w:rPr>
              <w:t>填报说明：　1.资产总额＝流动资产＋固定资产＋对外投资／有价证券＋在建工程＋无形资产＋其他资产</w:t>
            </w:r>
          </w:p>
        </w:tc>
        <w:tc>
          <w:tcPr>
            <w:tcW w:w="675" w:type="dxa"/>
            <w:gridSpan w:val="2"/>
            <w:vAlign w:val="bottom"/>
          </w:tcPr>
          <w:p>
            <w:pPr>
              <w:rPr>
                <w:rFonts w:hint="eastAsia" w:ascii="仿宋" w:hAnsi="仿宋" w:eastAsia="仿宋" w:cs="仿宋"/>
                <w:sz w:val="24"/>
              </w:rPr>
            </w:pPr>
          </w:p>
        </w:tc>
        <w:tc>
          <w:tcPr>
            <w:tcW w:w="390" w:type="dxa"/>
            <w:vAlign w:val="bottom"/>
          </w:tcPr>
          <w:p>
            <w:pPr>
              <w:rPr>
                <w:rFonts w:hint="eastAsia" w:ascii="仿宋" w:hAnsi="仿宋" w:eastAsia="仿宋" w:cs="仿宋"/>
                <w:sz w:val="24"/>
              </w:rPr>
            </w:pPr>
          </w:p>
        </w:tc>
        <w:tc>
          <w:tcPr>
            <w:tcW w:w="525" w:type="dxa"/>
            <w:gridSpan w:val="3"/>
            <w:vAlign w:val="bottom"/>
          </w:tcPr>
          <w:p>
            <w:pPr>
              <w:rPr>
                <w:rFonts w:hint="eastAsia" w:ascii="仿宋" w:hAnsi="仿宋" w:eastAsia="仿宋" w:cs="仿宋"/>
                <w:sz w:val="24"/>
              </w:rPr>
            </w:pPr>
          </w:p>
        </w:tc>
        <w:tc>
          <w:tcPr>
            <w:tcW w:w="495" w:type="dxa"/>
            <w:gridSpan w:val="3"/>
            <w:vAlign w:val="bottom"/>
          </w:tcPr>
          <w:p>
            <w:pPr>
              <w:rPr>
                <w:rFonts w:hint="eastAsia" w:ascii="仿宋" w:hAnsi="仿宋" w:eastAsia="仿宋" w:cs="仿宋"/>
                <w:sz w:val="24"/>
              </w:rPr>
            </w:pPr>
          </w:p>
        </w:tc>
        <w:tc>
          <w:tcPr>
            <w:tcW w:w="670" w:type="dxa"/>
            <w:gridSpan w:val="2"/>
            <w:vAlign w:val="bottom"/>
          </w:tcPr>
          <w:p>
            <w:pPr>
              <w:rPr>
                <w:rFonts w:hint="eastAsia" w:ascii="仿宋" w:hAnsi="仿宋" w:eastAsia="仿宋" w:cs="仿宋"/>
                <w:sz w:val="24"/>
              </w:rPr>
            </w:pPr>
          </w:p>
        </w:tc>
      </w:tr>
      <w:tr>
        <w:tblPrEx>
          <w:tblLayout w:type="fixed"/>
          <w:tblCellMar>
            <w:top w:w="15" w:type="dxa"/>
            <w:left w:w="15" w:type="dxa"/>
            <w:bottom w:w="15" w:type="dxa"/>
            <w:right w:w="15" w:type="dxa"/>
          </w:tblCellMar>
        </w:tblPrEx>
        <w:trPr>
          <w:trHeight w:val="495" w:hRule="atLeast"/>
        </w:trPr>
        <w:tc>
          <w:tcPr>
            <w:tcW w:w="7696" w:type="dxa"/>
            <w:gridSpan w:val="18"/>
            <w:vAlign w:val="bottom"/>
          </w:tcPr>
          <w:p>
            <w:pPr>
              <w:rPr>
                <w:rFonts w:hint="eastAsia" w:ascii="仿宋" w:hAnsi="仿宋" w:eastAsia="仿宋" w:cs="仿宋"/>
                <w:sz w:val="24"/>
              </w:rPr>
            </w:pPr>
            <w:r>
              <w:rPr>
                <w:rFonts w:hint="eastAsia" w:ascii="仿宋" w:hAnsi="仿宋" w:eastAsia="仿宋" w:cs="仿宋"/>
                <w:kern w:val="0"/>
                <w:sz w:val="24"/>
                <w:lang w:bidi="ar"/>
              </w:rPr>
              <w:t>　　　　　　</w:t>
            </w:r>
            <w:r>
              <w:rPr>
                <w:rStyle w:val="12"/>
                <w:rFonts w:hint="eastAsia" w:ascii="仿宋" w:hAnsi="仿宋" w:eastAsia="仿宋" w:cs="仿宋"/>
                <w:sz w:val="24"/>
                <w:lang w:bidi="ar"/>
              </w:rPr>
              <w:t>2.</w:t>
            </w:r>
            <w:r>
              <w:rPr>
                <w:rStyle w:val="11"/>
                <w:rFonts w:hint="default" w:ascii="仿宋" w:hAnsi="仿宋" w:eastAsia="仿宋" w:cs="仿宋"/>
                <w:sz w:val="24"/>
                <w:lang w:bidi="ar"/>
              </w:rPr>
              <w:t>固定资产＝房屋构筑物＋汽车＋单价</w:t>
            </w:r>
            <w:r>
              <w:rPr>
                <w:rStyle w:val="12"/>
                <w:rFonts w:hint="eastAsia" w:ascii="仿宋" w:hAnsi="仿宋" w:eastAsia="仿宋" w:cs="仿宋"/>
                <w:sz w:val="24"/>
                <w:lang w:bidi="ar"/>
              </w:rPr>
              <w:t>200</w:t>
            </w:r>
            <w:r>
              <w:rPr>
                <w:rStyle w:val="11"/>
                <w:rFonts w:hint="default" w:ascii="仿宋" w:hAnsi="仿宋" w:eastAsia="仿宋" w:cs="仿宋"/>
                <w:sz w:val="24"/>
                <w:lang w:bidi="ar"/>
              </w:rPr>
              <w:t>万元以上大型设备＋其他固定资产</w:t>
            </w:r>
          </w:p>
        </w:tc>
        <w:tc>
          <w:tcPr>
            <w:tcW w:w="390" w:type="dxa"/>
            <w:vAlign w:val="bottom"/>
          </w:tcPr>
          <w:p>
            <w:pPr>
              <w:rPr>
                <w:rFonts w:hint="eastAsia" w:ascii="仿宋" w:hAnsi="仿宋" w:eastAsia="仿宋" w:cs="仿宋"/>
                <w:sz w:val="24"/>
              </w:rPr>
            </w:pPr>
          </w:p>
        </w:tc>
        <w:tc>
          <w:tcPr>
            <w:tcW w:w="525" w:type="dxa"/>
            <w:gridSpan w:val="3"/>
            <w:vAlign w:val="bottom"/>
          </w:tcPr>
          <w:p>
            <w:pPr>
              <w:rPr>
                <w:rFonts w:hint="eastAsia" w:ascii="仿宋" w:hAnsi="仿宋" w:eastAsia="仿宋" w:cs="仿宋"/>
                <w:sz w:val="24"/>
              </w:rPr>
            </w:pPr>
          </w:p>
        </w:tc>
        <w:tc>
          <w:tcPr>
            <w:tcW w:w="495" w:type="dxa"/>
            <w:gridSpan w:val="3"/>
            <w:vAlign w:val="bottom"/>
          </w:tcPr>
          <w:p>
            <w:pPr>
              <w:rPr>
                <w:rFonts w:hint="eastAsia" w:ascii="仿宋" w:hAnsi="仿宋" w:eastAsia="仿宋" w:cs="仿宋"/>
                <w:sz w:val="24"/>
              </w:rPr>
            </w:pPr>
          </w:p>
        </w:tc>
        <w:tc>
          <w:tcPr>
            <w:tcW w:w="670" w:type="dxa"/>
            <w:gridSpan w:val="2"/>
            <w:vAlign w:val="bottom"/>
          </w:tcPr>
          <w:p>
            <w:pPr>
              <w:rPr>
                <w:rFonts w:hint="eastAsia" w:ascii="仿宋" w:hAnsi="仿宋" w:eastAsia="仿宋" w:cs="仿宋"/>
                <w:sz w:val="24"/>
              </w:rPr>
            </w:pPr>
          </w:p>
        </w:tc>
      </w:tr>
    </w:tbl>
    <w:p>
      <w:pPr>
        <w:jc w:val="left"/>
        <w:rPr>
          <w:rFonts w:hint="eastAsia" w:ascii="楷体" w:hAnsi="楷体" w:eastAsia="楷体"/>
          <w:sz w:val="28"/>
          <w:szCs w:val="28"/>
        </w:rPr>
      </w:pPr>
      <w:r>
        <w:rPr>
          <w:rFonts w:hint="eastAsia" w:ascii="楷体" w:hAnsi="楷体" w:eastAsia="楷体"/>
          <w:sz w:val="28"/>
          <w:szCs w:val="28"/>
        </w:rPr>
        <w:t>三、政府采购支出情况</w:t>
      </w:r>
    </w:p>
    <w:p>
      <w:pPr>
        <w:ind w:firstLine="560" w:firstLineChars="200"/>
        <w:rPr>
          <w:rFonts w:hint="eastAsia" w:ascii="楷体" w:hAnsi="楷体" w:eastAsia="楷体" w:cs="楷体"/>
          <w:sz w:val="28"/>
          <w:szCs w:val="28"/>
          <w:highlight w:val="none"/>
          <w:lang w:val="en-US" w:eastAsia="zh-CN"/>
        </w:rPr>
      </w:pPr>
      <w:r>
        <w:rPr>
          <w:rFonts w:hint="eastAsia" w:ascii="楷体" w:hAnsi="楷体" w:eastAsia="楷体" w:cs="楷体"/>
          <w:sz w:val="28"/>
          <w:szCs w:val="28"/>
          <w:highlight w:val="none"/>
          <w:lang w:val="en-US" w:eastAsia="zh-CN"/>
        </w:rPr>
        <w:t>2019年度，部门政府采购支出总额33.17万元，其中：政府采购货物支出33.17万元；政府采购工程支出0万元；政府采购服务支出0万元。授予中小企业合同金额33.17万元，占政府采购支出总额的100%。</w:t>
      </w:r>
    </w:p>
    <w:p>
      <w:pPr>
        <w:jc w:val="left"/>
        <w:rPr>
          <w:rFonts w:hint="eastAsia" w:ascii="楷体" w:hAnsi="楷体" w:eastAsia="楷体"/>
          <w:sz w:val="28"/>
          <w:szCs w:val="28"/>
        </w:rPr>
      </w:pPr>
      <w:r>
        <w:rPr>
          <w:rFonts w:hint="eastAsia" w:ascii="楷体" w:hAnsi="楷体" w:eastAsia="楷体"/>
          <w:sz w:val="28"/>
          <w:szCs w:val="28"/>
        </w:rPr>
        <w:t>四、部门绩效自评情况</w:t>
      </w:r>
    </w:p>
    <w:p>
      <w:pPr>
        <w:ind w:firstLine="560" w:firstLineChars="200"/>
        <w:jc w:val="left"/>
        <w:rPr>
          <w:rFonts w:hint="eastAsia" w:ascii="楷体" w:hAnsi="楷体" w:eastAsia="楷体"/>
          <w:sz w:val="28"/>
          <w:szCs w:val="28"/>
        </w:rPr>
      </w:pPr>
      <w:r>
        <w:rPr>
          <w:rFonts w:hint="eastAsia" w:ascii="楷体" w:hAnsi="楷体" w:eastAsia="楷体"/>
          <w:sz w:val="28"/>
          <w:szCs w:val="28"/>
        </w:rPr>
        <w:t>本年度我单位没有开展过相关绩效自评工作，故公开空表。</w:t>
      </w:r>
    </w:p>
    <w:p>
      <w:pPr>
        <w:jc w:val="left"/>
        <w:rPr>
          <w:rFonts w:hint="eastAsia" w:ascii="楷体" w:hAnsi="楷体" w:eastAsia="楷体"/>
          <w:sz w:val="28"/>
          <w:szCs w:val="28"/>
        </w:rPr>
      </w:pPr>
      <w:r>
        <w:rPr>
          <w:rFonts w:hint="eastAsia" w:ascii="楷体" w:hAnsi="楷体" w:eastAsia="楷体"/>
          <w:sz w:val="28"/>
          <w:szCs w:val="28"/>
        </w:rPr>
        <w:t>五、其他重要事项情况说明、</w:t>
      </w:r>
    </w:p>
    <w:p>
      <w:pPr>
        <w:ind w:firstLine="560" w:firstLineChars="200"/>
        <w:jc w:val="left"/>
        <w:rPr>
          <w:rFonts w:hint="eastAsia" w:ascii="楷体" w:hAnsi="楷体" w:eastAsia="楷体"/>
          <w:sz w:val="28"/>
          <w:szCs w:val="28"/>
        </w:rPr>
      </w:pPr>
      <w:r>
        <w:rPr>
          <w:rFonts w:hint="eastAsia" w:ascii="楷体" w:hAnsi="楷体" w:eastAsia="楷体"/>
          <w:sz w:val="28"/>
          <w:szCs w:val="28"/>
        </w:rPr>
        <w:t>我单位无其他事项情况说明。</w:t>
      </w:r>
    </w:p>
    <w:p>
      <w:pPr>
        <w:jc w:val="left"/>
        <w:rPr>
          <w:rFonts w:hint="eastAsia" w:ascii="楷体" w:hAnsi="楷体" w:eastAsia="楷体" w:cs="黑体"/>
          <w:sz w:val="28"/>
          <w:szCs w:val="28"/>
        </w:rPr>
      </w:pPr>
      <w:r>
        <w:rPr>
          <w:rFonts w:hint="eastAsia" w:ascii="楷体" w:hAnsi="楷体" w:eastAsia="楷体" w:cs="黑体"/>
          <w:sz w:val="28"/>
          <w:szCs w:val="28"/>
        </w:rPr>
        <w:t>五、其他重要事项情况说明</w:t>
      </w:r>
    </w:p>
    <w:p>
      <w:pPr>
        <w:widowControl/>
        <w:snapToGrid w:val="0"/>
        <w:spacing w:before="100" w:after="100" w:line="360" w:lineRule="auto"/>
        <w:ind w:firstLine="560" w:firstLineChars="200"/>
        <w:jc w:val="left"/>
        <w:rPr>
          <w:rFonts w:hint="eastAsia" w:ascii="楷体" w:hAnsi="楷体" w:eastAsia="楷体" w:cs="方正小标宋简体"/>
          <w:sz w:val="28"/>
          <w:szCs w:val="28"/>
        </w:rPr>
      </w:pPr>
      <w:r>
        <w:rPr>
          <w:rFonts w:hint="eastAsia" w:ascii="楷体" w:hAnsi="楷体" w:eastAsia="楷体" w:cs="方正小标宋简体"/>
          <w:sz w:val="28"/>
          <w:szCs w:val="28"/>
        </w:rPr>
        <w:t>我单位无其他重要事项情况说明。</w:t>
      </w:r>
    </w:p>
    <w:p>
      <w:pPr>
        <w:widowControl/>
        <w:snapToGrid w:val="0"/>
        <w:spacing w:before="100" w:after="100" w:line="360" w:lineRule="auto"/>
        <w:jc w:val="left"/>
        <w:rPr>
          <w:rFonts w:hint="eastAsia" w:ascii="楷体" w:hAnsi="楷体" w:eastAsia="楷体" w:cs="黑体"/>
          <w:sz w:val="28"/>
          <w:szCs w:val="28"/>
        </w:rPr>
      </w:pPr>
      <w:r>
        <w:rPr>
          <w:rFonts w:hint="eastAsia" w:ascii="楷体" w:hAnsi="楷体" w:eastAsia="楷体" w:cs="黑体"/>
          <w:sz w:val="28"/>
          <w:szCs w:val="28"/>
        </w:rPr>
        <w:t>六、相关口径说明</w:t>
      </w:r>
    </w:p>
    <w:p>
      <w:pPr>
        <w:ind w:firstLine="560" w:firstLineChars="200"/>
        <w:jc w:val="left"/>
        <w:rPr>
          <w:rFonts w:hint="eastAsia" w:ascii="楷体" w:hAnsi="楷体" w:eastAsia="楷体" w:cs="方正小标宋简体"/>
          <w:sz w:val="28"/>
          <w:szCs w:val="28"/>
        </w:rPr>
      </w:pPr>
      <w:r>
        <w:rPr>
          <w:rFonts w:hint="eastAsia" w:ascii="楷体" w:hAnsi="楷体" w:eastAsia="楷体" w:cs="方正小标宋简体"/>
          <w:sz w:val="28"/>
          <w:szCs w:val="28"/>
        </w:rPr>
        <w:t>（一）基本支出中人员经费包括工资福利支出和对个人和家庭的补助，日常公用支出包括商品和服务支出、资本性支出等人员经费以外的支出。</w:t>
      </w:r>
    </w:p>
    <w:p>
      <w:pPr>
        <w:ind w:firstLine="560" w:firstLineChars="200"/>
        <w:jc w:val="left"/>
        <w:rPr>
          <w:rFonts w:hint="eastAsia" w:ascii="楷体" w:hAnsi="楷体" w:eastAsia="楷体" w:cs="方正小标宋简体"/>
          <w:sz w:val="28"/>
          <w:szCs w:val="28"/>
        </w:rPr>
      </w:pPr>
      <w:r>
        <w:rPr>
          <w:rFonts w:hint="eastAsia" w:ascii="楷体" w:hAnsi="楷体" w:eastAsia="楷体" w:cs="方正小标宋简体"/>
          <w:sz w:val="28"/>
          <w:szCs w:val="28"/>
        </w:rPr>
        <w:t>（二）机关运行经费指行政单位和参照公务员法管理的事业单位使用一般公共预算财政拨款安排的基本支出中的日常公用经费支出。</w:t>
      </w:r>
    </w:p>
    <w:p>
      <w:pPr>
        <w:ind w:firstLine="560" w:firstLineChars="200"/>
        <w:jc w:val="left"/>
        <w:rPr>
          <w:rFonts w:hint="eastAsia" w:ascii="楷体" w:hAnsi="楷体" w:eastAsia="楷体" w:cs="方正小标宋简体"/>
          <w:sz w:val="28"/>
          <w:szCs w:val="28"/>
        </w:rPr>
      </w:pPr>
      <w:r>
        <w:rPr>
          <w:rFonts w:hint="eastAsia" w:ascii="楷体" w:hAnsi="楷体" w:eastAsia="楷体" w:cs="方正小标宋简体"/>
          <w:sz w:val="28"/>
          <w:szCs w:val="28"/>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ind w:firstLine="560" w:firstLineChars="200"/>
        <w:jc w:val="left"/>
        <w:rPr>
          <w:rFonts w:hint="eastAsia" w:ascii="楷体" w:hAnsi="楷体" w:eastAsia="楷体" w:cs="方正小标宋简体"/>
          <w:sz w:val="28"/>
          <w:szCs w:val="28"/>
        </w:rPr>
      </w:pPr>
      <w:r>
        <w:rPr>
          <w:rFonts w:hint="eastAsia" w:ascii="楷体" w:hAnsi="楷体" w:eastAsia="楷体" w:cs="方正小标宋简体"/>
          <w:sz w:val="28"/>
          <w:szCs w:val="28"/>
        </w:rPr>
        <w:t>（四）“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jc w:val="center"/>
        <w:rPr>
          <w:rFonts w:hint="eastAsia" w:ascii="楷体" w:hAnsi="楷体" w:eastAsia="楷体" w:cs="方正小标宋简体"/>
          <w:sz w:val="28"/>
          <w:szCs w:val="28"/>
        </w:rPr>
      </w:pPr>
      <w:r>
        <w:rPr>
          <w:rFonts w:hint="eastAsia" w:ascii="楷体" w:hAnsi="楷体" w:eastAsia="楷体" w:cs="方正小标宋简体"/>
          <w:sz w:val="28"/>
          <w:szCs w:val="28"/>
        </w:rPr>
        <w:t>第五部分  名词解释</w:t>
      </w:r>
    </w:p>
    <w:p>
      <w:pPr>
        <w:numPr>
          <w:ilvl w:val="0"/>
          <w:numId w:val="3"/>
        </w:numPr>
        <w:spacing w:line="600" w:lineRule="exact"/>
        <w:ind w:firstLine="600"/>
        <w:jc w:val="left"/>
        <w:rPr>
          <w:rFonts w:hint="eastAsia" w:ascii="楷体" w:hAnsi="楷体" w:eastAsia="楷体" w:cs="方正小标宋简体"/>
          <w:sz w:val="28"/>
          <w:szCs w:val="28"/>
        </w:rPr>
      </w:pPr>
      <w:r>
        <w:rPr>
          <w:rFonts w:hint="eastAsia" w:ascii="楷体" w:hAnsi="楷体" w:eastAsia="楷体" w:cs="方正小标宋简体"/>
          <w:sz w:val="28"/>
          <w:szCs w:val="28"/>
        </w:rPr>
        <w:t>政府采购：指国家机关、事业单位和团体组织，依法在规定范围内使用财政性资金采购货物、工程和服务的行为。以公开招标为主要采购方式。</w:t>
      </w:r>
    </w:p>
    <w:p>
      <w:pPr>
        <w:numPr>
          <w:ilvl w:val="0"/>
          <w:numId w:val="3"/>
        </w:numPr>
        <w:spacing w:line="600" w:lineRule="exact"/>
        <w:ind w:firstLine="600"/>
        <w:jc w:val="left"/>
        <w:rPr>
          <w:rFonts w:hint="eastAsia" w:ascii="楷体" w:hAnsi="楷体" w:eastAsia="楷体" w:cs="方正小标宋简体"/>
          <w:sz w:val="28"/>
          <w:szCs w:val="28"/>
        </w:rPr>
      </w:pPr>
      <w:r>
        <w:rPr>
          <w:rFonts w:hint="eastAsia" w:ascii="楷体" w:hAnsi="楷体" w:eastAsia="楷体" w:cs="方正小标宋简体"/>
          <w:sz w:val="28"/>
          <w:szCs w:val="28"/>
        </w:rPr>
        <w:t>政府性基金：是对依照法律、行政法规的规定在一定期限内向特定对象征收、收取或者以其他方式筹集的资金，专项用于特定公共事业的发展。</w:t>
      </w:r>
    </w:p>
    <w:p>
      <w:pPr>
        <w:numPr>
          <w:ilvl w:val="0"/>
          <w:numId w:val="3"/>
        </w:numPr>
        <w:spacing w:line="600" w:lineRule="exact"/>
        <w:ind w:firstLine="600"/>
        <w:jc w:val="left"/>
        <w:rPr>
          <w:rFonts w:hint="eastAsia" w:ascii="楷体" w:hAnsi="楷体" w:eastAsia="楷体" w:cs="方正小标宋简体"/>
          <w:sz w:val="28"/>
          <w:szCs w:val="28"/>
        </w:rPr>
      </w:pPr>
      <w:r>
        <w:rPr>
          <w:rFonts w:hint="eastAsia" w:ascii="楷体" w:hAnsi="楷体" w:eastAsia="楷体" w:cs="方正小标宋简体"/>
          <w:sz w:val="28"/>
          <w:szCs w:val="28"/>
        </w:rPr>
        <w:t>项目支出：是指行政事业单位为完成其特定的行政工作任务或事业发展目标，并依据具体工作内容编制的年度经费支出。</w:t>
      </w:r>
    </w:p>
    <w:p>
      <w:pPr>
        <w:numPr>
          <w:ilvl w:val="0"/>
          <w:numId w:val="3"/>
        </w:numPr>
        <w:spacing w:line="600" w:lineRule="exact"/>
        <w:ind w:firstLine="600"/>
        <w:jc w:val="left"/>
        <w:rPr>
          <w:rFonts w:hint="eastAsia" w:ascii="楷体" w:hAnsi="楷体" w:eastAsia="楷体" w:cs="方正小标宋简体"/>
          <w:sz w:val="28"/>
          <w:szCs w:val="28"/>
        </w:rPr>
      </w:pPr>
      <w:r>
        <w:rPr>
          <w:rFonts w:hint="eastAsia" w:ascii="楷体" w:hAnsi="楷体" w:eastAsia="楷体" w:cs="方正小标宋简体"/>
          <w:sz w:val="28"/>
          <w:szCs w:val="28"/>
        </w:rPr>
        <w:t>基本支出：是指行政事业单位为完成其特定行政工作任务或事业发展目标，并依据具体工作内容编制的年度机关行政事业单位运行经费支出。</w:t>
      </w:r>
    </w:p>
    <w:p>
      <w:pPr>
        <w:ind w:firstLine="560" w:firstLineChars="200"/>
        <w:jc w:val="left"/>
        <w:rPr>
          <w:rFonts w:hint="eastAsia" w:ascii="楷体" w:hAnsi="楷体" w:eastAsia="楷体" w:cs="方正小标宋简体"/>
          <w:sz w:val="28"/>
          <w:szCs w:val="28"/>
        </w:rPr>
      </w:pPr>
    </w:p>
    <w:p>
      <w:pPr>
        <w:widowControl/>
        <w:snapToGrid w:val="0"/>
        <w:spacing w:before="100" w:after="100" w:line="360" w:lineRule="auto"/>
        <w:jc w:val="left"/>
        <w:rPr>
          <w:rFonts w:hint="eastAsia" w:ascii="楷体" w:hAnsi="楷体" w:eastAsia="楷体"/>
          <w:sz w:val="28"/>
          <w:szCs w:val="28"/>
        </w:rPr>
      </w:pPr>
    </w:p>
    <w:p>
      <w:pPr>
        <w:jc w:val="center"/>
        <w:rPr>
          <w:rFonts w:hint="eastAsia" w:ascii="楷体" w:hAnsi="楷体" w:eastAsia="楷体"/>
          <w:sz w:val="28"/>
          <w:szCs w:val="28"/>
        </w:rPr>
      </w:pPr>
    </w:p>
    <w:p>
      <w:pPr>
        <w:jc w:val="center"/>
        <w:rPr>
          <w:rFonts w:hint="eastAsia" w:ascii="楷体" w:hAnsi="楷体" w:eastAsia="楷体"/>
          <w:sz w:val="28"/>
          <w:szCs w:val="28"/>
        </w:rPr>
      </w:pPr>
    </w:p>
    <w:p>
      <w:pPr>
        <w:jc w:val="center"/>
        <w:rPr>
          <w:rFonts w:hint="eastAsia" w:ascii="楷体" w:hAnsi="楷体" w:eastAsia="楷体"/>
          <w:sz w:val="32"/>
          <w:szCs w:val="32"/>
        </w:rPr>
      </w:pPr>
    </w:p>
    <w:p>
      <w:pPr>
        <w:jc w:val="center"/>
        <w:rPr>
          <w:rFonts w:hint="eastAsia" w:ascii="楷体" w:hAnsi="楷体" w:eastAsia="楷体"/>
          <w:sz w:val="32"/>
          <w:szCs w:val="32"/>
        </w:rPr>
      </w:pPr>
    </w:p>
    <w:sectPr>
      <w:headerReference r:id="rId3" w:type="default"/>
      <w:footerReference r:id="rId4" w:type="default"/>
      <w:footerReference r:id="rId5"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书宋繁体">
    <w:panose1 w:val="02010601030101010101"/>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BC517F"/>
    <w:multiLevelType w:val="singleLevel"/>
    <w:tmpl w:val="F5BC517F"/>
    <w:lvl w:ilvl="0" w:tentative="0">
      <w:start w:val="1"/>
      <w:numFmt w:val="chineseCounting"/>
      <w:suff w:val="nothing"/>
      <w:lvlText w:val="（%1）"/>
      <w:lvlJc w:val="left"/>
      <w:rPr>
        <w:rFonts w:hint="eastAsia"/>
      </w:rPr>
    </w:lvl>
  </w:abstractNum>
  <w:abstractNum w:abstractNumId="1">
    <w:nsid w:val="5F689960"/>
    <w:multiLevelType w:val="singleLevel"/>
    <w:tmpl w:val="5F689960"/>
    <w:lvl w:ilvl="0" w:tentative="0">
      <w:start w:val="1"/>
      <w:numFmt w:val="chineseCounting"/>
      <w:suff w:val="nothing"/>
      <w:lvlText w:val="%1、"/>
      <w:lvlJc w:val="left"/>
    </w:lvl>
  </w:abstractNum>
  <w:abstractNum w:abstractNumId="2">
    <w:nsid w:val="5F6ABAB8"/>
    <w:multiLevelType w:val="singleLevel"/>
    <w:tmpl w:val="5F6ABAB8"/>
    <w:lvl w:ilvl="0" w:tentative="0">
      <w:start w:val="2"/>
      <w:numFmt w:val="chineseCounting"/>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258E"/>
    <w:rsid w:val="00014033"/>
    <w:rsid w:val="00015917"/>
    <w:rsid w:val="00017130"/>
    <w:rsid w:val="0003511E"/>
    <w:rsid w:val="00054D66"/>
    <w:rsid w:val="000913E4"/>
    <w:rsid w:val="00096FD6"/>
    <w:rsid w:val="000A6010"/>
    <w:rsid w:val="000C3242"/>
    <w:rsid w:val="000D76DE"/>
    <w:rsid w:val="000E1FB4"/>
    <w:rsid w:val="000F1483"/>
    <w:rsid w:val="0010004D"/>
    <w:rsid w:val="001263DA"/>
    <w:rsid w:val="001374A6"/>
    <w:rsid w:val="001536A4"/>
    <w:rsid w:val="00154575"/>
    <w:rsid w:val="00172A27"/>
    <w:rsid w:val="001749E4"/>
    <w:rsid w:val="00182815"/>
    <w:rsid w:val="001A0E45"/>
    <w:rsid w:val="001A3A9F"/>
    <w:rsid w:val="001C2096"/>
    <w:rsid w:val="001C6512"/>
    <w:rsid w:val="001F4C78"/>
    <w:rsid w:val="00224AF2"/>
    <w:rsid w:val="002360A6"/>
    <w:rsid w:val="00244E37"/>
    <w:rsid w:val="002718E1"/>
    <w:rsid w:val="0029065D"/>
    <w:rsid w:val="00297B71"/>
    <w:rsid w:val="002A35DC"/>
    <w:rsid w:val="002B295A"/>
    <w:rsid w:val="002D0360"/>
    <w:rsid w:val="002E1618"/>
    <w:rsid w:val="00310284"/>
    <w:rsid w:val="003562C5"/>
    <w:rsid w:val="003663D2"/>
    <w:rsid w:val="00371195"/>
    <w:rsid w:val="00392FEE"/>
    <w:rsid w:val="00393375"/>
    <w:rsid w:val="003938CD"/>
    <w:rsid w:val="003A263E"/>
    <w:rsid w:val="003C233F"/>
    <w:rsid w:val="003E167F"/>
    <w:rsid w:val="003F462A"/>
    <w:rsid w:val="00401A05"/>
    <w:rsid w:val="0040467A"/>
    <w:rsid w:val="004176B7"/>
    <w:rsid w:val="00430657"/>
    <w:rsid w:val="004375EE"/>
    <w:rsid w:val="0045007E"/>
    <w:rsid w:val="004636A8"/>
    <w:rsid w:val="0047070E"/>
    <w:rsid w:val="0048090A"/>
    <w:rsid w:val="00487E15"/>
    <w:rsid w:val="0049341E"/>
    <w:rsid w:val="004D1694"/>
    <w:rsid w:val="004D5A12"/>
    <w:rsid w:val="004E71D9"/>
    <w:rsid w:val="0050289F"/>
    <w:rsid w:val="005144D0"/>
    <w:rsid w:val="0052295E"/>
    <w:rsid w:val="00550133"/>
    <w:rsid w:val="0055230D"/>
    <w:rsid w:val="005545C8"/>
    <w:rsid w:val="00557069"/>
    <w:rsid w:val="00575AC5"/>
    <w:rsid w:val="0057690C"/>
    <w:rsid w:val="00577096"/>
    <w:rsid w:val="005A1A61"/>
    <w:rsid w:val="005B558B"/>
    <w:rsid w:val="005C5BF9"/>
    <w:rsid w:val="005D3F26"/>
    <w:rsid w:val="005E4A61"/>
    <w:rsid w:val="0060151B"/>
    <w:rsid w:val="006021EC"/>
    <w:rsid w:val="00602C8C"/>
    <w:rsid w:val="00607AF7"/>
    <w:rsid w:val="00614FBB"/>
    <w:rsid w:val="006219B9"/>
    <w:rsid w:val="0062634D"/>
    <w:rsid w:val="00640B67"/>
    <w:rsid w:val="00647178"/>
    <w:rsid w:val="00651567"/>
    <w:rsid w:val="006546F4"/>
    <w:rsid w:val="0066092E"/>
    <w:rsid w:val="00680F7A"/>
    <w:rsid w:val="00697350"/>
    <w:rsid w:val="006A112F"/>
    <w:rsid w:val="006C4F21"/>
    <w:rsid w:val="006D02F7"/>
    <w:rsid w:val="006E45B7"/>
    <w:rsid w:val="006E7A1A"/>
    <w:rsid w:val="006F0610"/>
    <w:rsid w:val="00720D83"/>
    <w:rsid w:val="007249B2"/>
    <w:rsid w:val="00734A8A"/>
    <w:rsid w:val="007374D5"/>
    <w:rsid w:val="0074148D"/>
    <w:rsid w:val="007627A1"/>
    <w:rsid w:val="0076459B"/>
    <w:rsid w:val="00776986"/>
    <w:rsid w:val="00783A08"/>
    <w:rsid w:val="007A132A"/>
    <w:rsid w:val="007A375D"/>
    <w:rsid w:val="007A61A0"/>
    <w:rsid w:val="007B0761"/>
    <w:rsid w:val="007B4F9A"/>
    <w:rsid w:val="007B548C"/>
    <w:rsid w:val="007B65F4"/>
    <w:rsid w:val="007D1D2B"/>
    <w:rsid w:val="007D5A1D"/>
    <w:rsid w:val="007E329F"/>
    <w:rsid w:val="007E38F7"/>
    <w:rsid w:val="007F0EE2"/>
    <w:rsid w:val="007F6762"/>
    <w:rsid w:val="008066B7"/>
    <w:rsid w:val="00816AEC"/>
    <w:rsid w:val="00823B32"/>
    <w:rsid w:val="008321DC"/>
    <w:rsid w:val="00851E4D"/>
    <w:rsid w:val="0085209F"/>
    <w:rsid w:val="008563D1"/>
    <w:rsid w:val="00890779"/>
    <w:rsid w:val="008A4EFB"/>
    <w:rsid w:val="008C6076"/>
    <w:rsid w:val="008D757B"/>
    <w:rsid w:val="008E399D"/>
    <w:rsid w:val="008F39D5"/>
    <w:rsid w:val="00905397"/>
    <w:rsid w:val="00944AE2"/>
    <w:rsid w:val="00953916"/>
    <w:rsid w:val="00960215"/>
    <w:rsid w:val="0096611B"/>
    <w:rsid w:val="00966EA3"/>
    <w:rsid w:val="0097642E"/>
    <w:rsid w:val="00981B86"/>
    <w:rsid w:val="0099058A"/>
    <w:rsid w:val="00995C9D"/>
    <w:rsid w:val="0099708C"/>
    <w:rsid w:val="009B39E4"/>
    <w:rsid w:val="009C2C9B"/>
    <w:rsid w:val="009C3DCD"/>
    <w:rsid w:val="009E20C7"/>
    <w:rsid w:val="009E3711"/>
    <w:rsid w:val="009E50DD"/>
    <w:rsid w:val="009E7A81"/>
    <w:rsid w:val="009F0254"/>
    <w:rsid w:val="009F18A4"/>
    <w:rsid w:val="00A01BA1"/>
    <w:rsid w:val="00A07799"/>
    <w:rsid w:val="00A3510F"/>
    <w:rsid w:val="00A40C5F"/>
    <w:rsid w:val="00A52885"/>
    <w:rsid w:val="00A60382"/>
    <w:rsid w:val="00A712DC"/>
    <w:rsid w:val="00A72DA9"/>
    <w:rsid w:val="00A778A0"/>
    <w:rsid w:val="00A77BF1"/>
    <w:rsid w:val="00A81874"/>
    <w:rsid w:val="00A86C65"/>
    <w:rsid w:val="00A94999"/>
    <w:rsid w:val="00A96DEB"/>
    <w:rsid w:val="00AA714A"/>
    <w:rsid w:val="00AC573F"/>
    <w:rsid w:val="00B07829"/>
    <w:rsid w:val="00B115F4"/>
    <w:rsid w:val="00B32D86"/>
    <w:rsid w:val="00B4333E"/>
    <w:rsid w:val="00B5366F"/>
    <w:rsid w:val="00B80AAC"/>
    <w:rsid w:val="00B81D10"/>
    <w:rsid w:val="00B9604E"/>
    <w:rsid w:val="00BA3948"/>
    <w:rsid w:val="00BB3509"/>
    <w:rsid w:val="00BC73ED"/>
    <w:rsid w:val="00BE3E47"/>
    <w:rsid w:val="00BE7B81"/>
    <w:rsid w:val="00BF0A0B"/>
    <w:rsid w:val="00BF4907"/>
    <w:rsid w:val="00BF7CE7"/>
    <w:rsid w:val="00C0360F"/>
    <w:rsid w:val="00C236BC"/>
    <w:rsid w:val="00C3042C"/>
    <w:rsid w:val="00C35F72"/>
    <w:rsid w:val="00C37B42"/>
    <w:rsid w:val="00C430D2"/>
    <w:rsid w:val="00C4706B"/>
    <w:rsid w:val="00C53096"/>
    <w:rsid w:val="00C61925"/>
    <w:rsid w:val="00C94711"/>
    <w:rsid w:val="00C95698"/>
    <w:rsid w:val="00CB1134"/>
    <w:rsid w:val="00CC1CE8"/>
    <w:rsid w:val="00CD4CE9"/>
    <w:rsid w:val="00D1253E"/>
    <w:rsid w:val="00D2446F"/>
    <w:rsid w:val="00D2484E"/>
    <w:rsid w:val="00D346F5"/>
    <w:rsid w:val="00D508B8"/>
    <w:rsid w:val="00DA0649"/>
    <w:rsid w:val="00DB4697"/>
    <w:rsid w:val="00DB67A4"/>
    <w:rsid w:val="00DC77E2"/>
    <w:rsid w:val="00DD261E"/>
    <w:rsid w:val="00DF1053"/>
    <w:rsid w:val="00DF1BEC"/>
    <w:rsid w:val="00E36604"/>
    <w:rsid w:val="00E662AA"/>
    <w:rsid w:val="00E769E8"/>
    <w:rsid w:val="00E80B36"/>
    <w:rsid w:val="00E909B0"/>
    <w:rsid w:val="00E9395C"/>
    <w:rsid w:val="00EA2124"/>
    <w:rsid w:val="00EB39A1"/>
    <w:rsid w:val="00EC24BF"/>
    <w:rsid w:val="00ED7654"/>
    <w:rsid w:val="00EE750D"/>
    <w:rsid w:val="00F37401"/>
    <w:rsid w:val="00F44882"/>
    <w:rsid w:val="00F616AF"/>
    <w:rsid w:val="00F73DAF"/>
    <w:rsid w:val="00F74193"/>
    <w:rsid w:val="00F9286C"/>
    <w:rsid w:val="00F94DB0"/>
    <w:rsid w:val="00FA48DF"/>
    <w:rsid w:val="00FA77AB"/>
    <w:rsid w:val="00FF6A71"/>
    <w:rsid w:val="014D2F3C"/>
    <w:rsid w:val="024B11A2"/>
    <w:rsid w:val="03501375"/>
    <w:rsid w:val="06943C88"/>
    <w:rsid w:val="08E73303"/>
    <w:rsid w:val="0D31419F"/>
    <w:rsid w:val="0DFB4D2E"/>
    <w:rsid w:val="0E843C5B"/>
    <w:rsid w:val="0F806081"/>
    <w:rsid w:val="109A2368"/>
    <w:rsid w:val="1253626C"/>
    <w:rsid w:val="12AF3DA1"/>
    <w:rsid w:val="133024F0"/>
    <w:rsid w:val="15544F0A"/>
    <w:rsid w:val="18183C52"/>
    <w:rsid w:val="18CF0032"/>
    <w:rsid w:val="198E0120"/>
    <w:rsid w:val="19D211C3"/>
    <w:rsid w:val="1B9A76F1"/>
    <w:rsid w:val="1DB17A2D"/>
    <w:rsid w:val="1EC56FC0"/>
    <w:rsid w:val="22BA1854"/>
    <w:rsid w:val="236950F1"/>
    <w:rsid w:val="247A0FC8"/>
    <w:rsid w:val="253B1B6C"/>
    <w:rsid w:val="2644124E"/>
    <w:rsid w:val="264974A6"/>
    <w:rsid w:val="2678300D"/>
    <w:rsid w:val="26E508CC"/>
    <w:rsid w:val="29AB5281"/>
    <w:rsid w:val="2BE44B78"/>
    <w:rsid w:val="2C2C7BFF"/>
    <w:rsid w:val="2D2131B4"/>
    <w:rsid w:val="2EBD6C76"/>
    <w:rsid w:val="2ECC42E8"/>
    <w:rsid w:val="31D23B45"/>
    <w:rsid w:val="364203FA"/>
    <w:rsid w:val="366610AA"/>
    <w:rsid w:val="37364169"/>
    <w:rsid w:val="3A062BA9"/>
    <w:rsid w:val="3B9C14F5"/>
    <w:rsid w:val="3CF70F04"/>
    <w:rsid w:val="47A16424"/>
    <w:rsid w:val="4A041DB5"/>
    <w:rsid w:val="4D943E3B"/>
    <w:rsid w:val="4E3304C1"/>
    <w:rsid w:val="4E375ECD"/>
    <w:rsid w:val="4EC26E88"/>
    <w:rsid w:val="4F3B5471"/>
    <w:rsid w:val="4FC146B7"/>
    <w:rsid w:val="4FCC7BC5"/>
    <w:rsid w:val="51373AA3"/>
    <w:rsid w:val="516D76AC"/>
    <w:rsid w:val="52BC6998"/>
    <w:rsid w:val="539E3077"/>
    <w:rsid w:val="553A5444"/>
    <w:rsid w:val="5689784C"/>
    <w:rsid w:val="58890172"/>
    <w:rsid w:val="616A3085"/>
    <w:rsid w:val="68333A82"/>
    <w:rsid w:val="68F03BBE"/>
    <w:rsid w:val="6D3A3659"/>
    <w:rsid w:val="6D8C31DC"/>
    <w:rsid w:val="6DEE7310"/>
    <w:rsid w:val="70242325"/>
    <w:rsid w:val="736433D0"/>
    <w:rsid w:val="73F5419E"/>
    <w:rsid w:val="76D317E9"/>
    <w:rsid w:val="77207610"/>
    <w:rsid w:val="777B0A18"/>
    <w:rsid w:val="781D6D93"/>
    <w:rsid w:val="78AF2483"/>
    <w:rsid w:val="792C3DA2"/>
    <w:rsid w:val="79EB17A6"/>
    <w:rsid w:val="79ED2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beforeLines="30"/>
    </w:pPr>
    <w:rPr>
      <w:rFonts w:ascii="仿宋_GB2312" w:eastAsia="仿宋_GB2312"/>
      <w:sz w:val="30"/>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3"/>
    <w:qFormat/>
    <w:uiPriority w:val="0"/>
    <w:pPr>
      <w:spacing w:after="120"/>
      <w:ind w:left="420" w:leftChars="200"/>
    </w:pPr>
    <w:rPr>
      <w:sz w:val="16"/>
      <w:szCs w:val="16"/>
    </w:rPr>
  </w:style>
  <w:style w:type="character" w:styleId="8">
    <w:name w:val="page number"/>
    <w:basedOn w:val="7"/>
    <w:qFormat/>
    <w:uiPriority w:val="0"/>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font11"/>
    <w:basedOn w:val="7"/>
    <w:qFormat/>
    <w:uiPriority w:val="0"/>
    <w:rPr>
      <w:rFonts w:hint="eastAsia" w:ascii="宋体" w:hAnsi="宋体" w:eastAsia="宋体" w:cs="宋体"/>
      <w:color w:val="000000"/>
      <w:sz w:val="20"/>
      <w:szCs w:val="20"/>
      <w:u w:val="none"/>
    </w:rPr>
  </w:style>
  <w:style w:type="character" w:customStyle="1" w:styleId="12">
    <w:name w:val="font01"/>
    <w:basedOn w:val="7"/>
    <w:qFormat/>
    <w:uiPriority w:val="0"/>
    <w:rPr>
      <w:rFonts w:hint="default" w:ascii="Arial" w:hAnsi="Arial" w:cs="Arial"/>
      <w:color w:val="000000"/>
      <w:sz w:val="20"/>
      <w:szCs w:val="20"/>
      <w:u w:val="none"/>
    </w:rPr>
  </w:style>
  <w:style w:type="character" w:customStyle="1" w:styleId="13">
    <w:name w:val="正文文本缩进 3 Char"/>
    <w:basedOn w:val="7"/>
    <w:link w:val="6"/>
    <w:qFormat/>
    <w:uiPriority w:val="0"/>
    <w:rPr>
      <w:kern w:val="2"/>
      <w:sz w:val="16"/>
      <w:szCs w:val="16"/>
    </w:rPr>
  </w:style>
  <w:style w:type="paragraph" w:customStyle="1" w:styleId="14">
    <w:name w:val="样式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b="1"/>
              <a:t>收入结构分析图</a:t>
            </a:r>
            <a:endParaRPr b="1"/>
          </a:p>
        </c:rich>
      </c:tx>
      <c:layout/>
      <c:overlay val="0"/>
    </c:title>
    <c:autoTitleDeleted val="0"/>
    <c:plotArea>
      <c:layout/>
      <c:pieChart>
        <c:varyColors val="1"/>
        <c:ser>
          <c:idx val="0"/>
          <c:order val="0"/>
          <c:tx>
            <c:strRef>
              <c:f>Sheet1!$B$1</c:f>
              <c:strCache>
                <c:ptCount val="1"/>
                <c:pt idx="0">
                  <c:v>2019年收入占比图</c:v>
                </c:pt>
              </c:strCache>
            </c:strRef>
          </c:tx>
          <c:explosion val="0"/>
          <c:dPt>
            <c:idx val="0"/>
            <c:bubble3D val="0"/>
            <c:explosion val="8"/>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numRef>
              <c:f>Sheet1!$B$2:$B$4</c:f>
              <c:numCache>
                <c:formatCode>0.00%</c:formatCode>
                <c:ptCount val="3"/>
                <c:pt idx="0" c:formatCode="0.00%">
                  <c:v>0.5374</c:v>
                </c:pt>
                <c:pt idx="1" c:formatCode="0.00%">
                  <c:v>0.3739</c:v>
                </c:pt>
                <c:pt idx="2" c:formatCode="0.00%">
                  <c:v>0.0887</c:v>
                </c:pt>
              </c:numCache>
            </c:numRef>
          </c:cat>
          <c:val>
            <c:numRef>
              <c:f>Sheet1!$B$2:$B$4</c:f>
              <c:numCache>
                <c:formatCode>0.00%</c:formatCode>
                <c:ptCount val="3"/>
                <c:pt idx="0">
                  <c:v>0.5374</c:v>
                </c:pt>
                <c:pt idx="1">
                  <c:v>0.3739</c:v>
                </c:pt>
                <c:pt idx="2">
                  <c:v>0.0887</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noFill/>
    <a:ln w="9525" cap="flat" cmpd="sng" algn="ctr">
      <a:noFill/>
      <a:prstDash val="solid"/>
      <a:round/>
    </a:ln>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0" i="0" u="none" strike="noStrike" kern="1200" spc="0" baseline="0">
                <a:solidFill>
                  <a:schemeClr val="tx1">
                    <a:lumMod val="65000"/>
                    <a:lumOff val="35000"/>
                  </a:schemeClr>
                </a:solidFill>
                <a:latin typeface="+mn-ea"/>
                <a:ea typeface="+mn-ea"/>
                <a:cs typeface="+mn-ea"/>
                <a:sym typeface="+mn-ea"/>
              </a:defRPr>
            </a:pPr>
            <a:r>
              <a:rPr sz="1800" b="1">
                <a:solidFill>
                  <a:schemeClr val="tx1"/>
                </a:solidFill>
                <a:latin typeface="+mn-ea"/>
                <a:ea typeface="+mn-ea"/>
                <a:cs typeface="+mn-ea"/>
                <a:sym typeface="+mn-ea"/>
              </a:rPr>
              <a:t>2019年度基本支出</a:t>
            </a:r>
            <a:endParaRPr sz="1800" b="1">
              <a:solidFill>
                <a:schemeClr val="tx1"/>
              </a:solidFill>
              <a:latin typeface="+mn-ea"/>
              <a:ea typeface="+mn-ea"/>
              <a:cs typeface="+mn-ea"/>
              <a:sym typeface="+mn-ea"/>
            </a:endParaRPr>
          </a:p>
        </c:rich>
      </c:tx>
      <c:layout>
        <c:manualLayout>
          <c:xMode val="edge"/>
          <c:yMode val="edge"/>
          <c:x val="0.291322603219034"/>
          <c:y val="0.0233872539465991"/>
        </c:manualLayout>
      </c:layout>
      <c:overlay val="0"/>
      <c:spPr>
        <a:noFill/>
        <a:ln>
          <a:noFill/>
        </a:ln>
        <a:effectLst/>
      </c:spPr>
    </c:title>
    <c:autoTitleDeleted val="0"/>
    <c:plotArea>
      <c:layout/>
      <c:pieChart>
        <c:varyColors val="1"/>
        <c:ser>
          <c:idx val="0"/>
          <c:order val="0"/>
          <c:tx>
            <c:strRef>
              <c:f>Sheet1!$B$1</c:f>
              <c:strCache>
                <c:ptCount val="1"/>
                <c:pt idx="0">
                  <c:v>2019年度基本支出</c:v>
                </c:pt>
              </c:strCache>
            </c:strRef>
          </c:tx>
          <c:spPr/>
          <c:explosion val="0"/>
          <c:dPt>
            <c:idx val="0"/>
            <c:bubble3D val="0"/>
            <c:spPr>
              <a:solidFill>
                <a:schemeClr val="accent1"/>
              </a:solidFill>
              <a:ln w="19050">
                <a:solidFill>
                  <a:schemeClr val="lt1"/>
                </a:solidFill>
              </a:ln>
              <a:effectLst/>
            </c:spPr>
          </c:dPt>
          <c:dPt>
            <c:idx val="1"/>
            <c:bubble3D val="0"/>
            <c:spPr>
              <a:gradFill>
                <a:gsLst>
                  <a:gs pos="29000">
                    <a:srgbClr val="FE4444"/>
                  </a:gs>
                  <a:gs pos="100000">
                    <a:srgbClr val="832B2B"/>
                  </a:gs>
                </a:gsLst>
                <a:lin ang="5400000" scaled="0"/>
              </a:gra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000" b="1"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日常公用经费</c:v>
                </c:pt>
                <c:pt idx="1">
                  <c:v>人员经费</c:v>
                </c:pt>
              </c:strCache>
            </c:strRef>
          </c:cat>
          <c:val>
            <c:numRef>
              <c:f>Sheet1!$B$2:$B$5</c:f>
              <c:numCache>
                <c:formatCode>0.00%</c:formatCode>
                <c:ptCount val="4"/>
                <c:pt idx="0">
                  <c:v>0.063</c:v>
                </c:pt>
                <c:pt idx="1">
                  <c:v>0.9371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200" b="1"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1200" b="1"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2"/>
        <c:txPr>
          <a:bodyPr rot="0" spcFirstLastPara="0" vertOverflow="ellipsis" vert="horz" wrap="square" anchor="ctr" anchorCtr="1"/>
          <a:lstStyle/>
          <a:p>
            <a:pPr>
              <a:defRPr lang="zh-CN" sz="1200" b="1"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3"/>
        <c:txPr>
          <a:bodyPr rot="0" spcFirstLastPara="0" vertOverflow="ellipsis" vert="horz" wrap="square" anchor="ctr" anchorCtr="1"/>
          <a:lstStyle/>
          <a:p>
            <a:pPr>
              <a:defRPr lang="zh-CN" sz="1200" b="1"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1"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629</Words>
  <Characters>3588</Characters>
  <Lines>29</Lines>
  <Paragraphs>8</Paragraphs>
  <TotalTime>40</TotalTime>
  <ScaleCrop>false</ScaleCrop>
  <LinksUpToDate>false</LinksUpToDate>
  <CharactersWithSpaces>4209</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2013-05-09T09:41:00Z</dcterms:created>
  <dc:creator>赵树子</dc:creator>
  <cp:lastModifiedBy>Administrator</cp:lastModifiedBy>
  <cp:lastPrinted>2020-07-10T01:05:00Z</cp:lastPrinted>
  <dcterms:modified xsi:type="dcterms:W3CDTF">2020-09-23T08:15:29Z</dcterms:modified>
  <dc:title>四川省财政厅2011年部门预算编制说明</dc:title>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