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芒市轩岗乡</w:t>
      </w:r>
      <w:r>
        <w:rPr>
          <w:rFonts w:hint="default" w:ascii="Times New Roman" w:hAnsi="Times New Roman" w:eastAsia="方正小标宋简体" w:cs="Times New Roman"/>
          <w:sz w:val="36"/>
          <w:szCs w:val="36"/>
          <w:lang w:eastAsia="zh-CN"/>
        </w:rPr>
        <w:t>卫生院</w:t>
      </w:r>
      <w:r>
        <w:rPr>
          <w:rFonts w:hint="default" w:ascii="Times New Roman" w:hAnsi="Times New Roman" w:eastAsia="方正小标宋简体" w:cs="Times New Roman"/>
          <w:sz w:val="36"/>
          <w:szCs w:val="36"/>
          <w:lang w:val="en-US" w:eastAsia="zh-CN"/>
        </w:rPr>
        <w:t>2019</w:t>
      </w:r>
      <w:r>
        <w:rPr>
          <w:rFonts w:hint="default" w:ascii="Times New Roman" w:hAnsi="Times New Roman" w:eastAsia="方正小标宋简体" w:cs="Times New Roman"/>
          <w:sz w:val="36"/>
          <w:szCs w:val="36"/>
        </w:rPr>
        <w:t>年度部门决算</w:t>
      </w:r>
    </w:p>
    <w:p>
      <w:pPr>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 xml:space="preserve">                         </w:t>
      </w:r>
    </w:p>
    <w:p>
      <w:pPr>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目录</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第一部分  </w:t>
      </w:r>
      <w:r>
        <w:rPr>
          <w:rFonts w:hint="eastAsia" w:eastAsia="黑体" w:cs="Times New Roman"/>
          <w:sz w:val="30"/>
          <w:szCs w:val="30"/>
          <w:lang w:eastAsia="zh-CN"/>
        </w:rPr>
        <w:t>芒市轩岗乡</w:t>
      </w:r>
      <w:r>
        <w:rPr>
          <w:rFonts w:hint="default" w:ascii="Times New Roman" w:hAnsi="Times New Roman" w:eastAsia="黑体" w:cs="Times New Roman"/>
          <w:sz w:val="30"/>
          <w:szCs w:val="30"/>
          <w:lang w:eastAsia="zh-CN"/>
        </w:rPr>
        <w:t>卫生院</w:t>
      </w:r>
      <w:r>
        <w:rPr>
          <w:rFonts w:hint="default" w:ascii="Times New Roman" w:hAnsi="Times New Roman" w:eastAsia="黑体" w:cs="Times New Roman"/>
          <w:sz w:val="30"/>
          <w:szCs w:val="30"/>
        </w:rPr>
        <w:t>概况</w:t>
      </w:r>
    </w:p>
    <w:p>
      <w:pPr>
        <w:spacing w:line="240" w:lineRule="atLeast"/>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一、主要职能</w:t>
      </w:r>
    </w:p>
    <w:p>
      <w:pPr>
        <w:spacing w:line="240" w:lineRule="atLeast"/>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二、部门基本情况</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第二部分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一、收入支出决算总表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二、收入决算表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四、财政拨款收入支出决算总表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五、一般公共预算财政拨款收入支出决算表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六、一般公共预算财政拨款基本支出决算表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七、政府性基金预算财政拨款收入支出决算表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八、“三公”经费、行政参公单位机关运行经费情况表</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第三部</w:t>
      </w:r>
      <w:r>
        <w:rPr>
          <w:rFonts w:hint="default" w:ascii="Times New Roman" w:hAnsi="Times New Roman" w:eastAsia="黑体" w:cs="Times New Roman"/>
          <w:sz w:val="30"/>
          <w:szCs w:val="30"/>
          <w:lang w:eastAsia="zh-CN"/>
        </w:rPr>
        <w:t>分</w:t>
      </w: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二、支出决算情况说明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三、一般公共预算财政拨款支出决算情况说明</w:t>
      </w:r>
    </w:p>
    <w:p>
      <w:pPr>
        <w:widowControl/>
        <w:snapToGrid w:val="0"/>
        <w:spacing w:before="100" w:after="100" w:line="360" w:lineRule="auto"/>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四、一般公共预算财政拨款“三公”经费支出决算情况说明</w:t>
      </w:r>
    </w:p>
    <w:p>
      <w:pPr>
        <w:widowControl/>
        <w:snapToGrid w:val="0"/>
        <w:spacing w:before="100" w:after="100" w:line="360" w:lineRule="auto"/>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第四部分</w:t>
      </w:r>
      <w:r>
        <w:rPr>
          <w:rFonts w:hint="default" w:ascii="Times New Roman" w:hAnsi="Times New Roman" w:eastAsia="楷体" w:cs="Times New Roman"/>
          <w:sz w:val="30"/>
          <w:szCs w:val="30"/>
          <w:lang w:val="en-US" w:eastAsia="zh-CN"/>
        </w:rPr>
        <w:t xml:space="preserve">  </w:t>
      </w:r>
      <w:r>
        <w:rPr>
          <w:rFonts w:hint="default" w:ascii="Times New Roman" w:hAnsi="Times New Roman" w:eastAsia="黑体" w:cs="Times New Roman"/>
          <w:sz w:val="30"/>
          <w:szCs w:val="30"/>
        </w:rPr>
        <w:t>其他重要事项及相关口径情况说明</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一、</w:t>
      </w:r>
      <w:r>
        <w:rPr>
          <w:rFonts w:hint="default" w:ascii="Times New Roman" w:hAnsi="Times New Roman" w:eastAsia="楷体" w:cs="Times New Roman"/>
          <w:sz w:val="30"/>
          <w:szCs w:val="30"/>
        </w:rPr>
        <w:t>机关运行经费支出情况</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二、</w:t>
      </w:r>
      <w:r>
        <w:rPr>
          <w:rFonts w:hint="default" w:ascii="Times New Roman" w:hAnsi="Times New Roman" w:eastAsia="楷体" w:cs="Times New Roman"/>
          <w:sz w:val="30"/>
          <w:szCs w:val="30"/>
        </w:rPr>
        <w:t>国有资产占用情况</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三、</w:t>
      </w:r>
      <w:r>
        <w:rPr>
          <w:rFonts w:hint="default" w:ascii="Times New Roman" w:hAnsi="Times New Roman" w:eastAsia="楷体" w:cs="Times New Roman"/>
          <w:sz w:val="30"/>
          <w:szCs w:val="30"/>
        </w:rPr>
        <w:t>政府采购支出情况</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四、</w:t>
      </w:r>
      <w:r>
        <w:rPr>
          <w:rFonts w:hint="default" w:ascii="Times New Roman" w:hAnsi="Times New Roman" w:eastAsia="楷体" w:cs="Times New Roman"/>
          <w:sz w:val="30"/>
          <w:szCs w:val="30"/>
          <w:highlight w:val="none"/>
          <w:lang w:val="en-US" w:eastAsia="zh-CN"/>
        </w:rPr>
        <w:t>部门绩效自评情况</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（一）项目支出绩效自评/项目支出绩效自评报告（表）</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（二）部门整体支出绩效自评报告</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（三）部门整体支出绩效自评表</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五、</w:t>
      </w:r>
      <w:r>
        <w:rPr>
          <w:rFonts w:hint="default" w:ascii="Times New Roman" w:hAnsi="Times New Roman" w:eastAsia="楷体" w:cs="Times New Roman"/>
          <w:sz w:val="30"/>
          <w:szCs w:val="30"/>
          <w:highlight w:val="none"/>
          <w:lang w:val="en-US" w:eastAsia="zh-CN"/>
        </w:rPr>
        <w:t>其他重要事项情况说明</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六、相关口径说明</w:t>
      </w:r>
    </w:p>
    <w:p>
      <w:pPr>
        <w:widowControl/>
        <w:snapToGrid w:val="0"/>
        <w:spacing w:before="100" w:after="100" w:line="360" w:lineRule="auto"/>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w:t>
      </w:r>
      <w:r>
        <w:rPr>
          <w:rFonts w:hint="default" w:ascii="Times New Roman" w:hAnsi="Times New Roman" w:eastAsia="黑体" w:cs="Times New Roman"/>
          <w:sz w:val="30"/>
          <w:szCs w:val="30"/>
          <w:lang w:eastAsia="zh-CN"/>
        </w:rPr>
        <w:t>五</w:t>
      </w:r>
      <w:r>
        <w:rPr>
          <w:rFonts w:hint="default" w:ascii="Times New Roman" w:hAnsi="Times New Roman" w:eastAsia="黑体" w:cs="Times New Roman"/>
          <w:sz w:val="30"/>
          <w:szCs w:val="30"/>
        </w:rPr>
        <w:t>部分  名词解释</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eastAsia" w:eastAsia="黑体" w:cs="Times New Roman"/>
          <w:sz w:val="32"/>
          <w:szCs w:val="32"/>
          <w:lang w:eastAsia="zh-CN"/>
        </w:rPr>
        <w:t>芒市轩岗乡</w:t>
      </w:r>
      <w:r>
        <w:rPr>
          <w:rFonts w:hint="default" w:ascii="Times New Roman" w:hAnsi="Times New Roman" w:eastAsia="黑体" w:cs="Times New Roman"/>
          <w:sz w:val="32"/>
          <w:szCs w:val="32"/>
          <w:lang w:eastAsia="zh-CN"/>
        </w:rPr>
        <w:t>卫生院</w:t>
      </w:r>
      <w:r>
        <w:rPr>
          <w:rFonts w:hint="default" w:ascii="Times New Roman" w:hAnsi="Times New Roman" w:eastAsia="黑体" w:cs="Times New Roman"/>
          <w:sz w:val="32"/>
          <w:szCs w:val="32"/>
        </w:rPr>
        <w:t>概况</w:t>
      </w: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一、主要职能</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bCs/>
          <w:sz w:val="30"/>
          <w:szCs w:val="30"/>
        </w:rPr>
        <w:t>（一）主要职能</w:t>
      </w:r>
    </w:p>
    <w:p>
      <w:pPr>
        <w:spacing w:line="600" w:lineRule="exact"/>
        <w:ind w:firstLine="1280" w:firstLineChars="400"/>
        <w:rPr>
          <w:rFonts w:hint="eastAsia" w:ascii="仿宋" w:hAnsi="仿宋" w:eastAsia="仿宋" w:cs="仿宋"/>
          <w:sz w:val="30"/>
          <w:szCs w:val="30"/>
        </w:rPr>
      </w:pPr>
      <w:r>
        <w:rPr>
          <w:rFonts w:hint="eastAsia" w:ascii="仿宋" w:hAnsi="仿宋" w:eastAsia="仿宋" w:cs="仿宋"/>
          <w:sz w:val="30"/>
          <w:szCs w:val="30"/>
        </w:rPr>
        <w:t>开展与其功能相适应的基本医疗卫生服务，使用适宜技术、适宜设备和基本药物。承担当地居民健康档案、健康教育、计划免疫、传染病防治、儿童保健、孕产妇保健、老年人保健、慢性病管理、重性病管理、重性精神疾病患者等国家基本公共卫生服务项目。承担常见病、多发病的门诊和住院诊治，开展院内外急救、康复和计划生育技术服务等，提供转诊服务。承担辖区内公共卫生管理职能，负责对村卫生室的业务管理和技术指导。</w:t>
      </w:r>
    </w:p>
    <w:p>
      <w:pPr>
        <w:pStyle w:val="2"/>
        <w:adjustRightInd w:val="0"/>
        <w:snapToGrid w:val="0"/>
        <w:spacing w:line="600" w:lineRule="exact"/>
        <w:ind w:firstLine="630" w:firstLineChars="210"/>
        <w:rPr>
          <w:rFonts w:hint="eastAsia" w:ascii="仿宋" w:hAnsi="仿宋" w:eastAsia="仿宋" w:cs="仿宋"/>
          <w:bCs/>
          <w:sz w:val="30"/>
          <w:szCs w:val="30"/>
        </w:rPr>
      </w:pPr>
      <w:r>
        <w:rPr>
          <w:rFonts w:hint="eastAsia" w:ascii="仿宋" w:hAnsi="仿宋" w:eastAsia="仿宋" w:cs="仿宋"/>
          <w:bCs/>
          <w:sz w:val="30"/>
          <w:szCs w:val="30"/>
        </w:rPr>
        <w:t>（二）</w:t>
      </w:r>
      <w:r>
        <w:rPr>
          <w:rFonts w:hint="eastAsia" w:ascii="仿宋" w:hAnsi="仿宋" w:eastAsia="仿宋" w:cs="仿宋"/>
          <w:bCs/>
          <w:sz w:val="30"/>
          <w:szCs w:val="30"/>
          <w:lang w:val="en-US" w:eastAsia="zh-CN"/>
        </w:rPr>
        <w:t>2019</w:t>
      </w:r>
      <w:r>
        <w:rPr>
          <w:rFonts w:hint="eastAsia" w:ascii="仿宋" w:hAnsi="仿宋" w:eastAsia="仿宋" w:cs="仿宋"/>
          <w:bCs/>
          <w:sz w:val="30"/>
          <w:szCs w:val="30"/>
        </w:rPr>
        <w:t>年度重点工作任务介绍</w:t>
      </w:r>
    </w:p>
    <w:p>
      <w:pPr>
        <w:pStyle w:val="2"/>
        <w:adjustRightInd w:val="0"/>
        <w:snapToGrid w:val="0"/>
        <w:spacing w:line="600" w:lineRule="exact"/>
        <w:ind w:firstLine="630" w:firstLineChars="210"/>
        <w:rPr>
          <w:rFonts w:hint="eastAsia" w:ascii="仿宋" w:hAnsi="仿宋" w:eastAsia="仿宋" w:cs="仿宋"/>
          <w:bCs/>
          <w:sz w:val="30"/>
          <w:szCs w:val="30"/>
        </w:rPr>
      </w:pPr>
      <w:r>
        <w:rPr>
          <w:rFonts w:hint="eastAsia" w:ascii="仿宋" w:hAnsi="仿宋" w:eastAsia="仿宋" w:cs="仿宋"/>
          <w:bCs/>
          <w:sz w:val="30"/>
          <w:szCs w:val="30"/>
          <w:lang w:val="en-US" w:eastAsia="zh-CN"/>
        </w:rPr>
        <w:t>2019年在乡党委、政府和上级部门的领导和指导下，芒市轩岗乡卫生院认真按照要求开展各项工作，综合服务能力得到进一步提升。一是健康扶贫工作深入开展，贫困人口因病致贫、因病返贫问题得到有效缓解。二是基本公共卫生服务保障有力，特别是慢性病患者和特殊人群得到更多规范管理带来的关心帮助和健康实惠。三是家庭医生签约服务工作持续实施，签约团队服务能力不断增强，签约对象得到更多实惠。四是卫生院医疗卫生服务能力不断增强。五是疾病预防控制、计划生育技术服务、卫生技术人员培训、综治维稳等其他各项工作稳步实施，年内无传染病疫情暴发、未发生医疗纠纷，给群众创造良好的就医环境。</w:t>
      </w: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二、部门基本情况</w:t>
      </w:r>
    </w:p>
    <w:p>
      <w:pPr>
        <w:spacing w:line="60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（一）部门决算单位构成</w:t>
      </w:r>
    </w:p>
    <w:p>
      <w:pPr>
        <w:spacing w:line="600" w:lineRule="exact"/>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纳入201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年部门决算编报的单位共1个，</w:t>
      </w:r>
      <w:r>
        <w:rPr>
          <w:rFonts w:hint="eastAsia" w:ascii="仿宋_GB2312" w:hAnsi="仿宋_GB2312" w:eastAsia="仿宋_GB2312" w:cs="仿宋_GB2312"/>
          <w:sz w:val="30"/>
          <w:szCs w:val="30"/>
          <w:lang w:eastAsia="zh-CN"/>
        </w:rPr>
        <w:t>其中：行政单位</w:t>
      </w:r>
      <w:r>
        <w:rPr>
          <w:rFonts w:hint="eastAsia" w:ascii="仿宋_GB2312" w:hAnsi="仿宋_GB2312" w:eastAsia="仿宋_GB2312" w:cs="仿宋_GB2312"/>
          <w:sz w:val="30"/>
          <w:szCs w:val="30"/>
          <w:lang w:val="en-US" w:eastAsia="zh-CN"/>
        </w:rPr>
        <w:t>1个，</w:t>
      </w:r>
      <w:r>
        <w:rPr>
          <w:rFonts w:hint="default" w:ascii="Times New Roman" w:hAnsi="Times New Roman" w:eastAsia="仿宋_GB2312" w:cs="Times New Roman"/>
          <w:kern w:val="0"/>
          <w:sz w:val="30"/>
          <w:szCs w:val="30"/>
          <w:highlight w:val="none"/>
        </w:rPr>
        <w:t>参</w:t>
      </w:r>
      <w:r>
        <w:rPr>
          <w:rFonts w:hint="eastAsia" w:eastAsia="仿宋_GB2312" w:cs="Times New Roman"/>
          <w:kern w:val="0"/>
          <w:sz w:val="30"/>
          <w:szCs w:val="30"/>
          <w:highlight w:val="none"/>
          <w:lang w:eastAsia="zh-CN"/>
        </w:rPr>
        <w:t>照</w:t>
      </w:r>
      <w:r>
        <w:rPr>
          <w:rFonts w:hint="default" w:ascii="Times New Roman" w:hAnsi="Times New Roman" w:eastAsia="仿宋_GB2312" w:cs="Times New Roman"/>
          <w:kern w:val="0"/>
          <w:sz w:val="30"/>
          <w:szCs w:val="30"/>
          <w:highlight w:val="none"/>
        </w:rPr>
        <w:t>公</w:t>
      </w:r>
      <w:r>
        <w:rPr>
          <w:rFonts w:hint="eastAsia" w:eastAsia="仿宋_GB2312" w:cs="Times New Roman"/>
          <w:kern w:val="0"/>
          <w:sz w:val="30"/>
          <w:szCs w:val="30"/>
          <w:highlight w:val="none"/>
          <w:lang w:eastAsia="zh-CN"/>
        </w:rPr>
        <w:t>务员法</w:t>
      </w:r>
      <w:r>
        <w:rPr>
          <w:rFonts w:hint="default" w:ascii="Times New Roman" w:hAnsi="Times New Roman" w:eastAsia="仿宋_GB2312" w:cs="Times New Roman"/>
          <w:kern w:val="0"/>
          <w:sz w:val="30"/>
          <w:szCs w:val="30"/>
          <w:highlight w:val="none"/>
        </w:rPr>
        <w:t>管理</w:t>
      </w:r>
      <w:r>
        <w:rPr>
          <w:rFonts w:hint="eastAsia" w:eastAsia="仿宋_GB2312" w:cs="Times New Roman"/>
          <w:kern w:val="0"/>
          <w:sz w:val="30"/>
          <w:szCs w:val="30"/>
          <w:highlight w:val="none"/>
          <w:lang w:eastAsia="zh-CN"/>
        </w:rPr>
        <w:t>的</w:t>
      </w:r>
      <w:r>
        <w:rPr>
          <w:rFonts w:hint="default" w:ascii="Times New Roman" w:hAnsi="Times New Roman" w:eastAsia="仿宋_GB2312" w:cs="Times New Roman"/>
          <w:kern w:val="0"/>
          <w:sz w:val="30"/>
          <w:szCs w:val="30"/>
          <w:highlight w:val="none"/>
        </w:rPr>
        <w:t>事业</w:t>
      </w:r>
      <w:r>
        <w:rPr>
          <w:rFonts w:hint="eastAsia" w:eastAsia="仿宋_GB2312" w:cs="Times New Roman"/>
          <w:kern w:val="0"/>
          <w:sz w:val="30"/>
          <w:szCs w:val="30"/>
          <w:highlight w:val="none"/>
          <w:lang w:eastAsia="zh-CN"/>
        </w:rPr>
        <w:t>单位</w:t>
      </w:r>
      <w:r>
        <w:rPr>
          <w:rFonts w:hint="eastAsia" w:eastAsia="仿宋_GB2312" w:cs="Times New Roman"/>
          <w:kern w:val="0"/>
          <w:sz w:val="30"/>
          <w:szCs w:val="30"/>
          <w:highlight w:val="none"/>
          <w:lang w:val="en-US" w:eastAsia="zh-CN"/>
        </w:rPr>
        <w:t>0个，</w:t>
      </w:r>
      <w:r>
        <w:rPr>
          <w:rFonts w:hint="eastAsia" w:ascii="仿宋_GB2312" w:hAnsi="仿宋_GB2312" w:eastAsia="仿宋_GB2312" w:cs="仿宋_GB2312"/>
          <w:sz w:val="30"/>
          <w:szCs w:val="30"/>
        </w:rPr>
        <w:t>其他事业单位1个</w:t>
      </w:r>
      <w:r>
        <w:rPr>
          <w:rFonts w:hint="eastAsia" w:ascii="仿宋_GB2312" w:hAnsi="仿宋_GB2312" w:eastAsia="仿宋_GB2312" w:cs="仿宋_GB2312"/>
          <w:sz w:val="30"/>
          <w:szCs w:val="30"/>
          <w:lang w:eastAsia="zh-CN"/>
        </w:rPr>
        <w:t>：芒市</w:t>
      </w:r>
      <w:r>
        <w:rPr>
          <w:rFonts w:hint="eastAsia" w:ascii="仿宋_GB2312" w:hAnsi="仿宋_GB2312" w:eastAsia="仿宋_GB2312" w:cs="仿宋_GB2312"/>
          <w:sz w:val="30"/>
          <w:szCs w:val="30"/>
        </w:rPr>
        <w:t>轩岗乡卫生院</w:t>
      </w:r>
      <w:r>
        <w:rPr>
          <w:rFonts w:hint="eastAsia" w:ascii="仿宋_GB2312" w:hAnsi="仿宋_GB2312" w:eastAsia="仿宋_GB2312" w:cs="仿宋_GB2312"/>
          <w:sz w:val="30"/>
          <w:szCs w:val="30"/>
          <w:lang w:eastAsia="zh-CN"/>
        </w:rPr>
        <w:t>。</w:t>
      </w:r>
    </w:p>
    <w:p>
      <w:pPr>
        <w:ind w:firstLine="600" w:firstLineChars="200"/>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 xml:space="preserve">（二）部门人员和车辆的编制及实有情况 </w:t>
      </w:r>
    </w:p>
    <w:p>
      <w:pPr>
        <w:spacing w:line="600" w:lineRule="exact"/>
        <w:ind w:firstLine="600" w:firstLineChars="200"/>
        <w:rPr>
          <w:rFonts w:hint="default" w:ascii="Times New Roman" w:hAnsi="Times New Roman" w:eastAsia="仿宋_GB2312" w:cs="Times New Roman"/>
          <w:kern w:val="0"/>
          <w:sz w:val="30"/>
          <w:szCs w:val="30"/>
          <w:highlight w:val="none"/>
        </w:rPr>
      </w:pPr>
      <w:r>
        <w:rPr>
          <w:rFonts w:hint="eastAsia" w:eastAsia="仿宋_GB2312" w:cs="Times New Roman"/>
          <w:sz w:val="30"/>
          <w:szCs w:val="30"/>
          <w:highlight w:val="none"/>
          <w:lang w:eastAsia="zh-CN"/>
        </w:rPr>
        <w:t>芒市轩岗乡</w:t>
      </w:r>
      <w:r>
        <w:rPr>
          <w:rFonts w:hint="default" w:ascii="Times New Roman" w:hAnsi="Times New Roman" w:eastAsia="仿宋_GB2312" w:cs="Times New Roman"/>
          <w:sz w:val="30"/>
          <w:szCs w:val="30"/>
          <w:highlight w:val="none"/>
          <w:lang w:eastAsia="zh-CN"/>
        </w:rPr>
        <w:t>卫生院</w:t>
      </w:r>
      <w:r>
        <w:rPr>
          <w:rFonts w:hint="default"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rPr>
        <w:t>年末实有人员编制</w:t>
      </w:r>
      <w:r>
        <w:rPr>
          <w:rFonts w:hint="eastAsia" w:eastAsia="仿宋_GB2312" w:cs="Times New Roman"/>
          <w:sz w:val="30"/>
          <w:szCs w:val="30"/>
          <w:highlight w:val="none"/>
          <w:lang w:val="en-US" w:eastAsia="zh-CN"/>
        </w:rPr>
        <w:t>28</w:t>
      </w:r>
      <w:r>
        <w:rPr>
          <w:rFonts w:hint="default" w:ascii="Times New Roman" w:hAnsi="Times New Roman" w:eastAsia="仿宋_GB2312" w:cs="Times New Roman"/>
          <w:kern w:val="0"/>
          <w:sz w:val="30"/>
          <w:szCs w:val="30"/>
          <w:highlight w:val="none"/>
        </w:rPr>
        <w:t>人。其中：行政编制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人），事业编制</w:t>
      </w:r>
      <w:r>
        <w:rPr>
          <w:rFonts w:hint="eastAsia" w:eastAsia="仿宋_GB2312" w:cs="Times New Roman"/>
          <w:sz w:val="30"/>
          <w:szCs w:val="30"/>
          <w:highlight w:val="none"/>
          <w:lang w:val="en-US" w:eastAsia="zh-CN"/>
        </w:rPr>
        <w:t>28</w:t>
      </w:r>
      <w:r>
        <w:rPr>
          <w:rFonts w:hint="default" w:ascii="Times New Roman" w:hAnsi="Times New Roman" w:eastAsia="仿宋_GB2312" w:cs="Times New Roman"/>
          <w:kern w:val="0"/>
          <w:sz w:val="30"/>
          <w:szCs w:val="30"/>
          <w:highlight w:val="none"/>
        </w:rPr>
        <w:t>人（含参公管理事业编制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人）；在职在编实有行政人员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人），事业人员</w:t>
      </w:r>
      <w:r>
        <w:rPr>
          <w:rFonts w:hint="default" w:ascii="Times New Roman" w:hAnsi="Times New Roman" w:eastAsia="仿宋_GB2312" w:cs="Times New Roman"/>
          <w:sz w:val="30"/>
          <w:szCs w:val="30"/>
          <w:highlight w:val="none"/>
          <w:lang w:val="en-US" w:eastAsia="zh-CN"/>
        </w:rPr>
        <w:t>47</w:t>
      </w:r>
      <w:r>
        <w:rPr>
          <w:rFonts w:hint="default" w:ascii="Times New Roman" w:hAnsi="Times New Roman" w:eastAsia="仿宋_GB2312" w:cs="Times New Roman"/>
          <w:kern w:val="0"/>
          <w:sz w:val="30"/>
          <w:szCs w:val="30"/>
          <w:highlight w:val="none"/>
        </w:rPr>
        <w:t>人（含参公管理事业人员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其他人员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人。</w:t>
      </w:r>
    </w:p>
    <w:p>
      <w:pPr>
        <w:spacing w:line="600" w:lineRule="exact"/>
        <w:ind w:firstLine="600" w:firstLineChars="20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离退休人员</w:t>
      </w:r>
      <w:r>
        <w:rPr>
          <w:rFonts w:hint="eastAsia" w:eastAsia="仿宋_GB2312" w:cs="Times New Roman"/>
          <w:sz w:val="30"/>
          <w:szCs w:val="30"/>
          <w:highlight w:val="none"/>
          <w:lang w:val="en-US" w:eastAsia="zh-CN"/>
        </w:rPr>
        <w:t>3</w:t>
      </w:r>
      <w:r>
        <w:rPr>
          <w:rFonts w:hint="default" w:ascii="Times New Roman" w:hAnsi="Times New Roman" w:eastAsia="仿宋_GB2312" w:cs="Times New Roman"/>
          <w:kern w:val="0"/>
          <w:sz w:val="30"/>
          <w:szCs w:val="30"/>
          <w:highlight w:val="none"/>
        </w:rPr>
        <w:t>人。其中：离休</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人，退休</w:t>
      </w:r>
      <w:r>
        <w:rPr>
          <w:rFonts w:hint="eastAsia" w:eastAsia="仿宋_GB2312" w:cs="Times New Roman"/>
          <w:sz w:val="30"/>
          <w:szCs w:val="30"/>
          <w:highlight w:val="none"/>
          <w:lang w:val="en-US" w:eastAsia="zh-CN"/>
        </w:rPr>
        <w:t>3</w:t>
      </w:r>
      <w:r>
        <w:rPr>
          <w:rFonts w:hint="default" w:ascii="Times New Roman" w:hAnsi="Times New Roman" w:eastAsia="仿宋_GB2312" w:cs="Times New Roman"/>
          <w:kern w:val="0"/>
          <w:sz w:val="30"/>
          <w:szCs w:val="30"/>
          <w:highlight w:val="none"/>
        </w:rPr>
        <w:t>人。</w:t>
      </w:r>
    </w:p>
    <w:p>
      <w:pPr>
        <w:spacing w:line="60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实有车辆编制</w:t>
      </w:r>
      <w:r>
        <w:rPr>
          <w:rFonts w:hint="eastAsia"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辆，在编实有车辆</w:t>
      </w:r>
      <w:r>
        <w:rPr>
          <w:rFonts w:hint="eastAsia"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辆。</w:t>
      </w:r>
    </w:p>
    <w:p>
      <w:pPr>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年度部门决算表</w:t>
      </w:r>
    </w:p>
    <w:p>
      <w:pPr>
        <w:spacing w:line="600" w:lineRule="exact"/>
        <w:ind w:firstLine="600" w:firstLineChars="2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（详见附件）</w:t>
      </w:r>
    </w:p>
    <w:p>
      <w:pPr>
        <w:spacing w:line="600" w:lineRule="exact"/>
        <w:ind w:firstLine="600" w:firstLineChars="200"/>
        <w:jc w:val="center"/>
        <w:rPr>
          <w:rFonts w:hint="default" w:ascii="Times New Roman" w:hAnsi="Times New Roman" w:eastAsia="仿宋_GB2312" w:cs="Times New Roman"/>
          <w:sz w:val="30"/>
          <w:szCs w:val="30"/>
        </w:rPr>
      </w:pPr>
    </w:p>
    <w:p>
      <w:pPr>
        <w:jc w:val="both"/>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第三部</w:t>
      </w:r>
      <w:r>
        <w:rPr>
          <w:rFonts w:hint="default" w:ascii="Times New Roman" w:hAnsi="Times New Roman" w:eastAsia="黑体" w:cs="Times New Roman"/>
          <w:sz w:val="32"/>
          <w:szCs w:val="32"/>
          <w:lang w:eastAsia="zh-CN"/>
        </w:rPr>
        <w:t>分</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年度部门决算情况说明</w:t>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一、收入决算情况说明</w:t>
      </w:r>
    </w:p>
    <w:p>
      <w:pPr>
        <w:numPr>
          <w:ilvl w:val="0"/>
          <w:numId w:val="1"/>
        </w:num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收入决算情况说明</w:t>
      </w:r>
    </w:p>
    <w:p>
      <w:pPr>
        <w:spacing w:line="60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轩岗卫生院2019年</w:t>
      </w:r>
      <w:r>
        <w:rPr>
          <w:rFonts w:hint="eastAsia" w:ascii="仿宋_GB2312" w:hAnsi="仿宋_GB2312" w:eastAsia="仿宋_GB2312" w:cs="仿宋_GB2312"/>
          <w:sz w:val="30"/>
          <w:szCs w:val="30"/>
          <w:lang w:eastAsia="zh-CN"/>
        </w:rPr>
        <w:t>总收入</w:t>
      </w:r>
      <w:r>
        <w:rPr>
          <w:rFonts w:hint="eastAsia" w:ascii="仿宋_GB2312" w:hAnsi="仿宋_GB2312" w:eastAsia="仿宋_GB2312" w:cs="仿宋_GB2312"/>
          <w:sz w:val="30"/>
          <w:szCs w:val="30"/>
          <w:lang w:val="en-US" w:eastAsia="zh-CN"/>
        </w:rPr>
        <w:t>15297020.58元。其中：财政拨款收入4085874.36元，占26.81%；事业收入11205426.69元，占73.25%；其他收入5719.53元，占0.02%。如下图</w:t>
      </w:r>
    </w:p>
    <w:p>
      <w:pPr>
        <w:spacing w:line="600" w:lineRule="exact"/>
        <w:ind w:firstLine="600" w:firstLineChars="200"/>
        <w:rPr>
          <w:rFonts w:hint="eastAsia" w:ascii="仿宋_GB2312" w:hAnsi="仿宋_GB2312" w:eastAsia="仿宋_GB2312" w:cs="仿宋_GB2312"/>
          <w:sz w:val="32"/>
          <w:szCs w:val="32"/>
          <w:lang w:val="en-US" w:eastAsia="zh-CN"/>
        </w:rPr>
      </w:pPr>
    </w:p>
    <w:p>
      <w:pPr>
        <w:spacing w:line="600" w:lineRule="exact"/>
        <w:ind w:firstLine="60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drawing>
          <wp:anchor distT="0" distB="0" distL="114300" distR="114300" simplePos="0" relativeHeight="251660288" behindDoc="0" locked="0" layoutInCell="1" allowOverlap="1">
            <wp:simplePos x="0" y="0"/>
            <wp:positionH relativeFrom="column">
              <wp:posOffset>-575945</wp:posOffset>
            </wp:positionH>
            <wp:positionV relativeFrom="paragraph">
              <wp:posOffset>89535</wp:posOffset>
            </wp:positionV>
            <wp:extent cx="5679440" cy="1863090"/>
            <wp:effectExtent l="0" t="0" r="165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679440" cy="1863090"/>
                    </a:xfrm>
                    <a:prstGeom prst="rect">
                      <a:avLst/>
                    </a:prstGeom>
                    <a:noFill/>
                    <a:ln w="9525">
                      <a:noFill/>
                    </a:ln>
                  </pic:spPr>
                </pic:pic>
              </a:graphicData>
            </a:graphic>
          </wp:anchor>
        </w:drawing>
      </w:r>
    </w:p>
    <w:p>
      <w:pPr>
        <w:spacing w:line="600" w:lineRule="exact"/>
        <w:ind w:firstLine="600" w:firstLineChars="200"/>
        <w:rPr>
          <w:rFonts w:hint="eastAsia" w:ascii="仿宋_GB2312" w:hAnsi="仿宋_GB2312" w:eastAsia="仿宋_GB2312" w:cs="仿宋_GB2312"/>
          <w:sz w:val="32"/>
          <w:szCs w:val="32"/>
          <w:lang w:val="en-US" w:eastAsia="zh-CN"/>
        </w:rPr>
      </w:pPr>
    </w:p>
    <w:p>
      <w:pPr>
        <w:spacing w:line="600" w:lineRule="exact"/>
        <w:ind w:firstLine="600" w:firstLineChars="200"/>
        <w:rPr>
          <w:rFonts w:hint="eastAsia" w:ascii="仿宋_GB2312" w:hAnsi="仿宋_GB2312" w:eastAsia="仿宋_GB2312" w:cs="仿宋_GB2312"/>
          <w:sz w:val="32"/>
          <w:szCs w:val="32"/>
          <w:lang w:val="en-US" w:eastAsia="zh-CN"/>
        </w:rPr>
      </w:pPr>
    </w:p>
    <w:p>
      <w:pPr>
        <w:spacing w:line="600" w:lineRule="exact"/>
        <w:ind w:firstLine="600" w:firstLineChars="200"/>
        <w:rPr>
          <w:rFonts w:hint="eastAsia" w:ascii="仿宋_GB2312" w:hAnsi="仿宋_GB2312" w:eastAsia="仿宋_GB2312" w:cs="仿宋_GB2312"/>
          <w:sz w:val="32"/>
          <w:szCs w:val="32"/>
          <w:lang w:val="en-US" w:eastAsia="zh-CN"/>
        </w:rPr>
      </w:pPr>
    </w:p>
    <w:p>
      <w:pPr>
        <w:spacing w:line="600" w:lineRule="exact"/>
        <w:ind w:firstLine="600" w:firstLineChars="200"/>
        <w:rPr>
          <w:rFonts w:hint="eastAsia" w:ascii="仿宋_GB2312" w:hAnsi="仿宋_GB2312" w:eastAsia="仿宋_GB2312" w:cs="仿宋_GB2312"/>
          <w:sz w:val="32"/>
          <w:szCs w:val="32"/>
          <w:lang w:val="en-US" w:eastAsia="zh-CN"/>
        </w:rPr>
      </w:pPr>
    </w:p>
    <w:p>
      <w:pPr>
        <w:widowControl/>
        <w:snapToGrid w:val="0"/>
        <w:spacing w:before="100" w:after="100" w:line="600" w:lineRule="exact"/>
        <w:jc w:val="left"/>
        <w:rPr>
          <w:rFonts w:hint="default" w:ascii="Times New Roman" w:hAnsi="Times New Roman" w:eastAsia="楷体" w:cs="Times New Roman"/>
          <w:sz w:val="30"/>
          <w:szCs w:val="30"/>
        </w:rPr>
      </w:pPr>
    </w:p>
    <w:p>
      <w:pPr>
        <w:snapToGrid w:val="0"/>
        <w:spacing w:line="520" w:lineRule="exact"/>
        <w:ind w:left="319" w:leftChars="152" w:firstLine="320" w:firstLineChars="1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二 、支出决算情况说明  </w:t>
      </w:r>
    </w:p>
    <w:p>
      <w:pPr>
        <w:snapToGrid w:val="0"/>
        <w:spacing w:line="52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轩岗卫生院2019年</w:t>
      </w:r>
      <w:r>
        <w:rPr>
          <w:rFonts w:hint="eastAsia" w:ascii="仿宋_GB2312" w:hAnsi="仿宋_GB2312" w:eastAsia="仿宋_GB2312" w:cs="仿宋_GB2312"/>
          <w:sz w:val="30"/>
          <w:szCs w:val="30"/>
          <w:lang w:eastAsia="zh-CN"/>
        </w:rPr>
        <w:t>总支出</w:t>
      </w:r>
      <w:r>
        <w:rPr>
          <w:rFonts w:hint="eastAsia" w:ascii="仿宋_GB2312" w:hAnsi="仿宋_GB2312" w:eastAsia="仿宋_GB2312" w:cs="仿宋_GB2312"/>
          <w:sz w:val="30"/>
          <w:szCs w:val="30"/>
          <w:lang w:val="en-US" w:eastAsia="zh-CN"/>
        </w:rPr>
        <w:t>13928384.14元。其中：工资福利支出3658013.9元，占26.26%；商品和服务支出9845124.24元，占70.68%；对个人和家庭的补助支出92796元，占0.67%；资本性支出332450元，占2.39%。如下图</w:t>
      </w:r>
    </w:p>
    <w:p>
      <w:pPr>
        <w:snapToGrid w:val="0"/>
        <w:spacing w:line="520" w:lineRule="exact"/>
        <w:ind w:firstLine="64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drawing>
          <wp:anchor distT="0" distB="0" distL="114300" distR="114300" simplePos="0" relativeHeight="251668480" behindDoc="0" locked="0" layoutInCell="1" allowOverlap="1">
            <wp:simplePos x="0" y="0"/>
            <wp:positionH relativeFrom="column">
              <wp:posOffset>-87630</wp:posOffset>
            </wp:positionH>
            <wp:positionV relativeFrom="paragraph">
              <wp:posOffset>257175</wp:posOffset>
            </wp:positionV>
            <wp:extent cx="4759960" cy="2954655"/>
            <wp:effectExtent l="4445" t="4445" r="17145" b="12700"/>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napToGrid w:val="0"/>
        <w:spacing w:line="520" w:lineRule="exact"/>
        <w:ind w:firstLine="640" w:firstLineChars="200"/>
        <w:rPr>
          <w:rFonts w:hint="default" w:ascii="仿宋_GB2312" w:hAnsi="仿宋_GB2312" w:eastAsia="仿宋_GB2312" w:cs="仿宋_GB2312"/>
          <w:sz w:val="32"/>
          <w:szCs w:val="32"/>
          <w:lang w:val="en-US" w:eastAsia="zh-CN"/>
        </w:rPr>
      </w:pP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lang w:eastAsia="zh-CN"/>
        </w:rPr>
      </w:pPr>
    </w:p>
    <w:p>
      <w:pPr>
        <w:widowControl/>
        <w:snapToGrid w:val="0"/>
        <w:spacing w:before="100" w:after="100" w:line="600" w:lineRule="exact"/>
        <w:jc w:val="left"/>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年度用于保障</w:t>
      </w:r>
      <w:r>
        <w:rPr>
          <w:rFonts w:hint="eastAsia" w:eastAsia="仿宋_GB2312" w:cs="Times New Roman"/>
          <w:sz w:val="30"/>
          <w:szCs w:val="30"/>
          <w:lang w:eastAsia="zh-CN"/>
        </w:rPr>
        <w:t>芒市</w:t>
      </w:r>
      <w:r>
        <w:rPr>
          <w:rFonts w:hint="default" w:ascii="Times New Roman" w:hAnsi="Times New Roman" w:eastAsia="仿宋_GB2312" w:cs="Times New Roman"/>
          <w:sz w:val="30"/>
          <w:szCs w:val="30"/>
          <w:lang w:eastAsia="zh-CN"/>
        </w:rPr>
        <w:t>芒市镇卫生院</w:t>
      </w:r>
      <w:r>
        <w:rPr>
          <w:rFonts w:hint="default" w:ascii="Times New Roman" w:hAnsi="Times New Roman" w:eastAsia="仿宋_GB2312" w:cs="Times New Roman"/>
          <w:sz w:val="30"/>
          <w:szCs w:val="30"/>
        </w:rPr>
        <w:t>为完成特定的行政工作任务或事业发展目标，用于专项业务工作的经费支出</w:t>
      </w:r>
      <w:r>
        <w:rPr>
          <w:rFonts w:hint="eastAsia" w:eastAsia="仿宋_GB2312" w:cs="Times New Roman"/>
          <w:sz w:val="30"/>
          <w:szCs w:val="30"/>
          <w:lang w:val="en-US" w:eastAsia="zh-CN"/>
        </w:rPr>
        <w:t>94.19</w:t>
      </w:r>
      <w:r>
        <w:rPr>
          <w:rFonts w:hint="default" w:ascii="Times New Roman" w:hAnsi="Times New Roman" w:eastAsia="仿宋_GB2312" w:cs="Times New Roman"/>
          <w:sz w:val="30"/>
          <w:szCs w:val="30"/>
        </w:rPr>
        <w:t>万元。具体项目开支及开展工作情况</w:t>
      </w:r>
      <w:r>
        <w:rPr>
          <w:rFonts w:hint="default" w:ascii="Times New Roman" w:hAnsi="Times New Roman" w:eastAsia="仿宋_GB2312" w:cs="Times New Roman"/>
          <w:sz w:val="30"/>
          <w:szCs w:val="30"/>
          <w:lang w:eastAsia="zh-CN"/>
        </w:rPr>
        <w:t>如下：</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1.2100399款其他基层医疗机构支出</w:t>
      </w:r>
      <w:r>
        <w:rPr>
          <w:rFonts w:hint="eastAsia" w:eastAsia="仿宋_GB2312" w:cs="Times New Roman"/>
          <w:sz w:val="30"/>
          <w:szCs w:val="30"/>
          <w:lang w:val="en-US" w:eastAsia="zh-CN"/>
        </w:rPr>
        <w:t>18.52</w:t>
      </w:r>
      <w:r>
        <w:rPr>
          <w:rFonts w:hint="default" w:ascii="Times New Roman" w:hAnsi="Times New Roman" w:eastAsia="仿宋_GB2312" w:cs="Times New Roman"/>
          <w:sz w:val="30"/>
          <w:szCs w:val="30"/>
          <w:lang w:val="en-US" w:eastAsia="zh-CN"/>
        </w:rPr>
        <w:t>万元，该项目主要内容是村卫生室实施国家基本药物制度的补助，年度内已完成该项目的工作并按规定全部兑付使用完项目经费，通过该项目的实施，保障了广大群众看病就医时公平获得剂型适宜价格合理的药品，进一步减轻患者经济负担。</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2.2100408款基本公共卫生服务</w:t>
      </w:r>
      <w:r>
        <w:rPr>
          <w:rFonts w:hint="eastAsia" w:eastAsia="仿宋_GB2312" w:cs="Times New Roman"/>
          <w:sz w:val="30"/>
          <w:szCs w:val="30"/>
          <w:lang w:val="en-US" w:eastAsia="zh-CN"/>
        </w:rPr>
        <w:t>71.89</w:t>
      </w:r>
      <w:r>
        <w:rPr>
          <w:rFonts w:hint="default" w:ascii="Times New Roman" w:hAnsi="Times New Roman" w:eastAsia="仿宋_GB2312" w:cs="Times New Roman"/>
          <w:sz w:val="30"/>
          <w:szCs w:val="30"/>
          <w:lang w:val="en-US" w:eastAsia="zh-CN"/>
        </w:rPr>
        <w:t>万元，该项目主要内容是实施国家基本公共卫生服务项目补助资金，年度内已完成该项目的工作并按规定全部兑付使用完项目经费，通过该项目的实施，进一步促进辖区居民健康意识的提高和不良生活方式的改变，特别是对65岁以上老年人、0—6岁儿童、孕产妇、高血压患者、糖尿病患者和重性精神病患者等重点人群实施健康干预措施，使全体居民逐步树立自我健康管理观念，提高全民健康素质。</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3.2100409款重大公共卫生专项</w:t>
      </w:r>
      <w:r>
        <w:rPr>
          <w:rFonts w:hint="eastAsia" w:eastAsia="仿宋_GB2312" w:cs="Times New Roman"/>
          <w:sz w:val="30"/>
          <w:szCs w:val="30"/>
          <w:lang w:val="en-US" w:eastAsia="zh-CN"/>
        </w:rPr>
        <w:t>2.41</w:t>
      </w:r>
      <w:r>
        <w:rPr>
          <w:rFonts w:hint="default" w:ascii="Times New Roman" w:hAnsi="Times New Roman" w:eastAsia="仿宋_GB2312" w:cs="Times New Roman"/>
          <w:sz w:val="30"/>
          <w:szCs w:val="30"/>
          <w:lang w:val="en-US" w:eastAsia="zh-CN"/>
        </w:rPr>
        <w:t>万元，该项目主要内容是防治艾滋病工作经费和孕前优生健康检查经费补助，年度内已完成该项目的工作并按规定全部兑付使用完项目经费，通过该项目的实施，辖区艾滋病发生与流行得到进一步预防和控制，艾滋病患者生存质量得到进一步提高，同时进一步减少了社会安定的不稳定因素。另外，通过该项目的实施，进一步提高辖区计划怀孕夫妇优生科学知识水平，改善健康状况，降低或消除导致出生缺陷等不良妊娠结局的风险因素，出生人口素质得到不断提高。</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4.2101399款其他医疗救助支出</w:t>
      </w:r>
      <w:r>
        <w:rPr>
          <w:rFonts w:hint="eastAsia" w:eastAsia="仿宋_GB2312" w:cs="Times New Roman"/>
          <w:sz w:val="30"/>
          <w:szCs w:val="30"/>
          <w:lang w:val="en-US" w:eastAsia="zh-CN"/>
        </w:rPr>
        <w:t>1.37</w:t>
      </w:r>
      <w:r>
        <w:rPr>
          <w:rFonts w:hint="default" w:ascii="Times New Roman" w:hAnsi="Times New Roman" w:eastAsia="仿宋_GB2312" w:cs="Times New Roman"/>
          <w:sz w:val="30"/>
          <w:szCs w:val="30"/>
          <w:lang w:val="en-US" w:eastAsia="zh-CN"/>
        </w:rPr>
        <w:t>万元，该项目主要内容是建档立卡贫困人员家庭医生签约服务补助经费，年度内已完成该项目的工作并按规定全部兑付使用完项目经费，通过该项目的实施，建档立卡贫困人员的健康咨询、健康管理、慢病随访等医疗和公共卫生服务需求得到进一步保障，促进了健康扶贫工作的深入开展。</w:t>
      </w:r>
    </w:p>
    <w:p>
      <w:pPr>
        <w:widowControl/>
        <w:snapToGrid w:val="0"/>
        <w:spacing w:before="100" w:after="100" w:line="600" w:lineRule="exact"/>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三、一般公共预算财政拨款支出决算情况说明</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（一）一般公共预算财政拨款支出决算总体情况</w:t>
      </w:r>
    </w:p>
    <w:p>
      <w:pPr>
        <w:snapToGrid w:val="0"/>
        <w:spacing w:line="360" w:lineRule="auto"/>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年部门公共预算财政拨款支出</w:t>
      </w:r>
      <w:r>
        <w:rPr>
          <w:rFonts w:hint="eastAsia" w:ascii="仿宋_GB2312" w:hAnsi="仿宋_GB2312" w:eastAsia="仿宋_GB2312" w:cs="仿宋_GB2312"/>
          <w:sz w:val="30"/>
          <w:szCs w:val="30"/>
          <w:lang w:val="en-US" w:eastAsia="zh-CN"/>
        </w:rPr>
        <w:t>408.58</w:t>
      </w:r>
      <w:r>
        <w:rPr>
          <w:rFonts w:hint="eastAsia" w:ascii="仿宋_GB2312" w:hAnsi="仿宋_GB2312" w:eastAsia="仿宋_GB2312" w:cs="仿宋_GB2312"/>
          <w:sz w:val="30"/>
          <w:szCs w:val="30"/>
        </w:rPr>
        <w:t>万元,占本年支出合计</w:t>
      </w:r>
      <w:r>
        <w:rPr>
          <w:rFonts w:hint="eastAsia" w:ascii="仿宋_GB2312" w:hAnsi="仿宋_GB2312" w:eastAsia="仿宋_GB2312" w:cs="仿宋_GB2312"/>
          <w:sz w:val="30"/>
          <w:szCs w:val="30"/>
          <w:lang w:val="en-US" w:eastAsia="zh-CN"/>
        </w:rPr>
        <w:t>29.33</w:t>
      </w:r>
      <w:r>
        <w:rPr>
          <w:rFonts w:hint="eastAsia" w:ascii="仿宋_GB2312" w:hAnsi="仿宋_GB2312" w:eastAsia="仿宋_GB2312" w:cs="仿宋_GB2312"/>
          <w:sz w:val="30"/>
          <w:szCs w:val="30"/>
        </w:rPr>
        <w:t>%。与上年对比</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rPr>
        <w:t>了</w:t>
      </w:r>
      <w:r>
        <w:rPr>
          <w:rFonts w:hint="eastAsia" w:ascii="仿宋_GB2312" w:hAnsi="仿宋_GB2312" w:eastAsia="仿宋_GB2312" w:cs="仿宋_GB2312"/>
          <w:sz w:val="30"/>
          <w:szCs w:val="30"/>
          <w:lang w:val="en-US" w:eastAsia="zh-CN"/>
        </w:rPr>
        <w:t>24.47</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rPr>
        <w:t>率为</w:t>
      </w:r>
      <w:r>
        <w:rPr>
          <w:rFonts w:hint="eastAsia" w:ascii="仿宋_GB2312" w:hAnsi="仿宋_GB2312" w:eastAsia="仿宋_GB2312" w:cs="仿宋_GB2312"/>
          <w:sz w:val="30"/>
          <w:szCs w:val="30"/>
          <w:lang w:val="en-US" w:eastAsia="zh-CN"/>
        </w:rPr>
        <w:t>5.65</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lang w:eastAsia="zh-CN"/>
        </w:rPr>
        <w:t>经费没有按时拨付导致。</w:t>
      </w:r>
      <w:r>
        <w:rPr>
          <w:rFonts w:hint="eastAsia" w:ascii="仿宋_GB2312" w:hAnsi="仿宋_GB2312" w:eastAsia="仿宋_GB2312" w:cs="仿宋_GB2312"/>
          <w:sz w:val="30"/>
          <w:szCs w:val="30"/>
        </w:rPr>
        <w:t>按支出功能分类主要用于以下方面：</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（二）一般公共预算财政拨款支出决算具体情况</w:t>
      </w:r>
    </w:p>
    <w:p>
      <w:pPr>
        <w:snapToGrid w:val="0"/>
        <w:spacing w:line="52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(1)2080505款：机关事业单位基本养老保险缴费支出11.94万元</w:t>
      </w:r>
    </w:p>
    <w:p>
      <w:pPr>
        <w:snapToGrid w:val="0"/>
        <w:spacing w:line="52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(2)2100302款：乡镇卫生院300.11万元</w:t>
      </w:r>
    </w:p>
    <w:p>
      <w:pPr>
        <w:snapToGrid w:val="0"/>
        <w:spacing w:line="52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(3)2100399款：其他基层医疗卫生机构支出18.52万元</w:t>
      </w:r>
    </w:p>
    <w:p>
      <w:pPr>
        <w:snapToGrid w:val="0"/>
        <w:spacing w:line="52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(4)2100408款：基本公共卫生服务71.89万元</w:t>
      </w:r>
    </w:p>
    <w:p>
      <w:pPr>
        <w:snapToGrid w:val="0"/>
        <w:spacing w:line="52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(5)2100409款：重大公共卫生专项2.41万元</w:t>
      </w:r>
    </w:p>
    <w:p>
      <w:pPr>
        <w:snapToGrid w:val="0"/>
        <w:spacing w:line="52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(6)2101399款：扶贫资金1.37万元</w:t>
      </w:r>
    </w:p>
    <w:p>
      <w:pPr>
        <w:snapToGrid w:val="0"/>
        <w:spacing w:line="52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（7）2100717款：计划生育服务2.34万元</w:t>
      </w:r>
    </w:p>
    <w:p>
      <w:pPr>
        <w:widowControl/>
        <w:snapToGrid w:val="0"/>
        <w:spacing w:before="100" w:after="100"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、外交支出无</w:t>
      </w:r>
    </w:p>
    <w:p>
      <w:pPr>
        <w:widowControl/>
        <w:snapToGrid w:val="0"/>
        <w:spacing w:before="100" w:after="100"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、国防支出无</w:t>
      </w:r>
    </w:p>
    <w:p>
      <w:pPr>
        <w:widowControl/>
        <w:snapToGrid w:val="0"/>
        <w:spacing w:before="100" w:after="100"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 xml:space="preserve"> 、公共安全支出无</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四、一般公共预算财政拨款“三公”经费支出决算情况说明</w:t>
      </w:r>
    </w:p>
    <w:p>
      <w:pPr>
        <w:widowControl/>
        <w:snapToGrid w:val="0"/>
        <w:spacing w:before="100" w:after="100" w:line="360" w:lineRule="auto"/>
        <w:ind w:firstLine="64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（一）、“三公”经费决算情况说明</w:t>
      </w:r>
    </w:p>
    <w:p>
      <w:pPr>
        <w:widowControl/>
        <w:snapToGrid w:val="0"/>
        <w:spacing w:before="100" w:after="100" w:line="360" w:lineRule="auto"/>
        <w:ind w:firstLine="64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年财政拨款“三公”经费决算总额</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万元，其中，因公出国（境）费支出0万元，公务用车购置及运行维护费支出</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万元，公务接待费支出0万元。</w:t>
      </w:r>
    </w:p>
    <w:p>
      <w:pPr>
        <w:widowControl/>
        <w:snapToGrid w:val="0"/>
        <w:spacing w:before="100" w:after="100" w:line="360" w:lineRule="auto"/>
        <w:ind w:firstLine="320" w:firstLineChars="1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1、因公出国（境）费</w:t>
      </w:r>
    </w:p>
    <w:p>
      <w:pPr>
        <w:widowControl/>
        <w:snapToGrid w:val="0"/>
        <w:spacing w:before="100" w:after="100" w:line="360" w:lineRule="auto"/>
        <w:ind w:firstLine="64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年单位因公出国（境）团组0次，出国（境）0人。实际发生因公出国（境）费0万元，比201</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年决算增加/减少0万元。</w:t>
      </w:r>
    </w:p>
    <w:p>
      <w:pPr>
        <w:widowControl/>
        <w:snapToGrid w:val="0"/>
        <w:spacing w:before="100" w:after="100" w:line="360" w:lineRule="auto"/>
        <w:ind w:firstLine="320" w:firstLineChars="1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2、公务用车购置及运行维护费</w:t>
      </w:r>
    </w:p>
    <w:p>
      <w:pPr>
        <w:widowControl/>
        <w:snapToGrid w:val="0"/>
        <w:spacing w:before="100" w:after="100" w:line="360" w:lineRule="auto"/>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年单位购置公务用车0辆，年末公务用车保有量2辆，公务用车购置及运行维护费</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万元。其中：购置费0元，运行维护费</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p>
    <w:p>
      <w:pPr>
        <w:widowControl/>
        <w:snapToGrid w:val="0"/>
        <w:spacing w:before="100" w:after="100" w:line="360" w:lineRule="auto"/>
        <w:ind w:firstLine="64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3、公务接待费无</w:t>
      </w:r>
    </w:p>
    <w:p>
      <w:pPr>
        <w:widowControl/>
        <w:snapToGrid w:val="0"/>
        <w:spacing w:before="100" w:after="100" w:line="360" w:lineRule="auto"/>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w:t>
      </w:r>
      <w:r>
        <w:rPr>
          <w:rFonts w:hint="default" w:ascii="Times New Roman" w:hAnsi="Times New Roman" w:eastAsia="黑体" w:cs="Times New Roman"/>
          <w:sz w:val="30"/>
          <w:szCs w:val="30"/>
        </w:rPr>
        <w:t xml:space="preserve"> </w:t>
      </w:r>
      <w:r>
        <w:rPr>
          <w:rFonts w:hint="default" w:ascii="Times New Roman" w:hAnsi="Times New Roman" w:eastAsia="楷体" w:cs="Times New Roman"/>
          <w:sz w:val="30"/>
          <w:szCs w:val="30"/>
        </w:rPr>
        <w:t>一般公共预算财政拨款“三公”经费支出决算总体情况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eastAsia="仿宋_GB2312" w:cs="Times New Roman"/>
          <w:sz w:val="30"/>
          <w:szCs w:val="30"/>
          <w:lang w:eastAsia="zh-CN"/>
        </w:rPr>
        <w:t>芒市</w:t>
      </w:r>
      <w:r>
        <w:rPr>
          <w:rFonts w:hint="eastAsia" w:ascii="Times New Roman" w:hAnsi="Times New Roman" w:eastAsia="仿宋_GB2312" w:cs="Times New Roman"/>
          <w:sz w:val="30"/>
          <w:szCs w:val="30"/>
          <w:lang w:eastAsia="zh-CN"/>
        </w:rPr>
        <w:t>芒市镇卫生院</w:t>
      </w: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年度一般公共预算财政拨款“三公”经费支出预算为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%。其中：因公出国（境）费支出决算为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年度一般公共预算财政拨款“三公”经费支出决算数比</w:t>
      </w:r>
      <w:r>
        <w:rPr>
          <w:rFonts w:hint="eastAsia" w:ascii="Times New Roman" w:hAnsi="Times New Roman" w:eastAsia="仿宋_GB2312" w:cs="Times New Roman"/>
          <w:sz w:val="30"/>
          <w:szCs w:val="30"/>
          <w:lang w:val="en-US" w:eastAsia="zh-CN"/>
        </w:rPr>
        <w:t>2018</w:t>
      </w:r>
      <w:r>
        <w:rPr>
          <w:rFonts w:hint="default" w:ascii="Times New Roman" w:hAnsi="Times New Roman" w:eastAsia="仿宋_GB2312" w:cs="Times New Roman"/>
          <w:sz w:val="30"/>
          <w:szCs w:val="30"/>
        </w:rPr>
        <w:t>年增加/减少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%。其中：因公出国（境）费支出决算增加/减少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w:t>
      </w:r>
      <w:r>
        <w:rPr>
          <w:rFonts w:hint="default" w:ascii="Times New Roman" w:hAnsi="Times New Roman" w:eastAsia="仿宋_GB2312" w:cs="Times New Roman"/>
          <w:sz w:val="30"/>
          <w:szCs w:val="30"/>
        </w:rPr>
        <w:t xml:space="preserve"> </w:t>
      </w:r>
      <w:r>
        <w:rPr>
          <w:rFonts w:hint="default" w:ascii="Times New Roman" w:hAnsi="Times New Roman" w:eastAsia="楷体" w:cs="Times New Roman"/>
          <w:sz w:val="30"/>
          <w:szCs w:val="30"/>
        </w:rPr>
        <w:t>一般公共预算财政拨款“三公”经费支出决算具体情况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年度一般公共预算财政拨款“三公”经费支出决算中，因公出国（境）费支出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%；公务用车购置及运行维护费支出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%。具体情况如下：</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1.因公出国（境）费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万元，共安排因公出国（境）团组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个，累计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人次。</w:t>
      </w:r>
    </w:p>
    <w:p>
      <w:pPr>
        <w:widowControl/>
        <w:snapToGrid w:val="0"/>
        <w:spacing w:before="100" w:after="100"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第四部分  其他重要事项及相关口径情况说明</w:t>
      </w:r>
    </w:p>
    <w:p>
      <w:pPr>
        <w:ind w:firstLine="64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机关运行经费支出情况</w:t>
      </w:r>
    </w:p>
    <w:p>
      <w:pPr>
        <w:ind w:firstLine="64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2019年</w:t>
      </w:r>
      <w:r>
        <w:rPr>
          <w:rFonts w:hint="eastAsia" w:ascii="仿宋_GB2312" w:hAnsi="仿宋_GB2312" w:eastAsia="仿宋_GB2312" w:cs="仿宋_GB2312"/>
          <w:sz w:val="30"/>
          <w:szCs w:val="30"/>
        </w:rPr>
        <w:t>经费支出</w:t>
      </w:r>
      <w:r>
        <w:rPr>
          <w:rFonts w:hint="eastAsia" w:ascii="仿宋_GB2312" w:hAnsi="仿宋_GB2312" w:eastAsia="仿宋_GB2312" w:cs="仿宋_GB2312"/>
          <w:sz w:val="30"/>
          <w:szCs w:val="30"/>
          <w:lang w:val="en-US" w:eastAsia="zh-CN"/>
        </w:rPr>
        <w:t>1392.84</w:t>
      </w:r>
      <w:r>
        <w:rPr>
          <w:rFonts w:hint="eastAsia" w:ascii="仿宋_GB2312" w:hAnsi="仿宋_GB2312" w:eastAsia="仿宋_GB2312" w:cs="仿宋_GB2312"/>
          <w:sz w:val="30"/>
          <w:szCs w:val="30"/>
        </w:rPr>
        <w:t>万元，与上年对比</w:t>
      </w:r>
      <w:r>
        <w:rPr>
          <w:rFonts w:hint="eastAsia" w:ascii="仿宋_GB2312" w:hAnsi="仿宋_GB2312" w:eastAsia="仿宋_GB2312" w:cs="仿宋_GB2312"/>
          <w:sz w:val="30"/>
          <w:szCs w:val="30"/>
          <w:lang w:eastAsia="zh-CN"/>
        </w:rPr>
        <w:t>减少了</w:t>
      </w:r>
      <w:r>
        <w:rPr>
          <w:rFonts w:hint="eastAsia" w:ascii="仿宋_GB2312" w:hAnsi="仿宋_GB2312" w:eastAsia="仿宋_GB2312" w:cs="仿宋_GB2312"/>
          <w:sz w:val="30"/>
          <w:szCs w:val="30"/>
          <w:lang w:val="en-US" w:eastAsia="zh-CN"/>
        </w:rPr>
        <w:t>260.77万元，</w:t>
      </w:r>
      <w:r>
        <w:rPr>
          <w:rFonts w:hint="eastAsia" w:ascii="仿宋_GB2312" w:hAnsi="仿宋_GB2312" w:eastAsia="仿宋_GB2312" w:cs="仿宋_GB2312"/>
          <w:sz w:val="30"/>
          <w:szCs w:val="30"/>
        </w:rPr>
        <w:t>经费主要用于</w:t>
      </w:r>
      <w:r>
        <w:rPr>
          <w:rFonts w:hint="eastAsia" w:ascii="仿宋_GB2312" w:hAnsi="仿宋_GB2312" w:eastAsia="仿宋_GB2312" w:cs="仿宋_GB2312"/>
          <w:sz w:val="30"/>
          <w:szCs w:val="30"/>
          <w:lang w:val="en-US" w:eastAsia="zh-CN"/>
        </w:rPr>
        <w:t>单位药品、材料采购、聘用临时人员补助支出、设备购置、维修费用、公用经费支出等</w:t>
      </w:r>
      <w:r>
        <w:rPr>
          <w:rFonts w:hint="eastAsia" w:ascii="仿宋_GB2312" w:hAnsi="仿宋_GB2312" w:eastAsia="仿宋_GB2312" w:cs="仿宋_GB2312"/>
          <w:sz w:val="30"/>
          <w:szCs w:val="30"/>
        </w:rPr>
        <w:t>。</w:t>
      </w:r>
    </w:p>
    <w:p>
      <w:pPr>
        <w:widowControl/>
        <w:numPr>
          <w:ilvl w:val="0"/>
          <w:numId w:val="2"/>
        </w:numPr>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rPr>
        <w:t>国有资产占用情况</w:t>
      </w:r>
    </w:p>
    <w:p>
      <w:pPr>
        <w:ind w:firstLine="64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截至201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年12月31日，</w:t>
      </w:r>
      <w:r>
        <w:rPr>
          <w:rFonts w:hint="eastAsia" w:ascii="仿宋_GB2312" w:hAnsi="仿宋_GB2312" w:eastAsia="仿宋_GB2312" w:cs="仿宋_GB2312"/>
          <w:sz w:val="30"/>
          <w:szCs w:val="30"/>
          <w:lang w:eastAsia="zh-CN"/>
        </w:rPr>
        <w:t>卫生院</w:t>
      </w:r>
      <w:r>
        <w:rPr>
          <w:rFonts w:hint="eastAsia" w:ascii="仿宋_GB2312" w:hAnsi="仿宋_GB2312" w:eastAsia="仿宋_GB2312" w:cs="仿宋_GB2312"/>
          <w:sz w:val="30"/>
          <w:szCs w:val="30"/>
        </w:rPr>
        <w:t>资产总额</w:t>
      </w:r>
      <w:r>
        <w:rPr>
          <w:rFonts w:hint="eastAsia" w:ascii="仿宋_GB2312" w:hAnsi="仿宋_GB2312" w:eastAsia="仿宋_GB2312" w:cs="仿宋_GB2312"/>
          <w:sz w:val="30"/>
          <w:szCs w:val="30"/>
          <w:lang w:val="en-US" w:eastAsia="zh-CN"/>
        </w:rPr>
        <w:t>1144.73</w:t>
      </w:r>
      <w:r>
        <w:rPr>
          <w:rFonts w:hint="eastAsia" w:ascii="仿宋_GB2312" w:hAnsi="仿宋_GB2312" w:eastAsia="仿宋_GB2312" w:cs="仿宋_GB2312"/>
          <w:sz w:val="30"/>
          <w:szCs w:val="30"/>
        </w:rPr>
        <w:t>万元，其中，流动资产</w:t>
      </w:r>
      <w:r>
        <w:rPr>
          <w:rFonts w:hint="eastAsia" w:ascii="仿宋_GB2312" w:hAnsi="仿宋_GB2312" w:eastAsia="仿宋_GB2312" w:cs="仿宋_GB2312"/>
          <w:sz w:val="30"/>
          <w:szCs w:val="30"/>
          <w:lang w:val="en-US" w:eastAsia="zh-CN"/>
        </w:rPr>
        <w:t>390.73</w:t>
      </w:r>
      <w:r>
        <w:rPr>
          <w:rFonts w:hint="eastAsia" w:ascii="仿宋_GB2312" w:hAnsi="仿宋_GB2312" w:eastAsia="仿宋_GB2312" w:cs="仿宋_GB2312"/>
          <w:sz w:val="30"/>
          <w:szCs w:val="30"/>
        </w:rPr>
        <w:t>万元，固定资产</w:t>
      </w:r>
      <w:r>
        <w:rPr>
          <w:rFonts w:hint="eastAsia" w:ascii="仿宋_GB2312" w:hAnsi="仿宋_GB2312" w:eastAsia="仿宋_GB2312" w:cs="仿宋_GB2312"/>
          <w:sz w:val="30"/>
          <w:szCs w:val="30"/>
          <w:lang w:val="en-US" w:eastAsia="zh-CN"/>
        </w:rPr>
        <w:t>净值752.63</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无形</w:t>
      </w:r>
      <w:r>
        <w:rPr>
          <w:rFonts w:hint="eastAsia" w:ascii="仿宋_GB2312" w:hAnsi="仿宋_GB2312" w:eastAsia="仿宋_GB2312" w:cs="仿宋_GB2312"/>
          <w:sz w:val="32"/>
          <w:szCs w:val="32"/>
          <w:lang w:eastAsia="zh-CN"/>
        </w:rPr>
        <w:t>资产净值</w:t>
      </w:r>
      <w:r>
        <w:rPr>
          <w:rFonts w:hint="eastAsia" w:ascii="仿宋_GB2312" w:hAnsi="仿宋_GB2312" w:eastAsia="仿宋_GB2312" w:cs="仿宋_GB2312"/>
          <w:sz w:val="30"/>
          <w:szCs w:val="30"/>
          <w:lang w:val="en-US" w:eastAsia="zh-CN"/>
        </w:rPr>
        <w:t>1.37万元，</w:t>
      </w:r>
      <w:r>
        <w:rPr>
          <w:rFonts w:hint="eastAsia" w:ascii="仿宋_GB2312" w:hAnsi="仿宋_GB2312" w:eastAsia="仿宋_GB2312" w:cs="仿宋_GB2312"/>
          <w:sz w:val="30"/>
          <w:szCs w:val="30"/>
        </w:rPr>
        <w:t>对外投资及有价证券</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万元，在建工程</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万元，其他资产</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万元。与上年相比，本年资产总额</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203.04</w:t>
      </w:r>
      <w:r>
        <w:rPr>
          <w:rFonts w:hint="eastAsia" w:ascii="仿宋_GB2312" w:hAnsi="仿宋_GB2312" w:eastAsia="仿宋_GB2312" w:cs="仿宋_GB2312"/>
          <w:sz w:val="30"/>
          <w:szCs w:val="30"/>
        </w:rPr>
        <w:t>万元，其中固定资产</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46.65</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主要是</w:t>
      </w:r>
      <w:r>
        <w:rPr>
          <w:rFonts w:hint="eastAsia" w:ascii="仿宋_GB2312" w:hAnsi="仿宋_GB2312" w:eastAsia="仿宋_GB2312" w:cs="仿宋_GB2312"/>
          <w:sz w:val="30"/>
          <w:szCs w:val="30"/>
          <w:lang w:val="en-US" w:eastAsia="zh-CN"/>
        </w:rPr>
        <w:t>2019年固定资产报废一批52.85万元。</w:t>
      </w:r>
    </w:p>
    <w:p>
      <w:pPr>
        <w:widowControl/>
        <w:numPr>
          <w:ilvl w:val="0"/>
          <w:numId w:val="0"/>
        </w:numPr>
        <w:jc w:val="both"/>
        <w:rPr>
          <w:rFonts w:hint="default" w:ascii="Times New Roman" w:hAnsi="Times New Roman" w:eastAsia="黑体" w:cs="Times New Roman"/>
          <w:color w:val="000000"/>
          <w:kern w:val="0"/>
          <w:sz w:val="30"/>
          <w:szCs w:val="30"/>
        </w:rPr>
      </w:pPr>
    </w:p>
    <w:tbl>
      <w:tblPr>
        <w:tblStyle w:val="8"/>
        <w:tblpPr w:leftFromText="180" w:rightFromText="180" w:vertAnchor="text" w:horzAnchor="page" w:tblpX="805" w:tblpY="31"/>
        <w:tblOverlap w:val="never"/>
        <w:tblW w:w="10617" w:type="dxa"/>
        <w:tblInd w:w="0" w:type="dxa"/>
        <w:tblLayout w:type="fixed"/>
        <w:tblCellMar>
          <w:top w:w="15" w:type="dxa"/>
          <w:left w:w="15" w:type="dxa"/>
          <w:bottom w:w="15" w:type="dxa"/>
          <w:right w:w="15" w:type="dxa"/>
        </w:tblCellMar>
      </w:tblPr>
      <w:tblGrid>
        <w:gridCol w:w="724"/>
        <w:gridCol w:w="552"/>
        <w:gridCol w:w="881"/>
        <w:gridCol w:w="585"/>
        <w:gridCol w:w="416"/>
        <w:gridCol w:w="814"/>
        <w:gridCol w:w="701"/>
        <w:gridCol w:w="68"/>
        <w:gridCol w:w="877"/>
        <w:gridCol w:w="336"/>
        <w:gridCol w:w="652"/>
        <w:gridCol w:w="240"/>
        <w:gridCol w:w="950"/>
        <w:gridCol w:w="781"/>
        <w:gridCol w:w="915"/>
        <w:gridCol w:w="1125"/>
      </w:tblGrid>
      <w:tr>
        <w:tblPrEx>
          <w:tblLayout w:type="fixed"/>
          <w:tblCellMar>
            <w:top w:w="15" w:type="dxa"/>
            <w:left w:w="15" w:type="dxa"/>
            <w:bottom w:w="15" w:type="dxa"/>
            <w:right w:w="15" w:type="dxa"/>
          </w:tblCellMar>
        </w:tblPrEx>
        <w:trPr>
          <w:trHeight w:val="495" w:hRule="atLeast"/>
        </w:trPr>
        <w:tc>
          <w:tcPr>
            <w:tcW w:w="10617" w:type="dxa"/>
            <w:gridSpan w:val="16"/>
            <w:shd w:val="clear" w:color="auto" w:fill="FFFFFF"/>
            <w:vAlign w:val="center"/>
          </w:tcPr>
          <w:p>
            <w:pPr>
              <w:widowControl/>
              <w:jc w:val="center"/>
              <w:textAlignment w:val="center"/>
              <w:rPr>
                <w:rFonts w:hint="eastAsia" w:ascii="仿宋_GB2312" w:hAnsi="仿宋_GB2312" w:eastAsia="仿宋_GB2312" w:cs="仿宋_GB2312"/>
                <w:b/>
                <w:sz w:val="28"/>
                <w:szCs w:val="28"/>
              </w:rPr>
            </w:pPr>
            <w:r>
              <w:rPr>
                <w:rFonts w:hint="eastAsia" w:ascii="仿宋_GB2312" w:hAnsi="仿宋_GB2312" w:eastAsia="仿宋_GB2312" w:cs="仿宋_GB2312"/>
                <w:b/>
                <w:kern w:val="0"/>
                <w:sz w:val="28"/>
                <w:szCs w:val="28"/>
                <w:lang w:bidi="ar"/>
              </w:rPr>
              <w:t>国有资产占有使用情况表</w:t>
            </w:r>
          </w:p>
        </w:tc>
      </w:tr>
      <w:tr>
        <w:tblPrEx>
          <w:tblLayout w:type="fixed"/>
          <w:tblCellMar>
            <w:top w:w="15" w:type="dxa"/>
            <w:left w:w="15" w:type="dxa"/>
            <w:bottom w:w="15" w:type="dxa"/>
            <w:right w:w="15" w:type="dxa"/>
          </w:tblCellMar>
        </w:tblPrEx>
        <w:trPr>
          <w:trHeight w:val="347" w:hRule="atLeast"/>
        </w:trPr>
        <w:tc>
          <w:tcPr>
            <w:tcW w:w="4741" w:type="dxa"/>
            <w:gridSpan w:val="8"/>
            <w:tcBorders>
              <w:bottom w:val="single" w:color="808080" w:sz="4" w:space="0"/>
            </w:tcBorders>
            <w:shd w:val="clear" w:color="auto" w:fill="FFFFFF"/>
            <w:vAlign w:val="center"/>
          </w:tcPr>
          <w:p>
            <w:pPr>
              <w:widowControl/>
              <w:jc w:val="left"/>
              <w:textAlignment w:val="center"/>
              <w:rPr>
                <w:rFonts w:hint="eastAsia" w:ascii="仿宋_GB2312" w:hAnsi="仿宋_GB2312" w:eastAsia="仿宋_GB2312" w:cs="仿宋_GB2312"/>
                <w:sz w:val="28"/>
                <w:szCs w:val="28"/>
              </w:rPr>
            </w:pPr>
          </w:p>
        </w:tc>
        <w:tc>
          <w:tcPr>
            <w:tcW w:w="877" w:type="dxa"/>
            <w:tcBorders>
              <w:bottom w:val="single" w:color="808080" w:sz="4" w:space="0"/>
            </w:tcBorders>
            <w:shd w:val="clear" w:color="auto" w:fill="FFFFFF"/>
            <w:vAlign w:val="center"/>
          </w:tcPr>
          <w:p>
            <w:pPr>
              <w:rPr>
                <w:rFonts w:hint="eastAsia" w:ascii="仿宋_GB2312" w:hAnsi="仿宋_GB2312" w:eastAsia="仿宋_GB2312" w:cs="仿宋_GB2312"/>
                <w:sz w:val="28"/>
                <w:szCs w:val="28"/>
              </w:rPr>
            </w:pPr>
          </w:p>
        </w:tc>
        <w:tc>
          <w:tcPr>
            <w:tcW w:w="988" w:type="dxa"/>
            <w:gridSpan w:val="2"/>
            <w:tcBorders>
              <w:bottom w:val="single" w:color="808080" w:sz="4" w:space="0"/>
            </w:tcBorders>
            <w:shd w:val="clear" w:color="auto" w:fill="FFFFFF"/>
            <w:vAlign w:val="center"/>
          </w:tcPr>
          <w:p>
            <w:pPr>
              <w:rPr>
                <w:rFonts w:hint="eastAsia" w:ascii="仿宋_GB2312" w:hAnsi="仿宋_GB2312" w:eastAsia="仿宋_GB2312" w:cs="仿宋_GB2312"/>
                <w:sz w:val="28"/>
                <w:szCs w:val="28"/>
              </w:rPr>
            </w:pPr>
          </w:p>
        </w:tc>
        <w:tc>
          <w:tcPr>
            <w:tcW w:w="240" w:type="dxa"/>
            <w:tcBorders>
              <w:bottom w:val="single" w:color="808080" w:sz="4" w:space="0"/>
            </w:tcBorders>
            <w:shd w:val="clear" w:color="auto" w:fill="FFFFFF"/>
            <w:vAlign w:val="center"/>
          </w:tcPr>
          <w:p>
            <w:pPr>
              <w:rPr>
                <w:rFonts w:hint="eastAsia" w:ascii="仿宋_GB2312" w:hAnsi="仿宋_GB2312" w:eastAsia="仿宋_GB2312" w:cs="仿宋_GB2312"/>
                <w:sz w:val="28"/>
                <w:szCs w:val="28"/>
              </w:rPr>
            </w:pPr>
          </w:p>
        </w:tc>
        <w:tc>
          <w:tcPr>
            <w:tcW w:w="950" w:type="dxa"/>
            <w:tcBorders>
              <w:bottom w:val="single" w:color="808080" w:sz="4" w:space="0"/>
            </w:tcBorders>
            <w:shd w:val="clear" w:color="auto" w:fill="FFFFFF"/>
            <w:vAlign w:val="center"/>
          </w:tcPr>
          <w:p>
            <w:pPr>
              <w:rPr>
                <w:rFonts w:hint="eastAsia" w:ascii="仿宋_GB2312" w:hAnsi="仿宋_GB2312" w:eastAsia="仿宋_GB2312" w:cs="仿宋_GB2312"/>
                <w:sz w:val="28"/>
                <w:szCs w:val="28"/>
              </w:rPr>
            </w:pPr>
          </w:p>
        </w:tc>
        <w:tc>
          <w:tcPr>
            <w:tcW w:w="781" w:type="dxa"/>
            <w:tcBorders>
              <w:bottom w:val="single" w:color="808080" w:sz="4" w:space="0"/>
            </w:tcBorders>
            <w:shd w:val="clear" w:color="auto" w:fill="FFFFFF"/>
            <w:vAlign w:val="center"/>
          </w:tcPr>
          <w:p>
            <w:pPr>
              <w:rPr>
                <w:rFonts w:hint="eastAsia" w:ascii="仿宋_GB2312" w:hAnsi="仿宋_GB2312" w:eastAsia="仿宋_GB2312" w:cs="仿宋_GB2312"/>
                <w:sz w:val="28"/>
                <w:szCs w:val="28"/>
              </w:rPr>
            </w:pPr>
          </w:p>
        </w:tc>
        <w:tc>
          <w:tcPr>
            <w:tcW w:w="2040" w:type="dxa"/>
            <w:gridSpan w:val="2"/>
            <w:tcBorders>
              <w:bottom w:val="single" w:color="808080" w:sz="4" w:space="0"/>
            </w:tcBorders>
            <w:shd w:val="clear" w:color="auto" w:fill="FFFFFF"/>
            <w:vAlign w:val="center"/>
          </w:tcPr>
          <w:p>
            <w:pPr>
              <w:widowControl/>
              <w:jc w:val="righ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单位：万元</w:t>
            </w:r>
          </w:p>
        </w:tc>
      </w:tr>
      <w:tr>
        <w:tblPrEx>
          <w:tblLayout w:type="fixed"/>
          <w:tblCellMar>
            <w:top w:w="15" w:type="dxa"/>
            <w:left w:w="15" w:type="dxa"/>
            <w:bottom w:w="15" w:type="dxa"/>
            <w:right w:w="15" w:type="dxa"/>
          </w:tblCellMar>
        </w:tblPrEx>
        <w:trPr>
          <w:trHeight w:val="415" w:hRule="atLeast"/>
        </w:trPr>
        <w:tc>
          <w:tcPr>
            <w:tcW w:w="724"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项目</w:t>
            </w:r>
          </w:p>
        </w:tc>
        <w:tc>
          <w:tcPr>
            <w:tcW w:w="552"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行次</w:t>
            </w:r>
          </w:p>
        </w:tc>
        <w:tc>
          <w:tcPr>
            <w:tcW w:w="881"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资产总额</w:t>
            </w:r>
          </w:p>
        </w:tc>
        <w:tc>
          <w:tcPr>
            <w:tcW w:w="585"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流动资产</w:t>
            </w:r>
          </w:p>
        </w:tc>
        <w:tc>
          <w:tcPr>
            <w:tcW w:w="4104" w:type="dxa"/>
            <w:gridSpan w:val="8"/>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固定资产</w:t>
            </w:r>
          </w:p>
        </w:tc>
        <w:tc>
          <w:tcPr>
            <w:tcW w:w="950"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对外投资/有价证券</w:t>
            </w:r>
          </w:p>
        </w:tc>
        <w:tc>
          <w:tcPr>
            <w:tcW w:w="781"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在建工程</w:t>
            </w:r>
          </w:p>
        </w:tc>
        <w:tc>
          <w:tcPr>
            <w:tcW w:w="915"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无形资产</w:t>
            </w:r>
          </w:p>
        </w:tc>
        <w:tc>
          <w:tcPr>
            <w:tcW w:w="1125"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其他资产</w:t>
            </w:r>
          </w:p>
        </w:tc>
      </w:tr>
      <w:tr>
        <w:tblPrEx>
          <w:tblLayout w:type="fixed"/>
          <w:tblCellMar>
            <w:top w:w="15" w:type="dxa"/>
            <w:left w:w="15" w:type="dxa"/>
            <w:bottom w:w="15" w:type="dxa"/>
            <w:right w:w="15" w:type="dxa"/>
          </w:tblCellMar>
        </w:tblPrEx>
        <w:trPr>
          <w:trHeight w:val="345" w:hRule="atLeast"/>
        </w:trPr>
        <w:tc>
          <w:tcPr>
            <w:tcW w:w="724"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552"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881"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585"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小计</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房屋构筑物</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汽车</w:t>
            </w:r>
          </w:p>
        </w:tc>
        <w:tc>
          <w:tcPr>
            <w:tcW w:w="128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单价200万以上大型设备</w:t>
            </w:r>
          </w:p>
        </w:tc>
        <w:tc>
          <w:tcPr>
            <w:tcW w:w="89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其他固定资产</w:t>
            </w:r>
          </w:p>
        </w:tc>
        <w:tc>
          <w:tcPr>
            <w:tcW w:w="950"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781"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91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112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r>
      <w:tr>
        <w:tblPrEx>
          <w:tblLayout w:type="fixed"/>
          <w:tblCellMar>
            <w:top w:w="15" w:type="dxa"/>
            <w:left w:w="15" w:type="dxa"/>
            <w:bottom w:w="15" w:type="dxa"/>
            <w:right w:w="15" w:type="dxa"/>
          </w:tblCellMar>
        </w:tblPrEx>
        <w:trPr>
          <w:trHeight w:val="395" w:hRule="atLeast"/>
        </w:trPr>
        <w:tc>
          <w:tcPr>
            <w:tcW w:w="724"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552"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881"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585"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4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128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950"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781"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91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1125"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r>
      <w:tr>
        <w:tblPrEx>
          <w:tblLayout w:type="fixed"/>
          <w:tblCellMar>
            <w:top w:w="15" w:type="dxa"/>
            <w:left w:w="15" w:type="dxa"/>
            <w:bottom w:w="15" w:type="dxa"/>
            <w:right w:w="15" w:type="dxa"/>
          </w:tblCellMar>
        </w:tblPrEx>
        <w:trPr>
          <w:trHeight w:val="358"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栏次</w:t>
            </w:r>
          </w:p>
        </w:tc>
        <w:tc>
          <w:tcPr>
            <w:tcW w:w="552"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2</w:t>
            </w: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4</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5</w:t>
            </w:r>
          </w:p>
        </w:tc>
        <w:tc>
          <w:tcPr>
            <w:tcW w:w="128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6</w:t>
            </w:r>
          </w:p>
        </w:tc>
        <w:tc>
          <w:tcPr>
            <w:tcW w:w="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7</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8</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10</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11</w:t>
            </w:r>
          </w:p>
        </w:tc>
      </w:tr>
      <w:tr>
        <w:tblPrEx>
          <w:tblLayout w:type="fixed"/>
          <w:tblCellMar>
            <w:top w:w="15" w:type="dxa"/>
            <w:left w:w="15" w:type="dxa"/>
            <w:bottom w:w="15" w:type="dxa"/>
            <w:right w:w="15" w:type="dxa"/>
          </w:tblCellMar>
        </w:tblPrEx>
        <w:trPr>
          <w:trHeight w:val="563"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合计</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w:t>
            </w:r>
          </w:p>
        </w:tc>
        <w:tc>
          <w:tcPr>
            <w:tcW w:w="88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1144.73</w:t>
            </w: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390.73</w:t>
            </w:r>
          </w:p>
        </w:tc>
        <w:tc>
          <w:tcPr>
            <w:tcW w:w="4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522.85</w:t>
            </w:r>
          </w:p>
        </w:tc>
        <w:tc>
          <w:tcPr>
            <w:tcW w:w="7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19.79</w:t>
            </w:r>
          </w:p>
        </w:tc>
        <w:tc>
          <w:tcPr>
            <w:tcW w:w="1281"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rPr>
            </w:pPr>
          </w:p>
        </w:tc>
        <w:tc>
          <w:tcPr>
            <w:tcW w:w="89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467.77</w:t>
            </w:r>
          </w:p>
        </w:tc>
        <w:tc>
          <w:tcPr>
            <w:tcW w:w="9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rPr>
            </w:pPr>
          </w:p>
        </w:tc>
        <w:tc>
          <w:tcPr>
            <w:tcW w:w="78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4.98</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sz w:val="24"/>
                <w:szCs w:val="24"/>
              </w:rPr>
            </w:pPr>
          </w:p>
        </w:tc>
      </w:tr>
      <w:tr>
        <w:tblPrEx>
          <w:tblLayout w:type="fixed"/>
          <w:tblCellMar>
            <w:top w:w="15" w:type="dxa"/>
            <w:left w:w="15" w:type="dxa"/>
            <w:bottom w:w="15" w:type="dxa"/>
            <w:right w:w="15" w:type="dxa"/>
          </w:tblCellMar>
        </w:tblPrEx>
        <w:trPr>
          <w:trHeight w:val="259" w:hRule="atLeast"/>
        </w:trPr>
        <w:tc>
          <w:tcPr>
            <w:tcW w:w="8577" w:type="dxa"/>
            <w:gridSpan w:val="14"/>
            <w:vAlign w:val="bottom"/>
          </w:tcPr>
          <w:p>
            <w:pPr>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bidi="ar"/>
              </w:rPr>
              <w:t>填报说明：　1.资产总额＝流动资产＋固定资产＋对外投资／有价证券＋在建工程＋无形资产＋其他资产</w:t>
            </w:r>
          </w:p>
        </w:tc>
        <w:tc>
          <w:tcPr>
            <w:tcW w:w="915" w:type="dxa"/>
            <w:vAlign w:val="bottom"/>
          </w:tcPr>
          <w:p>
            <w:pPr>
              <w:rPr>
                <w:rFonts w:hint="eastAsia" w:ascii="仿宋_GB2312" w:hAnsi="仿宋_GB2312" w:eastAsia="仿宋_GB2312" w:cs="仿宋_GB2312"/>
                <w:sz w:val="30"/>
                <w:szCs w:val="30"/>
              </w:rPr>
            </w:pPr>
          </w:p>
        </w:tc>
        <w:tc>
          <w:tcPr>
            <w:tcW w:w="1125" w:type="dxa"/>
            <w:vAlign w:val="bottom"/>
          </w:tcPr>
          <w:p>
            <w:pPr>
              <w:rPr>
                <w:rFonts w:hint="eastAsia" w:ascii="仿宋_GB2312" w:hAnsi="仿宋_GB2312" w:eastAsia="仿宋_GB2312" w:cs="仿宋_GB2312"/>
                <w:sz w:val="30"/>
                <w:szCs w:val="30"/>
              </w:rPr>
            </w:pPr>
          </w:p>
        </w:tc>
      </w:tr>
      <w:tr>
        <w:tblPrEx>
          <w:tblLayout w:type="fixed"/>
          <w:tblCellMar>
            <w:top w:w="15" w:type="dxa"/>
            <w:left w:w="15" w:type="dxa"/>
            <w:bottom w:w="15" w:type="dxa"/>
            <w:right w:w="15" w:type="dxa"/>
          </w:tblCellMar>
        </w:tblPrEx>
        <w:trPr>
          <w:trHeight w:val="495" w:hRule="atLeast"/>
        </w:trPr>
        <w:tc>
          <w:tcPr>
            <w:tcW w:w="9492" w:type="dxa"/>
            <w:gridSpan w:val="15"/>
            <w:vAlign w:val="bottom"/>
          </w:tcPr>
          <w:p>
            <w:pPr>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bidi="ar"/>
              </w:rPr>
              <w:t>　　　　　　</w:t>
            </w:r>
            <w:r>
              <w:rPr>
                <w:rStyle w:val="11"/>
                <w:rFonts w:hint="eastAsia" w:ascii="仿宋_GB2312" w:hAnsi="仿宋_GB2312" w:eastAsia="仿宋_GB2312" w:cs="仿宋_GB2312"/>
                <w:color w:val="auto"/>
                <w:sz w:val="30"/>
                <w:szCs w:val="30"/>
                <w:lang w:bidi="ar"/>
              </w:rPr>
              <w:t>2.</w:t>
            </w:r>
            <w:r>
              <w:rPr>
                <w:rStyle w:val="10"/>
                <w:rFonts w:hint="eastAsia" w:ascii="仿宋_GB2312" w:hAnsi="仿宋_GB2312" w:eastAsia="仿宋_GB2312" w:cs="仿宋_GB2312"/>
                <w:color w:val="auto"/>
                <w:sz w:val="30"/>
                <w:szCs w:val="30"/>
                <w:lang w:bidi="ar"/>
              </w:rPr>
              <w:t>固定资产＝房屋构筑物＋汽车＋单价</w:t>
            </w:r>
            <w:r>
              <w:rPr>
                <w:rStyle w:val="11"/>
                <w:rFonts w:hint="eastAsia" w:ascii="仿宋_GB2312" w:hAnsi="仿宋_GB2312" w:eastAsia="仿宋_GB2312" w:cs="仿宋_GB2312"/>
                <w:color w:val="auto"/>
                <w:sz w:val="30"/>
                <w:szCs w:val="30"/>
                <w:lang w:bidi="ar"/>
              </w:rPr>
              <w:t>200</w:t>
            </w:r>
            <w:r>
              <w:rPr>
                <w:rStyle w:val="10"/>
                <w:rFonts w:hint="eastAsia" w:ascii="仿宋_GB2312" w:hAnsi="仿宋_GB2312" w:eastAsia="仿宋_GB2312" w:cs="仿宋_GB2312"/>
                <w:color w:val="auto"/>
                <w:sz w:val="30"/>
                <w:szCs w:val="30"/>
                <w:lang w:bidi="ar"/>
              </w:rPr>
              <w:t>万元以上大型设备＋其他固定资产</w:t>
            </w:r>
          </w:p>
        </w:tc>
        <w:tc>
          <w:tcPr>
            <w:tcW w:w="1125" w:type="dxa"/>
            <w:vAlign w:val="bottom"/>
          </w:tcPr>
          <w:p>
            <w:pPr>
              <w:rPr>
                <w:rFonts w:hint="eastAsia" w:ascii="仿宋_GB2312" w:hAnsi="仿宋_GB2312" w:eastAsia="仿宋_GB2312" w:cs="仿宋_GB2312"/>
                <w:sz w:val="30"/>
                <w:szCs w:val="30"/>
              </w:rPr>
            </w:pPr>
          </w:p>
        </w:tc>
      </w:tr>
    </w:tbl>
    <w:p>
      <w:pPr>
        <w:widowControl/>
        <w:numPr>
          <w:ilvl w:val="0"/>
          <w:numId w:val="0"/>
        </w:numPr>
        <w:jc w:val="both"/>
        <w:rPr>
          <w:rFonts w:hint="default" w:ascii="Times New Roman" w:hAnsi="Times New Roman" w:eastAsia="黑体" w:cs="Times New Roman"/>
          <w:color w:val="000000"/>
          <w:kern w:val="0"/>
          <w:sz w:val="30"/>
          <w:szCs w:val="30"/>
        </w:rPr>
      </w:pP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三、</w:t>
      </w:r>
      <w:r>
        <w:rPr>
          <w:rFonts w:hint="default" w:ascii="Times New Roman" w:hAnsi="Times New Roman" w:eastAsia="黑体" w:cs="Times New Roman"/>
          <w:sz w:val="30"/>
          <w:szCs w:val="30"/>
        </w:rPr>
        <w:t>政府采购支出情况</w:t>
      </w:r>
    </w:p>
    <w:p>
      <w:pPr>
        <w:ind w:firstLine="600" w:firstLineChars="200"/>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lang w:val="en-US" w:eastAsia="zh-CN"/>
        </w:rPr>
        <w:t>年度，部门政府采购支出总额</w:t>
      </w:r>
      <w:r>
        <w:rPr>
          <w:rFonts w:hint="eastAsia" w:eastAsia="仿宋_GB2312" w:cs="Times New Roman"/>
          <w:sz w:val="30"/>
          <w:szCs w:val="30"/>
          <w:highlight w:val="none"/>
          <w:lang w:val="en-US" w:eastAsia="zh-CN"/>
        </w:rPr>
        <w:t>241</w:t>
      </w:r>
      <w:r>
        <w:rPr>
          <w:rFonts w:hint="default" w:ascii="Times New Roman" w:hAnsi="Times New Roman" w:eastAsia="仿宋_GB2312" w:cs="Times New Roman"/>
          <w:sz w:val="30"/>
          <w:szCs w:val="30"/>
          <w:highlight w:val="none"/>
          <w:lang w:val="en-US" w:eastAsia="zh-CN"/>
        </w:rPr>
        <w:t>万元，其中：政府采购货物支出</w:t>
      </w:r>
      <w:r>
        <w:rPr>
          <w:rFonts w:hint="eastAsia" w:eastAsia="仿宋_GB2312" w:cs="Times New Roman"/>
          <w:sz w:val="30"/>
          <w:szCs w:val="30"/>
          <w:highlight w:val="none"/>
          <w:lang w:val="en-US" w:eastAsia="zh-CN"/>
        </w:rPr>
        <w:t>241</w:t>
      </w:r>
      <w:r>
        <w:rPr>
          <w:rFonts w:hint="default" w:ascii="Times New Roman" w:hAnsi="Times New Roman" w:eastAsia="仿宋_GB2312" w:cs="Times New Roman"/>
          <w:sz w:val="30"/>
          <w:szCs w:val="30"/>
          <w:highlight w:val="none"/>
          <w:lang w:val="en-US" w:eastAsia="zh-CN"/>
        </w:rPr>
        <w:t>万元；政府采购工程支出</w:t>
      </w:r>
      <w:r>
        <w:rPr>
          <w:rFonts w:hint="eastAsia"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val="en-US" w:eastAsia="zh-CN"/>
        </w:rPr>
        <w:t>万元；政府采购服务支出</w:t>
      </w:r>
      <w:r>
        <w:rPr>
          <w:rFonts w:hint="eastAsia"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val="en-US" w:eastAsia="zh-CN"/>
        </w:rPr>
        <w:t>万元。授予中小企业合同金额</w:t>
      </w:r>
      <w:r>
        <w:rPr>
          <w:rFonts w:hint="eastAsia" w:eastAsia="仿宋_GB2312" w:cs="Times New Roman"/>
          <w:sz w:val="30"/>
          <w:szCs w:val="30"/>
          <w:highlight w:val="none"/>
          <w:lang w:val="en-US" w:eastAsia="zh-CN"/>
        </w:rPr>
        <w:t>241</w:t>
      </w:r>
      <w:r>
        <w:rPr>
          <w:rFonts w:hint="default" w:ascii="Times New Roman" w:hAnsi="Times New Roman" w:eastAsia="仿宋_GB2312" w:cs="Times New Roman"/>
          <w:sz w:val="30"/>
          <w:szCs w:val="30"/>
          <w:highlight w:val="none"/>
          <w:lang w:val="en-US" w:eastAsia="zh-CN"/>
        </w:rPr>
        <w:t>万元，占政府采购支出总额的</w:t>
      </w:r>
      <w:r>
        <w:rPr>
          <w:rFonts w:hint="eastAsia" w:ascii="Times New Roman" w:hAnsi="Times New Roman" w:eastAsia="仿宋_GB2312" w:cs="Times New Roman"/>
          <w:sz w:val="30"/>
          <w:szCs w:val="30"/>
          <w:highlight w:val="none"/>
          <w:lang w:val="en-US" w:eastAsia="zh-CN"/>
        </w:rPr>
        <w:t>100</w:t>
      </w:r>
      <w:r>
        <w:rPr>
          <w:rFonts w:hint="default" w:ascii="Times New Roman" w:hAnsi="Times New Roman" w:eastAsia="仿宋_GB2312" w:cs="Times New Roman"/>
          <w:sz w:val="30"/>
          <w:szCs w:val="30"/>
          <w:highlight w:val="none"/>
          <w:lang w:val="en-US" w:eastAsia="zh-CN"/>
        </w:rPr>
        <w:t>%。</w:t>
      </w:r>
    </w:p>
    <w:p>
      <w:pPr>
        <w:ind w:firstLine="600" w:firstLineChars="200"/>
        <w:jc w:val="left"/>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四、部门绩效自评情况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本年度我单位没有开展过相关绩效自评工作，故公开空表。</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五、其他重要事项情况说明</w:t>
      </w:r>
    </w:p>
    <w:p>
      <w:pPr>
        <w:numPr>
          <w:ilvl w:val="0"/>
          <w:numId w:val="0"/>
        </w:numPr>
        <w:ind w:leftChars="0" w:firstLine="64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“支出决算明细表”中，商品和服务支出－其他商品和服务支出</w:t>
      </w:r>
      <w:r>
        <w:rPr>
          <w:rFonts w:hint="eastAsia" w:ascii="仿宋_GB2312" w:hAnsi="仿宋_GB2312" w:eastAsia="仿宋_GB2312" w:cs="仿宋_GB2312"/>
          <w:sz w:val="30"/>
          <w:szCs w:val="30"/>
          <w:lang w:val="en-US" w:eastAsia="zh-CN"/>
        </w:rPr>
        <w:t>10.21</w:t>
      </w:r>
      <w:r>
        <w:rPr>
          <w:rFonts w:hint="eastAsia" w:ascii="仿宋_GB2312" w:hAnsi="仿宋_GB2312" w:eastAsia="仿宋_GB2312" w:cs="仿宋_GB2312"/>
          <w:sz w:val="30"/>
          <w:szCs w:val="30"/>
        </w:rPr>
        <w:t>万元，具体情况：（</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）广告宣传费</w:t>
      </w:r>
      <w:r>
        <w:rPr>
          <w:rFonts w:hint="eastAsia" w:ascii="仿宋_GB2312" w:hAnsi="仿宋_GB2312" w:eastAsia="仿宋_GB2312" w:cs="仿宋_GB2312"/>
          <w:sz w:val="30"/>
          <w:szCs w:val="30"/>
          <w:lang w:val="en-US" w:eastAsia="zh-CN"/>
        </w:rPr>
        <w:t>0.59</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）医院废物处置器</w:t>
      </w:r>
      <w:r>
        <w:rPr>
          <w:rFonts w:hint="eastAsia" w:ascii="仿宋_GB2312" w:hAnsi="仿宋_GB2312" w:eastAsia="仿宋_GB2312" w:cs="仿宋_GB2312"/>
          <w:sz w:val="30"/>
          <w:szCs w:val="30"/>
          <w:lang w:val="en-US" w:eastAsia="zh-CN"/>
        </w:rPr>
        <w:t>0.52</w:t>
      </w:r>
      <w:r>
        <w:rPr>
          <w:rFonts w:hint="eastAsia" w:ascii="仿宋_GB2312" w:hAnsi="仿宋_GB2312" w:eastAsia="仿宋_GB2312" w:cs="仿宋_GB2312"/>
          <w:sz w:val="30"/>
          <w:szCs w:val="30"/>
        </w:rPr>
        <w:t>万元；垃圾清运费</w:t>
      </w:r>
      <w:r>
        <w:rPr>
          <w:rFonts w:hint="eastAsia" w:ascii="仿宋_GB2312" w:hAnsi="仿宋_GB2312" w:eastAsia="仿宋_GB2312" w:cs="仿宋_GB2312"/>
          <w:sz w:val="30"/>
          <w:szCs w:val="30"/>
          <w:lang w:val="en-US" w:eastAsia="zh-CN"/>
        </w:rPr>
        <w:t>0.75</w:t>
      </w:r>
      <w:r>
        <w:rPr>
          <w:rFonts w:hint="eastAsia" w:ascii="仿宋_GB2312" w:hAnsi="仿宋_GB2312" w:eastAsia="仿宋_GB2312" w:cs="仿宋_GB2312"/>
          <w:sz w:val="30"/>
          <w:szCs w:val="30"/>
        </w:rPr>
        <w:t>万元。放射科</w:t>
      </w:r>
      <w:r>
        <w:rPr>
          <w:rFonts w:hint="eastAsia" w:ascii="仿宋_GB2312" w:hAnsi="仿宋_GB2312" w:eastAsia="仿宋_GB2312" w:cs="仿宋_GB2312"/>
          <w:sz w:val="30"/>
          <w:szCs w:val="30"/>
          <w:lang w:eastAsia="zh-CN"/>
        </w:rPr>
        <w:t>环境检测</w:t>
      </w:r>
      <w:r>
        <w:rPr>
          <w:rFonts w:hint="eastAsia" w:ascii="仿宋_GB2312" w:hAnsi="仿宋_GB2312" w:eastAsia="仿宋_GB2312" w:cs="仿宋_GB2312"/>
          <w:sz w:val="30"/>
          <w:szCs w:val="30"/>
        </w:rPr>
        <w:t>费</w:t>
      </w:r>
      <w:r>
        <w:rPr>
          <w:rFonts w:hint="eastAsia" w:ascii="仿宋_GB2312" w:hAnsi="仿宋_GB2312" w:eastAsia="仿宋_GB2312" w:cs="仿宋_GB2312"/>
          <w:sz w:val="30"/>
          <w:szCs w:val="30"/>
          <w:lang w:val="en-US" w:eastAsia="zh-CN"/>
        </w:rPr>
        <w:t>0.40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卫生院伙食团伙食费</w:t>
      </w:r>
      <w:r>
        <w:rPr>
          <w:rFonts w:hint="eastAsia" w:ascii="仿宋_GB2312" w:hAnsi="仿宋_GB2312" w:eastAsia="仿宋_GB2312" w:cs="仿宋_GB2312"/>
          <w:sz w:val="30"/>
          <w:szCs w:val="30"/>
          <w:lang w:val="en-US" w:eastAsia="zh-CN"/>
        </w:rPr>
        <w:t>15.03</w:t>
      </w:r>
      <w:r>
        <w:rPr>
          <w:rFonts w:hint="eastAsia" w:ascii="仿宋_GB2312" w:hAnsi="仿宋_GB2312" w:eastAsia="仿宋_GB2312" w:cs="仿宋_GB2312"/>
          <w:sz w:val="30"/>
          <w:szCs w:val="30"/>
        </w:rPr>
        <w:t xml:space="preserve">万元； </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付上级医生会诊费</w:t>
      </w:r>
      <w:r>
        <w:rPr>
          <w:rFonts w:hint="eastAsia" w:ascii="仿宋_GB2312" w:hAnsi="仿宋_GB2312" w:eastAsia="仿宋_GB2312" w:cs="仿宋_GB2312"/>
          <w:sz w:val="30"/>
          <w:szCs w:val="30"/>
          <w:lang w:val="en-US" w:eastAsia="zh-CN"/>
        </w:rPr>
        <w:t>0.57万元等。</w:t>
      </w:r>
    </w:p>
    <w:p>
      <w:pPr>
        <w:widowControl/>
        <w:snapToGrid w:val="0"/>
        <w:spacing w:before="100" w:after="100" w:line="360" w:lineRule="auto"/>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六、相关口径说明</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（一）</w:t>
      </w:r>
      <w:r>
        <w:rPr>
          <w:rFonts w:hint="default" w:ascii="Times New Roman" w:hAnsi="Times New Roman" w:eastAsia="仿宋_GB2312" w:cs="Times New Roman"/>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（二）</w:t>
      </w:r>
      <w:r>
        <w:rPr>
          <w:rFonts w:hint="default" w:ascii="Times New Roman" w:hAnsi="Times New Roman" w:eastAsia="仿宋_GB2312" w:cs="Times New Roman"/>
          <w:sz w:val="30"/>
          <w:szCs w:val="30"/>
        </w:rPr>
        <w:t>机关运行经费指行政单位和参照公务员法管理的事业单位使用一般公共预算财政拨款安排的基本支出中的日常公用经费支出</w:t>
      </w:r>
      <w:r>
        <w:rPr>
          <w:rFonts w:hint="default" w:ascii="Times New Roman" w:hAnsi="Times New Roman" w:eastAsia="仿宋_GB2312" w:cs="Times New Roman"/>
          <w:sz w:val="30"/>
          <w:szCs w:val="30"/>
          <w:lang w:eastAsia="zh-CN"/>
        </w:rPr>
        <w:t>。</w:t>
      </w:r>
    </w:p>
    <w:p>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lang w:eastAsia="zh-CN"/>
        </w:rPr>
        <w:t>（三）</w:t>
      </w:r>
      <w:r>
        <w:rPr>
          <w:rFonts w:hint="default" w:ascii="Times New Roman" w:hAnsi="Times New Roman" w:eastAsia="仿宋_GB2312" w:cs="Times New Roman"/>
          <w:sz w:val="30"/>
          <w:szCs w:val="30"/>
        </w:rPr>
        <w:t>按照党中央、国务院有关文件及部门预算管理有关规定，“三公”经费包括因公出国（境）费、公务用车购置及运行维护费、公务接待费。</w:t>
      </w:r>
      <w:r>
        <w:rPr>
          <w:rFonts w:hint="default" w:ascii="Times New Roman" w:hAnsi="Times New Roman" w:eastAsia="仿宋_GB2312" w:cs="Times New Roman"/>
          <w:sz w:val="30"/>
          <w:szCs w:val="30"/>
          <w:highlight w:val="none"/>
        </w:rPr>
        <w:t>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仿宋_GB2312" w:cs="Times New Roman"/>
          <w:sz w:val="30"/>
          <w:szCs w:val="30"/>
          <w:highlight w:val="none"/>
          <w:lang w:eastAsia="zh-CN"/>
        </w:rPr>
        <w:t>、牌照费</w:t>
      </w:r>
      <w:r>
        <w:rPr>
          <w:rFonts w:hint="default" w:ascii="Times New Roman" w:hAnsi="Times New Roman" w:eastAsia="仿宋_GB2312" w:cs="Times New Roman"/>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（四）</w:t>
      </w:r>
      <w:r>
        <w:rPr>
          <w:rFonts w:hint="default" w:ascii="Times New Roman" w:hAnsi="Times New Roman" w:eastAsia="仿宋_GB2312" w:cs="Times New Roman"/>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w:t>
      </w:r>
      <w:r>
        <w:rPr>
          <w:rFonts w:hint="default" w:ascii="Times New Roman" w:hAnsi="Times New Roman" w:eastAsia="黑体" w:cs="Times New Roman"/>
          <w:sz w:val="30"/>
          <w:szCs w:val="30"/>
          <w:lang w:eastAsia="zh-CN"/>
        </w:rPr>
        <w:t>五</w:t>
      </w:r>
      <w:r>
        <w:rPr>
          <w:rFonts w:hint="default" w:ascii="Times New Roman" w:hAnsi="Times New Roman" w:eastAsia="黑体" w:cs="Times New Roman"/>
          <w:sz w:val="30"/>
          <w:szCs w:val="30"/>
        </w:rPr>
        <w:t>部分  名词解释</w:t>
      </w:r>
    </w:p>
    <w:p>
      <w:pPr>
        <w:spacing w:beforeLines="0" w:afterLines="0" w:line="600" w:lineRule="exact"/>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政府采购：指国家机关、事业单位和团体组织，依法在规定范围内使用财政性资金采购货物、工程和服务的行为。以公开招标为主要采购方式。</w:t>
      </w:r>
    </w:p>
    <w:p>
      <w:pPr>
        <w:spacing w:beforeLines="0" w:afterLines="0" w:line="600" w:lineRule="exact"/>
        <w:ind w:firstLine="600"/>
        <w:jc w:val="left"/>
        <w:rPr>
          <w:rFonts w:hint="default" w:ascii="Times New Roman" w:hAnsi="Times New Roman" w:eastAsia="仿宋_GB2312" w:cs="Times New Roman"/>
          <w:sz w:val="30"/>
          <w:szCs w:val="30"/>
        </w:rPr>
      </w:pPr>
      <w:r>
        <w:rPr>
          <w:rFonts w:hint="default" w:ascii="仿宋_GB2312" w:hAnsi="仿宋_GB2312" w:eastAsia="仿宋_GB2312" w:cs="仿宋_GB2312"/>
          <w:sz w:val="30"/>
          <w:szCs w:val="30"/>
          <w:lang w:val="en-US" w:eastAsia="zh-CN"/>
        </w:rPr>
        <w:t>项目支出：是指行政事业单位为完成其特定的行政工作任务或事业发展目标，并依据其体工作内容编制的年度经费支出</w:t>
      </w:r>
      <w:r>
        <w:rPr>
          <w:rFonts w:hint="eastAsia" w:ascii="仿宋_GB2312" w:hAnsi="仿宋_GB2312" w:eastAsia="仿宋_GB2312" w:cs="仿宋_GB2312"/>
          <w:sz w:val="30"/>
          <w:szCs w:val="30"/>
          <w:lang w:val="en-US" w:eastAsia="zh-CN"/>
        </w:rPr>
        <w:t>。</w:t>
      </w: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11004"/>
    <w:multiLevelType w:val="multilevel"/>
    <w:tmpl w:val="30C11004"/>
    <w:lvl w:ilvl="0" w:tentative="0">
      <w:start w:val="1"/>
      <w:numFmt w:val="japaneseCounting"/>
      <w:lvlText w:val="%1、"/>
      <w:lvlJc w:val="left"/>
      <w:pPr>
        <w:tabs>
          <w:tab w:val="left" w:pos="1429"/>
        </w:tabs>
        <w:ind w:left="1429" w:hanging="72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1">
    <w:nsid w:val="5F6BF58F"/>
    <w:multiLevelType w:val="singleLevel"/>
    <w:tmpl w:val="5F6BF58F"/>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08C9"/>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3501375"/>
    <w:rsid w:val="07AF6859"/>
    <w:rsid w:val="0E843C5B"/>
    <w:rsid w:val="109A2368"/>
    <w:rsid w:val="1253626C"/>
    <w:rsid w:val="12AF3DA1"/>
    <w:rsid w:val="15544F0A"/>
    <w:rsid w:val="18B002BA"/>
    <w:rsid w:val="195E4B81"/>
    <w:rsid w:val="19D211C3"/>
    <w:rsid w:val="1B9A76F1"/>
    <w:rsid w:val="1DB17A2D"/>
    <w:rsid w:val="1FDC502A"/>
    <w:rsid w:val="20977394"/>
    <w:rsid w:val="2199600D"/>
    <w:rsid w:val="21B44B1B"/>
    <w:rsid w:val="2240247A"/>
    <w:rsid w:val="22BA1854"/>
    <w:rsid w:val="236950F1"/>
    <w:rsid w:val="25366EF6"/>
    <w:rsid w:val="253B1B6C"/>
    <w:rsid w:val="278429D1"/>
    <w:rsid w:val="29AB5281"/>
    <w:rsid w:val="2B0C6238"/>
    <w:rsid w:val="2BE44B78"/>
    <w:rsid w:val="2C2C7BFF"/>
    <w:rsid w:val="2CB35B51"/>
    <w:rsid w:val="2E3D657E"/>
    <w:rsid w:val="2EBD6C76"/>
    <w:rsid w:val="2ECC42E8"/>
    <w:rsid w:val="2FCB09C0"/>
    <w:rsid w:val="30C30541"/>
    <w:rsid w:val="310031D6"/>
    <w:rsid w:val="31D23B45"/>
    <w:rsid w:val="31F4720B"/>
    <w:rsid w:val="34BA2239"/>
    <w:rsid w:val="37364169"/>
    <w:rsid w:val="3B9C14F5"/>
    <w:rsid w:val="3CF70F04"/>
    <w:rsid w:val="43682FB2"/>
    <w:rsid w:val="43AD31A0"/>
    <w:rsid w:val="468B613C"/>
    <w:rsid w:val="47A16424"/>
    <w:rsid w:val="4A041DB5"/>
    <w:rsid w:val="4AD67096"/>
    <w:rsid w:val="4BCD5F99"/>
    <w:rsid w:val="4E375ECD"/>
    <w:rsid w:val="4FCC7BC5"/>
    <w:rsid w:val="51373AA3"/>
    <w:rsid w:val="52BC6998"/>
    <w:rsid w:val="58890172"/>
    <w:rsid w:val="5996653E"/>
    <w:rsid w:val="5AB33CEA"/>
    <w:rsid w:val="5B792602"/>
    <w:rsid w:val="5D58130B"/>
    <w:rsid w:val="61564DAD"/>
    <w:rsid w:val="63890C4E"/>
    <w:rsid w:val="63BE0A1F"/>
    <w:rsid w:val="67997AAF"/>
    <w:rsid w:val="68016F48"/>
    <w:rsid w:val="68333A82"/>
    <w:rsid w:val="68F03BBE"/>
    <w:rsid w:val="6B001433"/>
    <w:rsid w:val="6DEE7310"/>
    <w:rsid w:val="6FB4103F"/>
    <w:rsid w:val="70242325"/>
    <w:rsid w:val="70E8598F"/>
    <w:rsid w:val="73F5419E"/>
    <w:rsid w:val="76D317E9"/>
    <w:rsid w:val="77207610"/>
    <w:rsid w:val="78AF2483"/>
    <w:rsid w:val="792C3DA2"/>
    <w:rsid w:val="793F1AB8"/>
    <w:rsid w:val="79EB17A6"/>
    <w:rsid w:val="7A8677CB"/>
    <w:rsid w:val="7B061349"/>
    <w:rsid w:val="7BEE586B"/>
    <w:rsid w:val="7CF33F89"/>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PC-201705081055\Desktop\2019&#24180;&#25903;&#20986;&#32467;&#26500;&#20998;&#2651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953677313433155"/>
          <c:y val="0.0381944444444444"/>
        </c:manualLayout>
      </c:layout>
      <c:overlay val="0"/>
      <c:txPr>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manualLayout>
          <c:layoutTarget val="inner"/>
          <c:xMode val="edge"/>
          <c:yMode val="edge"/>
          <c:x val="0.130646958011997"/>
          <c:y val="0.134851442668669"/>
          <c:w val="0.743419023136247"/>
          <c:h val="0.744455647323823"/>
        </c:manualLayout>
      </c:layout>
      <c:pieChart>
        <c:varyColors val="1"/>
        <c:ser>
          <c:idx val="0"/>
          <c:order val="0"/>
          <c:tx>
            <c:strRef>
              <c:f>[2019年支出结构分析图.xls]Sheet1!$A$3</c:f>
              <c:strCache>
                <c:ptCount val="1"/>
                <c:pt idx="0">
                  <c:v>支出结构分析图</c:v>
                </c:pt>
              </c:strCache>
            </c:strRef>
          </c:tx>
          <c:spPr>
            <a:solidFill>
              <a:srgbClr val="5B9BD5">
                <a:alpha val="100000"/>
              </a:srgbClr>
            </a:solidFill>
            <a:ln w="3175">
              <a:noFill/>
            </a:ln>
          </c:spPr>
          <c:explosion val="0"/>
          <c:dPt>
            <c:idx val="0"/>
            <c:bubble3D val="0"/>
            <c:explosion val="0"/>
            <c:spPr>
              <a:solidFill>
                <a:srgbClr val="376092">
                  <a:lumMod val="75000"/>
                  <a:alpha val="100000"/>
                </a:srgbClr>
              </a:solidFill>
              <a:ln w="3175">
                <a:noFill/>
              </a:ln>
            </c:spPr>
          </c:dPt>
          <c:dPt>
            <c:idx val="1"/>
            <c:bubble3D val="0"/>
            <c:explosion val="0"/>
            <c:spPr>
              <a:solidFill>
                <a:srgbClr val="953735">
                  <a:lumMod val="75000"/>
                  <a:alpha val="100000"/>
                </a:srgbClr>
              </a:solidFill>
              <a:ln w="3175">
                <a:noFill/>
              </a:ln>
            </c:spPr>
          </c:dPt>
          <c:dPt>
            <c:idx val="2"/>
            <c:bubble3D val="0"/>
            <c:explosion val="0"/>
            <c:spPr>
              <a:solidFill>
                <a:srgbClr val="604A7B">
                  <a:lumMod val="75000"/>
                  <a:alpha val="100000"/>
                </a:srgbClr>
              </a:solidFill>
              <a:ln w="3175">
                <a:noFill/>
              </a:ln>
            </c:spPr>
          </c:dPt>
          <c:dPt>
            <c:idx val="3"/>
            <c:bubble3D val="0"/>
            <c:explosion val="0"/>
            <c:spPr>
              <a:solidFill>
                <a:srgbClr val="E46C0A">
                  <a:lumMod val="75000"/>
                  <a:alpha val="100000"/>
                </a:srgbClr>
              </a:solidFill>
              <a:ln w="3175">
                <a:noFill/>
              </a:ln>
            </c:spPr>
          </c:dPt>
          <c:dLbls>
            <c:dLbl>
              <c:idx val="0"/>
              <c:layout>
                <c:manualLayout>
                  <c:x val="-0.085955975986902"/>
                  <c:y val="0.11111111111111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559396034200473"/>
                  <c:y val="-0.208333333333333"/>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77769692559578"/>
                  <c:y val="0.065972222222222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354738948517373"/>
                  <c:y val="-0.0451388888888889"/>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[2019年支出结构分析图.xls]Sheet1!$B$2:$E$2</c:f>
              <c:strCache>
                <c:ptCount val="4"/>
                <c:pt idx="0">
                  <c:v>工资福利支出</c:v>
                </c:pt>
                <c:pt idx="1">
                  <c:v>商品和服务支出</c:v>
                </c:pt>
                <c:pt idx="2">
                  <c:v>对个人和家庭的补助</c:v>
                </c:pt>
                <c:pt idx="3">
                  <c:v>资本性支出</c:v>
                </c:pt>
              </c:strCache>
            </c:strRef>
          </c:cat>
          <c:val>
            <c:numRef>
              <c:f>[2019年支出结构分析图.xls]Sheet1!$B$3:$E$3</c:f>
              <c:numCache>
                <c:formatCode>General</c:formatCode>
                <c:ptCount val="4"/>
                <c:pt idx="0" c:formatCode="General">
                  <c:v>3658013.9</c:v>
                </c:pt>
                <c:pt idx="1" c:formatCode="General">
                  <c:v>9845124.24</c:v>
                </c:pt>
                <c:pt idx="2" c:formatCode="General">
                  <c:v>92796</c:v>
                </c:pt>
                <c:pt idx="3" c:formatCode="General">
                  <c:v>332450</c:v>
                </c:pt>
              </c:numCache>
            </c:numRef>
          </c:val>
        </c:ser>
        <c:ser>
          <c:idx val="1"/>
          <c:order val="1"/>
          <c:tx>
            <c:strRef>
              <c:f>[2019年支出结构分析图.xls]Sheet1!#REF!</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Lbls>
            <c:delete val="1"/>
          </c:dLbls>
          <c:cat>
            <c:strRef>
              <c:f>[2019年支出结构分析图.xls]Sheet1!$B$2:$E$2</c:f>
              <c:strCache>
                <c:ptCount val="4"/>
                <c:pt idx="0">
                  <c:v>工资福利支出</c:v>
                </c:pt>
                <c:pt idx="1">
                  <c:v>商品和服务支出</c:v>
                </c:pt>
                <c:pt idx="2">
                  <c:v>对个人和家庭的补助</c:v>
                </c:pt>
                <c:pt idx="3">
                  <c:v>资本性支出</c:v>
                </c:pt>
              </c:strCache>
            </c:strRef>
          </c:cat>
          <c:val>
            <c:numRef>
              <c:f>[2019年支出结构分析图.xls]Sheet1!#REF!</c:f>
              <c:numCache>
                <c:formatCode>General</c:formatCode>
                <c:ptCount val="1"/>
              </c:numCache>
            </c:numRef>
          </c:val>
        </c:ser>
        <c:ser>
          <c:idx val="2"/>
          <c:order val="2"/>
          <c:tx>
            <c:strRef>
              <c:f>[2019年支出结构分析图.xls]Sheet1!#REF!</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Lbls>
            <c:delete val="1"/>
          </c:dLbls>
          <c:cat>
            <c:strRef>
              <c:f>[2019年支出结构分析图.xls]Sheet1!$B$2:$E$2</c:f>
              <c:strCache>
                <c:ptCount val="4"/>
                <c:pt idx="0">
                  <c:v>工资福利支出</c:v>
                </c:pt>
                <c:pt idx="1">
                  <c:v>商品和服务支出</c:v>
                </c:pt>
                <c:pt idx="2">
                  <c:v>对个人和家庭的补助</c:v>
                </c:pt>
                <c:pt idx="3">
                  <c:v>资本性支出</c:v>
                </c:pt>
              </c:strCache>
            </c:strRef>
          </c:cat>
          <c:val>
            <c:numRef>
              <c:f>[2019年支出结构分析图.xls]Sheet1!#REF!</c:f>
              <c:numCache>
                <c:formatCode>General</c:formatCode>
                <c:ptCount val="1"/>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manualLayout>
          <c:xMode val="edge"/>
          <c:yMode val="edge"/>
          <c:x val="0.201054624121147"/>
          <c:y val="0.894727595271041"/>
        </c:manualLayout>
      </c:layout>
      <c:overlay val="0"/>
      <c:spPr>
        <a:noFill/>
        <a:ln w="3175">
          <a:noFill/>
        </a:ln>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598</Words>
  <Characters>3413</Characters>
  <Lines>28</Lines>
  <Paragraphs>8</Paragraphs>
  <ScaleCrop>false</ScaleCrop>
  <LinksUpToDate>false</LinksUpToDate>
  <CharactersWithSpaces>4003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YTM4600n</cp:lastModifiedBy>
  <cp:lastPrinted>2020-07-10T01:05:00Z</cp:lastPrinted>
  <dcterms:modified xsi:type="dcterms:W3CDTF">2020-09-24T01:55:59Z</dcterms:modified>
  <dc:title>四川省财政厅2011年部门预算编制说明</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