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第一部分 </w:t>
      </w:r>
      <w:r>
        <w:rPr>
          <w:rFonts w:hint="eastAsia" w:ascii="黑体" w:hAnsi="黑体" w:eastAsia="黑体"/>
          <w:sz w:val="30"/>
          <w:szCs w:val="30"/>
          <w:lang w:eastAsia="zh-CN"/>
        </w:rPr>
        <w:t>芒市中山乡卫生院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芒市</w:t>
      </w:r>
      <w:r>
        <w:rPr>
          <w:rFonts w:hint="eastAsia" w:ascii="黑体" w:hAnsi="黑体" w:eastAsia="黑体"/>
          <w:sz w:val="30"/>
          <w:szCs w:val="30"/>
          <w:lang w:eastAsia="zh-CN"/>
        </w:rPr>
        <w:t>中山乡卫生院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芒市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中山乡</w:t>
      </w:r>
      <w:r>
        <w:rPr>
          <w:rFonts w:hint="eastAsia" w:ascii="方正小标宋简体" w:eastAsia="方正小标宋简体"/>
          <w:kern w:val="0"/>
          <w:sz w:val="44"/>
          <w:szCs w:val="44"/>
        </w:rPr>
        <w:t>卫生院</w:t>
      </w:r>
      <w:r>
        <w:rPr>
          <w:rFonts w:ascii="方正小标宋简体" w:eastAsia="方正小标宋简体"/>
          <w:kern w:val="0"/>
          <w:sz w:val="44"/>
          <w:szCs w:val="44"/>
        </w:rPr>
        <w:t>2018</w:t>
      </w:r>
      <w:r>
        <w:rPr>
          <w:rFonts w:hint="eastAsia" w:ascii="方正小标宋简体" w:eastAsia="方正小标宋简体"/>
          <w:kern w:val="0"/>
          <w:sz w:val="44"/>
          <w:szCs w:val="44"/>
        </w:rPr>
        <w:t>年部门预算编制说明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人，其中： 离休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50" w:firstLineChars="25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750" w:firstLineChars="25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23.39</w:t>
      </w:r>
      <w:r>
        <w:rPr>
          <w:rFonts w:hint="eastAsia" w:eastAsia="仿宋_GB2312"/>
          <w:kern w:val="0"/>
          <w:sz w:val="30"/>
          <w:szCs w:val="30"/>
        </w:rPr>
        <w:t>万、用于医疗卫生与计划生育支出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161.28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182.99</w:t>
      </w:r>
      <w:r>
        <w:rPr>
          <w:rFonts w:hint="eastAsia" w:eastAsia="仿宋_GB2312"/>
          <w:kern w:val="0"/>
          <w:sz w:val="30"/>
          <w:szCs w:val="30"/>
        </w:rPr>
        <w:t>万元，其他对个人和家庭的补助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1.68</w:t>
      </w:r>
      <w:r>
        <w:rPr>
          <w:rFonts w:hint="eastAsia" w:eastAsia="仿宋_GB2312"/>
          <w:kern w:val="0"/>
          <w:sz w:val="30"/>
          <w:szCs w:val="30"/>
        </w:rPr>
        <w:t>万元（其中：基本支出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184.67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2" w:firstLineChars="200"/>
        <w:jc w:val="left"/>
        <w:textAlignment w:val="auto"/>
        <w:outlineLvl w:val="9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楷体_GB2312" w:eastAsia="楷体_GB2312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无。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</w:p>
    <w:p>
      <w:pPr>
        <w:widowControl/>
        <w:jc w:val="left"/>
        <w:rPr>
          <w:rFonts w:hint="eastAsia" w:ascii="楷体_GB2312" w:eastAsia="楷体_GB2312"/>
          <w:kern w:val="0"/>
          <w:sz w:val="30"/>
          <w:szCs w:val="30"/>
          <w:lang w:eastAsia="zh-CN"/>
        </w:rPr>
      </w:pPr>
    </w:p>
    <w:p>
      <w:pPr>
        <w:widowControl/>
        <w:ind w:firstLine="5100" w:firstLineChars="17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芒市中山乡卫生院</w:t>
      </w:r>
    </w:p>
    <w:p>
      <w:pPr>
        <w:widowControl/>
        <w:ind w:firstLine="5100" w:firstLineChars="17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2018年2月12日</w:t>
      </w:r>
    </w:p>
    <w:sectPr>
      <w:headerReference r:id="rId3" w:type="default"/>
      <w:footerReference r:id="rId5" w:type="default"/>
      <w:headerReference r:id="rId4" w:type="even"/>
      <w:pgSz w:w="11906" w:h="16838"/>
      <w:pgMar w:top="1803" w:right="1440" w:bottom="180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23B20A0F"/>
    <w:rsid w:val="373F6C2C"/>
    <w:rsid w:val="420B2ADF"/>
    <w:rsid w:val="48A54C6F"/>
    <w:rsid w:val="50BA1B3D"/>
    <w:rsid w:val="53B3748D"/>
    <w:rsid w:val="6CC221E9"/>
    <w:rsid w:val="7D8447C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YTM4600n</cp:lastModifiedBy>
  <cp:lastPrinted>2018-01-31T03:32:00Z</cp:lastPrinted>
  <dcterms:modified xsi:type="dcterms:W3CDTF">2018-02-13T03:09:38Z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