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芒市西山乡卫生院2016年度部门决算公开</w:t>
      </w:r>
    </w:p>
    <w:p>
      <w:pPr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第一部分  西山乡卫生院概况</w:t>
      </w:r>
    </w:p>
    <w:p>
      <w:pPr>
        <w:spacing w:line="600" w:lineRule="exact"/>
        <w:ind w:firstLine="450" w:firstLineChars="150"/>
        <w:rPr>
          <w:rFonts w:ascii="宋体" w:hAnsi="宋体"/>
          <w:b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主要职能</w:t>
      </w:r>
      <w:r>
        <w:rPr>
          <w:rFonts w:hint="eastAsia" w:ascii="宋体" w:hAnsi="宋体"/>
          <w:sz w:val="30"/>
          <w:szCs w:val="30"/>
        </w:rPr>
        <w:t>开展与其功能相适应的基本医疗卫生服务，使用适宜技术、适宜设备和基本药物。承担当地居民健康档案、健康教育、计划免疫、传染病防治、儿童保健、孕产妇保健、老年人保健、慢性病管理、重性病管理、重性精神疾病患者等国家基本公共卫生服务项目。承担常见病、多发病的门诊和住院诊治，开展院内外急救、康复和计划生育技术服务等，提供转诊服务。此外，还受市级人民政府行政部门委托，承担辖区内公共卫生管理职能，负责对村卫生室的业务管理和技术指导。</w:t>
      </w:r>
    </w:p>
    <w:p>
      <w:pPr>
        <w:pStyle w:val="9"/>
        <w:numPr>
          <w:ilvl w:val="0"/>
          <w:numId w:val="1"/>
        </w:numPr>
        <w:spacing w:line="240" w:lineRule="atLeast"/>
        <w:ind w:firstLineChars="0"/>
        <w:jc w:val="left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部门基本情况</w:t>
      </w:r>
    </w:p>
    <w:p>
      <w:pPr>
        <w:spacing w:line="240" w:lineRule="atLeast"/>
        <w:ind w:firstLine="600" w:firstLineChars="200"/>
        <w:jc w:val="left"/>
        <w:rPr>
          <w:rFonts w:hint="eastAsia" w:ascii="仿宋_GB2312" w:hAnsi="宋体" w:eastAsia="仿宋_GB2312" w:cs="Arial"/>
          <w:kern w:val="0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(一）</w:t>
      </w:r>
      <w:r>
        <w:rPr>
          <w:rFonts w:hint="eastAsia" w:ascii="仿宋_GB2312" w:eastAsia="仿宋_GB2312"/>
          <w:sz w:val="30"/>
          <w:szCs w:val="30"/>
        </w:rPr>
        <w:t>纳入2016年部门决算编报的单位共1个。单位</w:t>
      </w:r>
      <w:r>
        <w:rPr>
          <w:rFonts w:hint="eastAsia" w:ascii="仿宋_GB2312" w:hAnsi="宋体" w:eastAsia="仿宋_GB2312" w:cs="Arial"/>
          <w:kern w:val="0"/>
          <w:sz w:val="30"/>
          <w:szCs w:val="30"/>
        </w:rPr>
        <w:t>在职在编实有人数</w:t>
      </w:r>
      <w:r>
        <w:rPr>
          <w:rFonts w:hint="eastAsia" w:ascii="仿宋_GB2312" w:eastAsia="仿宋_GB2312"/>
          <w:sz w:val="30"/>
          <w:szCs w:val="30"/>
        </w:rPr>
        <w:t>13</w:t>
      </w:r>
      <w:r>
        <w:rPr>
          <w:rFonts w:hint="eastAsia" w:ascii="仿宋_GB2312" w:hAnsi="宋体" w:eastAsia="仿宋_GB2312" w:cs="Arial"/>
          <w:kern w:val="0"/>
          <w:sz w:val="30"/>
          <w:szCs w:val="30"/>
        </w:rPr>
        <w:t>人，其中：财政全供养</w:t>
      </w:r>
      <w:r>
        <w:rPr>
          <w:rFonts w:hint="eastAsia" w:ascii="仿宋_GB2312" w:eastAsia="仿宋_GB2312"/>
          <w:sz w:val="30"/>
          <w:szCs w:val="30"/>
        </w:rPr>
        <w:t>13</w:t>
      </w:r>
      <w:r>
        <w:rPr>
          <w:rFonts w:hint="eastAsia" w:ascii="仿宋_GB2312" w:hAnsi="宋体" w:eastAsia="仿宋_GB2312" w:cs="Arial"/>
          <w:kern w:val="0"/>
          <w:sz w:val="30"/>
          <w:szCs w:val="30"/>
        </w:rPr>
        <w:t>人；在编实有车辆</w:t>
      </w:r>
      <w:r>
        <w:rPr>
          <w:rFonts w:hint="eastAsia" w:ascii="仿宋_GB2312" w:eastAsia="仿宋_GB2312"/>
          <w:sz w:val="30"/>
          <w:szCs w:val="30"/>
        </w:rPr>
        <w:t>0</w:t>
      </w:r>
      <w:r>
        <w:rPr>
          <w:rFonts w:hint="eastAsia" w:ascii="仿宋_GB2312" w:hAnsi="宋体" w:eastAsia="仿宋_GB2312" w:cs="Arial"/>
          <w:kern w:val="0"/>
          <w:sz w:val="30"/>
          <w:szCs w:val="30"/>
        </w:rPr>
        <w:t>辆。离退休人员</w:t>
      </w:r>
      <w:r>
        <w:rPr>
          <w:rFonts w:hint="eastAsia" w:ascii="仿宋_GB2312" w:eastAsia="仿宋_GB2312"/>
          <w:sz w:val="30"/>
          <w:szCs w:val="30"/>
        </w:rPr>
        <w:t>4</w:t>
      </w:r>
      <w:r>
        <w:rPr>
          <w:rFonts w:hint="eastAsia" w:ascii="仿宋_GB2312" w:hAnsi="宋体" w:eastAsia="仿宋_GB2312" w:cs="Arial"/>
          <w:kern w:val="0"/>
          <w:sz w:val="30"/>
          <w:szCs w:val="30"/>
        </w:rPr>
        <w:t>人，其中：离休</w:t>
      </w:r>
      <w:r>
        <w:rPr>
          <w:rFonts w:hint="eastAsia" w:ascii="仿宋_GB2312" w:eastAsia="仿宋_GB2312"/>
          <w:sz w:val="30"/>
          <w:szCs w:val="30"/>
        </w:rPr>
        <w:t>0</w:t>
      </w:r>
      <w:r>
        <w:rPr>
          <w:rFonts w:hint="eastAsia" w:ascii="仿宋_GB2312" w:hAnsi="宋体" w:eastAsia="仿宋_GB2312" w:cs="Arial"/>
          <w:kern w:val="0"/>
          <w:sz w:val="30"/>
          <w:szCs w:val="30"/>
        </w:rPr>
        <w:t>人，退休</w:t>
      </w:r>
      <w:r>
        <w:rPr>
          <w:rFonts w:hint="eastAsia" w:ascii="仿宋_GB2312" w:eastAsia="仿宋_GB2312"/>
          <w:sz w:val="30"/>
          <w:szCs w:val="30"/>
        </w:rPr>
        <w:t>4</w:t>
      </w:r>
      <w:r>
        <w:rPr>
          <w:rFonts w:hint="eastAsia" w:ascii="仿宋_GB2312" w:hAnsi="宋体" w:eastAsia="仿宋_GB2312" w:cs="Arial"/>
          <w:kern w:val="0"/>
          <w:sz w:val="30"/>
          <w:szCs w:val="30"/>
        </w:rPr>
        <w:t>人。</w:t>
      </w:r>
    </w:p>
    <w:p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（二）年末编制床位</w:t>
      </w:r>
      <w:r>
        <w:rPr>
          <w:rFonts w:hint="eastAsia" w:ascii="宋体" w:hAnsi="宋体"/>
          <w:sz w:val="28"/>
          <w:szCs w:val="28"/>
          <w:lang w:val="en-US" w:eastAsia="zh-CN"/>
        </w:rPr>
        <w:t>12</w:t>
      </w:r>
      <w:r>
        <w:rPr>
          <w:rFonts w:hint="eastAsia" w:ascii="宋体" w:hAnsi="宋体"/>
          <w:sz w:val="28"/>
          <w:szCs w:val="28"/>
        </w:rPr>
        <w:t>张，实有</w:t>
      </w:r>
      <w:r>
        <w:rPr>
          <w:rFonts w:hint="eastAsia" w:ascii="宋体" w:hAnsi="宋体"/>
          <w:sz w:val="28"/>
          <w:szCs w:val="28"/>
          <w:lang w:val="en-US" w:eastAsia="zh-CN"/>
        </w:rPr>
        <w:t>11</w:t>
      </w:r>
      <w:r>
        <w:rPr>
          <w:rFonts w:hint="eastAsia" w:ascii="宋体" w:hAnsi="宋体"/>
          <w:sz w:val="28"/>
          <w:szCs w:val="28"/>
        </w:rPr>
        <w:t>张。全年开放床日数</w:t>
      </w:r>
      <w:r>
        <w:rPr>
          <w:rFonts w:hint="eastAsia" w:ascii="宋体" w:hAnsi="宋体"/>
          <w:sz w:val="28"/>
          <w:szCs w:val="28"/>
          <w:lang w:val="en-US" w:eastAsia="zh-CN"/>
        </w:rPr>
        <w:t>3960</w:t>
      </w:r>
      <w:r>
        <w:rPr>
          <w:rFonts w:hint="eastAsia" w:ascii="宋体" w:hAnsi="宋体"/>
          <w:sz w:val="28"/>
          <w:szCs w:val="28"/>
        </w:rPr>
        <w:t>日，出院者实际占用床日数</w:t>
      </w:r>
      <w:r>
        <w:rPr>
          <w:rFonts w:hint="eastAsia" w:ascii="宋体" w:hAnsi="宋体"/>
          <w:sz w:val="28"/>
          <w:szCs w:val="28"/>
          <w:lang w:val="en-US" w:eastAsia="zh-CN"/>
        </w:rPr>
        <w:t>637</w:t>
      </w:r>
      <w:r>
        <w:rPr>
          <w:rFonts w:hint="eastAsia" w:ascii="宋体" w:hAnsi="宋体"/>
          <w:sz w:val="30"/>
          <w:szCs w:val="30"/>
        </w:rPr>
        <w:t>日，病床使用率为</w:t>
      </w:r>
      <w:r>
        <w:rPr>
          <w:rFonts w:hint="eastAsia" w:ascii="宋体" w:hAnsi="宋体"/>
          <w:sz w:val="30"/>
          <w:szCs w:val="30"/>
          <w:lang w:val="en-US" w:eastAsia="zh-CN"/>
        </w:rPr>
        <w:t>16</w:t>
      </w:r>
      <w:r>
        <w:rPr>
          <w:rFonts w:hint="eastAsia" w:ascii="宋体" w:hAnsi="宋体"/>
          <w:sz w:val="30"/>
          <w:szCs w:val="30"/>
        </w:rPr>
        <w:t>%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spacing w:line="240" w:lineRule="atLeast"/>
        <w:ind w:firstLine="560" w:firstLineChars="200"/>
        <w:jc w:val="left"/>
        <w:rPr>
          <w:rFonts w:hint="eastAsia" w:ascii="仿宋_GB2312" w:hAnsi="宋体" w:eastAsia="仿宋_GB2312" w:cs="Arial"/>
          <w:kern w:val="0"/>
          <w:sz w:val="30"/>
          <w:szCs w:val="30"/>
        </w:rPr>
      </w:pPr>
      <w:r>
        <w:rPr>
          <w:rFonts w:hint="eastAsia" w:ascii="宋体" w:hAnsi="宋体"/>
          <w:sz w:val="28"/>
          <w:szCs w:val="28"/>
        </w:rPr>
        <w:t>（三）</w:t>
      </w:r>
      <w:r>
        <w:rPr>
          <w:rFonts w:hint="eastAsia" w:ascii="宋体" w:hAnsi="宋体"/>
          <w:sz w:val="30"/>
          <w:szCs w:val="30"/>
        </w:rPr>
        <w:t>全年门诊总人次为</w:t>
      </w:r>
      <w:r>
        <w:rPr>
          <w:rFonts w:hint="eastAsia" w:ascii="宋体" w:hAnsi="宋体"/>
          <w:sz w:val="30"/>
          <w:szCs w:val="30"/>
          <w:lang w:val="en-US" w:eastAsia="zh-CN"/>
        </w:rPr>
        <w:t>12317</w:t>
      </w:r>
      <w:r>
        <w:rPr>
          <w:rFonts w:hint="eastAsia" w:ascii="宋体" w:hAnsi="宋体"/>
          <w:sz w:val="30"/>
          <w:szCs w:val="30"/>
        </w:rPr>
        <w:t>人次,与去年</w:t>
      </w:r>
      <w:r>
        <w:rPr>
          <w:rFonts w:hint="eastAsia" w:ascii="宋体" w:hAnsi="宋体"/>
          <w:sz w:val="30"/>
          <w:szCs w:val="30"/>
          <w:lang w:val="en-US" w:eastAsia="zh-CN"/>
        </w:rPr>
        <w:t>8786</w:t>
      </w:r>
      <w:r>
        <w:rPr>
          <w:rFonts w:hint="eastAsia" w:ascii="宋体" w:hAnsi="宋体"/>
          <w:sz w:val="30"/>
          <w:szCs w:val="30"/>
        </w:rPr>
        <w:t>人次相比增加了</w:t>
      </w:r>
      <w:r>
        <w:rPr>
          <w:rFonts w:hint="eastAsia" w:ascii="宋体" w:hAnsi="宋体"/>
          <w:sz w:val="30"/>
          <w:szCs w:val="30"/>
          <w:lang w:val="en-US" w:eastAsia="zh-CN"/>
        </w:rPr>
        <w:t>3531</w:t>
      </w:r>
      <w:r>
        <w:rPr>
          <w:rFonts w:hint="eastAsia" w:ascii="宋体" w:hAnsi="宋体"/>
          <w:sz w:val="30"/>
          <w:szCs w:val="30"/>
        </w:rPr>
        <w:t>人次，增长率为</w:t>
      </w:r>
      <w:r>
        <w:rPr>
          <w:rFonts w:hint="eastAsia" w:ascii="宋体" w:hAnsi="宋体"/>
          <w:sz w:val="30"/>
          <w:szCs w:val="30"/>
          <w:lang w:val="en-US" w:eastAsia="zh-CN"/>
        </w:rPr>
        <w:t>28.7</w:t>
      </w:r>
      <w:r>
        <w:rPr>
          <w:rFonts w:hint="eastAsia" w:ascii="宋体" w:hAnsi="宋体"/>
          <w:sz w:val="30"/>
          <w:szCs w:val="30"/>
        </w:rPr>
        <w:t>%；出院人次</w:t>
      </w:r>
      <w:r>
        <w:rPr>
          <w:rFonts w:hint="eastAsia" w:ascii="宋体" w:hAnsi="宋体"/>
          <w:sz w:val="30"/>
          <w:szCs w:val="30"/>
          <w:lang w:val="en-US" w:eastAsia="zh-CN"/>
        </w:rPr>
        <w:t>124</w:t>
      </w:r>
      <w:r>
        <w:rPr>
          <w:rFonts w:hint="eastAsia" w:ascii="宋体" w:hAnsi="宋体"/>
          <w:sz w:val="30"/>
          <w:szCs w:val="30"/>
        </w:rPr>
        <w:t>人次,与去年</w:t>
      </w:r>
      <w:r>
        <w:rPr>
          <w:rFonts w:hint="eastAsia" w:ascii="宋体" w:hAnsi="宋体"/>
          <w:sz w:val="30"/>
          <w:szCs w:val="30"/>
          <w:lang w:val="en-US" w:eastAsia="zh-CN"/>
        </w:rPr>
        <w:t>125</w:t>
      </w:r>
      <w:r>
        <w:rPr>
          <w:rFonts w:hint="eastAsia" w:ascii="宋体" w:hAnsi="宋体"/>
          <w:sz w:val="30"/>
          <w:szCs w:val="30"/>
        </w:rPr>
        <w:t xml:space="preserve">人次相比, </w:t>
      </w:r>
      <w:r>
        <w:rPr>
          <w:rFonts w:hint="eastAsia" w:ascii="宋体" w:hAnsi="宋体"/>
          <w:sz w:val="30"/>
          <w:szCs w:val="30"/>
          <w:lang w:eastAsia="zh-CN"/>
        </w:rPr>
        <w:t>减少</w:t>
      </w:r>
      <w:r>
        <w:rPr>
          <w:rFonts w:hint="eastAsia" w:ascii="宋体" w:hAnsi="宋体"/>
          <w:sz w:val="30"/>
          <w:szCs w:val="30"/>
        </w:rPr>
        <w:t>了</w:t>
      </w:r>
      <w:r>
        <w:rPr>
          <w:rFonts w:hint="eastAsia" w:ascii="宋体" w:hAnsi="宋体"/>
          <w:sz w:val="30"/>
          <w:szCs w:val="30"/>
          <w:lang w:val="en-US" w:eastAsia="zh-CN"/>
        </w:rPr>
        <w:t>1</w:t>
      </w:r>
      <w:r>
        <w:rPr>
          <w:rFonts w:hint="eastAsia" w:ascii="宋体" w:hAnsi="宋体"/>
          <w:sz w:val="30"/>
          <w:szCs w:val="30"/>
        </w:rPr>
        <w:t>人次，</w:t>
      </w:r>
      <w:r>
        <w:rPr>
          <w:rFonts w:hint="eastAsia" w:ascii="宋体" w:hAnsi="宋体"/>
          <w:sz w:val="30"/>
          <w:szCs w:val="30"/>
          <w:lang w:eastAsia="zh-CN"/>
        </w:rPr>
        <w:t>减少</w:t>
      </w:r>
      <w:r>
        <w:rPr>
          <w:rFonts w:hint="eastAsia" w:ascii="宋体" w:hAnsi="宋体"/>
          <w:sz w:val="30"/>
          <w:szCs w:val="30"/>
        </w:rPr>
        <w:t>率为</w:t>
      </w:r>
      <w:r>
        <w:rPr>
          <w:rFonts w:hint="eastAsia" w:ascii="宋体" w:hAnsi="宋体"/>
          <w:sz w:val="30"/>
          <w:szCs w:val="30"/>
          <w:lang w:val="en-US" w:eastAsia="zh-CN"/>
        </w:rPr>
        <w:t>0.8</w:t>
      </w:r>
      <w:r>
        <w:rPr>
          <w:rFonts w:hint="eastAsia" w:ascii="宋体" w:hAnsi="宋体"/>
          <w:sz w:val="30"/>
          <w:szCs w:val="30"/>
        </w:rPr>
        <w:t>%；出院者住院天数</w:t>
      </w:r>
      <w:r>
        <w:rPr>
          <w:rFonts w:hint="eastAsia" w:ascii="宋体" w:hAnsi="宋体"/>
          <w:sz w:val="30"/>
          <w:szCs w:val="30"/>
          <w:lang w:val="en-US" w:eastAsia="zh-CN"/>
        </w:rPr>
        <w:t>637</w:t>
      </w:r>
      <w:r>
        <w:rPr>
          <w:rFonts w:hint="eastAsia" w:ascii="宋体" w:hAnsi="宋体"/>
          <w:sz w:val="30"/>
          <w:szCs w:val="30"/>
        </w:rPr>
        <w:t>天,与去年</w:t>
      </w:r>
      <w:r>
        <w:rPr>
          <w:rFonts w:hint="eastAsia" w:ascii="宋体" w:hAnsi="宋体"/>
          <w:sz w:val="30"/>
          <w:szCs w:val="30"/>
          <w:lang w:val="en-US" w:eastAsia="zh-CN"/>
        </w:rPr>
        <w:t>496</w:t>
      </w:r>
      <w:r>
        <w:rPr>
          <w:rFonts w:hint="eastAsia" w:ascii="宋体" w:hAnsi="宋体"/>
          <w:sz w:val="30"/>
          <w:szCs w:val="30"/>
        </w:rPr>
        <w:t>天相比，增加了</w:t>
      </w:r>
      <w:r>
        <w:rPr>
          <w:rFonts w:hint="eastAsia" w:ascii="宋体" w:hAnsi="宋体"/>
          <w:sz w:val="30"/>
          <w:szCs w:val="30"/>
          <w:lang w:val="en-US" w:eastAsia="zh-CN"/>
        </w:rPr>
        <w:t>141</w:t>
      </w:r>
      <w:r>
        <w:rPr>
          <w:rFonts w:hint="eastAsia" w:ascii="宋体" w:hAnsi="宋体"/>
          <w:sz w:val="30"/>
          <w:szCs w:val="30"/>
        </w:rPr>
        <w:t>天，增长率为</w:t>
      </w:r>
      <w:r>
        <w:rPr>
          <w:rFonts w:hint="eastAsia" w:ascii="宋体" w:hAnsi="宋体"/>
          <w:sz w:val="30"/>
          <w:szCs w:val="30"/>
          <w:lang w:val="en-US" w:eastAsia="zh-CN"/>
        </w:rPr>
        <w:t>22.14</w:t>
      </w:r>
      <w:r>
        <w:rPr>
          <w:rFonts w:hint="eastAsia" w:ascii="宋体" w:hAnsi="宋体"/>
          <w:sz w:val="30"/>
          <w:szCs w:val="30"/>
        </w:rPr>
        <w:t>%。</w:t>
      </w:r>
    </w:p>
    <w:p>
      <w:pPr>
        <w:spacing w:line="240" w:lineRule="atLeast"/>
        <w:ind w:firstLine="600" w:firstLineChars="200"/>
        <w:jc w:val="left"/>
        <w:rPr>
          <w:rFonts w:hint="eastAsia" w:ascii="仿宋_GB2312" w:hAnsi="宋体" w:eastAsia="仿宋_GB2312" w:cs="Arial"/>
          <w:kern w:val="0"/>
          <w:sz w:val="30"/>
          <w:szCs w:val="30"/>
        </w:rPr>
      </w:pPr>
    </w:p>
    <w:p>
      <w:pPr>
        <w:spacing w:line="240" w:lineRule="atLeast"/>
        <w:ind w:firstLine="600" w:firstLineChars="200"/>
        <w:jc w:val="left"/>
        <w:rPr>
          <w:rFonts w:hint="eastAsia" w:ascii="仿宋_GB2312" w:hAnsi="宋体" w:eastAsia="仿宋_GB2312" w:cs="Arial"/>
          <w:kern w:val="0"/>
          <w:sz w:val="30"/>
          <w:szCs w:val="30"/>
        </w:rPr>
      </w:pPr>
    </w:p>
    <w:p>
      <w:pPr>
        <w:spacing w:line="240" w:lineRule="atLeast"/>
        <w:ind w:firstLine="600" w:firstLineChars="200"/>
        <w:jc w:val="left"/>
        <w:rPr>
          <w:rFonts w:hint="eastAsia" w:ascii="仿宋_GB2312" w:hAnsi="宋体" w:eastAsia="仿宋_GB2312" w:cs="Arial"/>
          <w:kern w:val="0"/>
          <w:sz w:val="30"/>
          <w:szCs w:val="30"/>
        </w:rPr>
      </w:pPr>
    </w:p>
    <w:p>
      <w:pPr>
        <w:spacing w:line="240" w:lineRule="atLeast"/>
        <w:ind w:firstLine="600" w:firstLineChars="200"/>
        <w:jc w:val="left"/>
        <w:rPr>
          <w:rFonts w:hint="eastAsia" w:ascii="仿宋_GB2312" w:hAnsi="宋体" w:eastAsia="仿宋_GB2312" w:cs="Arial"/>
          <w:kern w:val="0"/>
          <w:sz w:val="30"/>
          <w:szCs w:val="30"/>
        </w:rPr>
      </w:pPr>
    </w:p>
    <w:p>
      <w:pPr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第二部分  2016年度部门决算表</w:t>
      </w:r>
    </w:p>
    <w:p>
      <w:pPr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30"/>
          <w:szCs w:val="30"/>
        </w:rPr>
        <w:t xml:space="preserve">   </w:t>
      </w:r>
      <w:r>
        <w:rPr>
          <w:rFonts w:hint="eastAsia" w:ascii="宋体" w:hAnsi="宋体"/>
          <w:sz w:val="28"/>
          <w:szCs w:val="28"/>
        </w:rPr>
        <w:t>一、收入支出决算总表（财决01表）</w:t>
      </w:r>
    </w:p>
    <w:p>
      <w:pPr>
        <w:ind w:firstLine="420" w:firstLineChars="15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二、收入决算表（财决02表）</w:t>
      </w:r>
    </w:p>
    <w:p>
      <w:pPr>
        <w:ind w:firstLine="420" w:firstLineChars="15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三、支出决算表（财决03表）</w:t>
      </w:r>
    </w:p>
    <w:p>
      <w:pPr>
        <w:ind w:firstLine="280" w:firstLineChars="1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四、财政拨款收入支出决算总表（财决04表）</w:t>
      </w:r>
    </w:p>
    <w:p>
      <w:pPr>
        <w:ind w:firstLine="280" w:firstLineChars="1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五、一般公共预算财政拨款收入支出决算表（财决05表）</w:t>
      </w:r>
    </w:p>
    <w:p>
      <w:pPr>
        <w:ind w:firstLine="280" w:firstLineChars="1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六、一般公共预算财政拨款基本支出决算表（财决06表）</w:t>
      </w:r>
    </w:p>
    <w:p>
      <w:pPr>
        <w:ind w:firstLine="280" w:firstLineChars="1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七、政府性基金预算财政拨款收入支出决算表（财决07表）</w:t>
      </w:r>
    </w:p>
    <w:p>
      <w:pPr>
        <w:ind w:firstLine="280" w:firstLineChars="1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八、财政专户管理资金收入支出决算表（08表）</w:t>
      </w:r>
    </w:p>
    <w:p>
      <w:pPr>
        <w:ind w:firstLine="280" w:firstLineChars="1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九、“三公”经费行政参公单位机关运行经费情况表（09）</w:t>
      </w:r>
    </w:p>
    <w:p>
      <w:pPr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第三部门  2016年度部门决算情况说明</w:t>
      </w:r>
    </w:p>
    <w:p>
      <w:pPr>
        <w:ind w:firstLine="602" w:firstLineChars="200"/>
        <w:jc w:val="left"/>
        <w:rPr>
          <w:rFonts w:ascii="仿宋_GB2312" w:hAnsi="黑体" w:eastAsia="仿宋_GB2312"/>
          <w:b/>
          <w:sz w:val="30"/>
          <w:szCs w:val="30"/>
        </w:rPr>
      </w:pPr>
      <w:r>
        <w:rPr>
          <w:rFonts w:hint="eastAsia" w:ascii="仿宋_GB2312" w:hAnsi="黑体" w:eastAsia="仿宋_GB2312"/>
          <w:b/>
          <w:sz w:val="30"/>
          <w:szCs w:val="30"/>
        </w:rPr>
        <w:t>一、收入决算情况说明</w:t>
      </w:r>
    </w:p>
    <w:p>
      <w:pPr>
        <w:widowControl/>
        <w:snapToGrid w:val="0"/>
        <w:spacing w:before="100" w:after="100" w:line="600" w:lineRule="exact"/>
        <w:ind w:firstLine="538"/>
        <w:jc w:val="left"/>
        <w:rPr>
          <w:rFonts w:ascii="仿宋_GB2312" w:hAnsi="宋体" w:eastAsia="仿宋_GB2312" w:cs="Arial"/>
          <w:kern w:val="0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2016年单位决算总收入278.29万元。</w:t>
      </w:r>
      <w:r>
        <w:rPr>
          <w:rFonts w:hint="eastAsia" w:ascii="仿宋_GB2312" w:hAnsi="仿宋" w:eastAsia="仿宋_GB2312"/>
          <w:sz w:val="32"/>
          <w:szCs w:val="32"/>
        </w:rPr>
        <w:t>其中：财政补助收入188.93万元，占总收入67.89%，；事业收入89.07万元，占总收入32.01%；其他收入0.3万元，占总收入0.1%</w:t>
      </w:r>
      <w:r>
        <w:rPr>
          <w:rFonts w:hint="eastAsia" w:ascii="仿宋_GB2312" w:eastAsia="仿宋_GB2312"/>
          <w:sz w:val="30"/>
          <w:szCs w:val="30"/>
        </w:rPr>
        <w:t>。与上年对比财政收入减少了29.47万元，事业收入增加了30.97万元，其他收入减少了2.5万元。主要原因分析财政补助收入减少原因人员减少两人，还有2015年调资变动比较大，2016年事业收入增加新院长重视抓业务收入是分布不开的，原来是比较注重防保，其他收入减少原因2015年药品盘盈收入调整过。</w:t>
      </w:r>
      <w:bookmarkStart w:id="0" w:name="_GoBack"/>
      <w:bookmarkEnd w:id="0"/>
    </w:p>
    <w:p>
      <w:pPr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二、支出决算情况说明</w:t>
      </w:r>
    </w:p>
    <w:p>
      <w:pPr>
        <w:spacing w:line="60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hAnsi="宋体" w:eastAsia="仿宋_GB2312" w:cs="Arial"/>
          <w:kern w:val="0"/>
          <w:sz w:val="30"/>
          <w:szCs w:val="30"/>
        </w:rPr>
        <w:t>部门决算总支出</w:t>
      </w:r>
      <w:r>
        <w:rPr>
          <w:rFonts w:hint="eastAsia" w:ascii="仿宋_GB2312" w:hAnsi="仿宋" w:eastAsia="仿宋_GB2312"/>
          <w:sz w:val="32"/>
          <w:szCs w:val="32"/>
        </w:rPr>
        <w:t>245.09万元</w:t>
      </w:r>
      <w:r>
        <w:rPr>
          <w:rFonts w:hint="eastAsia" w:ascii="仿宋_GB2312" w:eastAsia="仿宋_GB2312"/>
          <w:sz w:val="30"/>
          <w:szCs w:val="30"/>
        </w:rPr>
        <w:t>，其中：</w:t>
      </w:r>
      <w:r>
        <w:rPr>
          <w:rFonts w:hint="eastAsia" w:ascii="仿宋_GB2312" w:hAnsi="宋体" w:eastAsia="仿宋_GB2312" w:cs="Arial"/>
          <w:kern w:val="0"/>
          <w:sz w:val="30"/>
          <w:szCs w:val="30"/>
        </w:rPr>
        <w:t>基本支出</w:t>
      </w:r>
      <w:r>
        <w:rPr>
          <w:rFonts w:hint="eastAsia" w:ascii="仿宋_GB2312" w:hAnsi="仿宋" w:eastAsia="仿宋_GB2312"/>
          <w:sz w:val="32"/>
          <w:szCs w:val="32"/>
        </w:rPr>
        <w:t>245.09万元</w:t>
      </w:r>
      <w:r>
        <w:rPr>
          <w:rFonts w:hint="eastAsia" w:ascii="仿宋_GB2312" w:hAnsi="宋体" w:eastAsia="仿宋_GB2312" w:cs="Arial"/>
          <w:kern w:val="0"/>
          <w:sz w:val="30"/>
          <w:szCs w:val="30"/>
        </w:rPr>
        <w:t>，占总支出的</w:t>
      </w:r>
      <w:r>
        <w:rPr>
          <w:rFonts w:hint="eastAsia" w:ascii="仿宋_GB2312" w:eastAsia="仿宋_GB2312"/>
          <w:sz w:val="30"/>
          <w:szCs w:val="30"/>
        </w:rPr>
        <w:t>100</w:t>
      </w:r>
      <w:r>
        <w:rPr>
          <w:rFonts w:hint="eastAsia" w:ascii="仿宋_GB2312" w:hAnsi="宋体" w:eastAsia="仿宋_GB2312" w:cs="Arial"/>
          <w:kern w:val="0"/>
          <w:sz w:val="30"/>
          <w:szCs w:val="30"/>
        </w:rPr>
        <w:t>％。</w:t>
      </w:r>
    </w:p>
    <w:p>
      <w:pPr>
        <w:widowControl/>
        <w:snapToGrid w:val="0"/>
        <w:spacing w:before="100" w:after="100" w:line="6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（一）基本支出情况。2016年用于保障单位正常运转的日常支出</w:t>
      </w:r>
      <w:r>
        <w:rPr>
          <w:rFonts w:hint="eastAsia" w:ascii="仿宋_GB2312" w:hAnsi="仿宋" w:eastAsia="仿宋_GB2312"/>
          <w:sz w:val="32"/>
          <w:szCs w:val="32"/>
        </w:rPr>
        <w:t>245.09万</w:t>
      </w:r>
      <w:r>
        <w:rPr>
          <w:rFonts w:hint="eastAsia" w:ascii="仿宋_GB2312" w:eastAsia="仿宋_GB2312"/>
          <w:sz w:val="30"/>
          <w:szCs w:val="30"/>
        </w:rPr>
        <w:t>元。与上年对比</w:t>
      </w:r>
      <w:r>
        <w:rPr>
          <w:rFonts w:hint="eastAsia" w:ascii="仿宋_GB2312" w:hAnsi="黑体" w:eastAsia="仿宋_GB2312"/>
          <w:sz w:val="32"/>
          <w:szCs w:val="32"/>
        </w:rPr>
        <w:t>增加19万元，增长的主要原因是基层基本公共卫生和重大公卫补助比上年增加22万元、商品和服务支出减少3万元、对个人和家庭的补助增加0.2万元、其他资本性支出减少0.2万元。</w:t>
      </w:r>
      <w:r>
        <w:rPr>
          <w:rFonts w:hint="eastAsia" w:ascii="仿宋_GB2312" w:eastAsia="仿宋_GB2312"/>
          <w:sz w:val="30"/>
          <w:szCs w:val="30"/>
        </w:rPr>
        <w:t>本年人员经费支出99.3万元，包括基本工资，津贴补贴等占基本支出的40.5％；日常公用经费支出57.4万元，包括办公经费、印刷费、水电费、汽燃费、办公设备购置、药品支出、卫材消耗等占基本支出的62.17％。与上年同期相比支出增加了19.09万元，原因办公经费和村医公共卫生的大量投入。</w:t>
      </w:r>
    </w:p>
    <w:p>
      <w:pPr>
        <w:widowControl/>
        <w:snapToGrid w:val="0"/>
        <w:spacing w:before="100" w:after="100" w:line="600" w:lineRule="exact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三、一般公共预算财政拨款支出决算情况说明</w:t>
      </w:r>
    </w:p>
    <w:p>
      <w:pPr>
        <w:widowControl/>
        <w:snapToGrid w:val="0"/>
        <w:spacing w:before="100" w:after="100" w:line="360" w:lineRule="auto"/>
        <w:jc w:val="left"/>
        <w:rPr>
          <w:rFonts w:ascii="仿宋_GB2312" w:hAnsi="宋体" w:eastAsia="仿宋_GB2312" w:cs="Arial"/>
          <w:kern w:val="0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2016</w:t>
      </w:r>
      <w:r>
        <w:rPr>
          <w:rFonts w:hint="eastAsia" w:ascii="仿宋_GB2312" w:hAnsi="宋体" w:eastAsia="仿宋_GB2312" w:cs="Arial"/>
          <w:kern w:val="0"/>
          <w:sz w:val="30"/>
          <w:szCs w:val="30"/>
        </w:rPr>
        <w:t>年部门公共预算财政拨款支出</w:t>
      </w:r>
      <w:r>
        <w:rPr>
          <w:rFonts w:hint="eastAsia" w:ascii="仿宋_GB2312" w:hAnsi="仿宋" w:eastAsia="仿宋_GB2312"/>
          <w:sz w:val="32"/>
          <w:szCs w:val="32"/>
        </w:rPr>
        <w:t>188.9万元，占总收入67.88%.主要用于：</w:t>
      </w:r>
    </w:p>
    <w:p>
      <w:pPr>
        <w:widowControl/>
        <w:snapToGrid w:val="0"/>
        <w:spacing w:before="100" w:after="100" w:line="360" w:lineRule="auto"/>
        <w:ind w:firstLine="640" w:firstLineChars="200"/>
        <w:jc w:val="left"/>
        <w:rPr>
          <w:rFonts w:ascii="仿宋_GB2312" w:hAnsi="宋体" w:eastAsia="仿宋_GB2312" w:cs="Arial"/>
          <w:kern w:val="0"/>
          <w:sz w:val="30"/>
          <w:szCs w:val="30"/>
        </w:rPr>
      </w:pPr>
      <w:r>
        <w:rPr>
          <w:rFonts w:hint="eastAsia" w:ascii="仿宋_GB2312" w:hAnsi="仿宋" w:eastAsia="仿宋_GB2312"/>
          <w:sz w:val="32"/>
          <w:szCs w:val="32"/>
        </w:rPr>
        <w:t>（1）、2080502款：退休人员工资24.1万元</w:t>
      </w:r>
    </w:p>
    <w:p>
      <w:pPr>
        <w:snapToGrid w:val="0"/>
        <w:spacing w:line="588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（2）、21003款：158.4万元，其中：在职人员工资99.3万元，乡村医生补助6.48万元。</w:t>
      </w:r>
    </w:p>
    <w:p>
      <w:pPr>
        <w:snapToGrid w:val="0"/>
        <w:spacing w:line="588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（3）、2100408款：基本公共卫生经费47.5万元。</w:t>
      </w:r>
    </w:p>
    <w:p>
      <w:pPr>
        <w:snapToGrid w:val="0"/>
        <w:spacing w:line="588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（4）、2100399款：基药补助及乡村医生中央、省、州、级财政补助资金14.85万元。</w:t>
      </w:r>
    </w:p>
    <w:p>
      <w:pPr>
        <w:snapToGrid w:val="0"/>
        <w:spacing w:line="588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（5）、2100409款：重大公共卫生资金补助2.84万元。</w:t>
      </w:r>
    </w:p>
    <w:p>
      <w:pPr>
        <w:snapToGrid w:val="0"/>
        <w:spacing w:line="588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（6）、2210201款：财政配套住房公积金6.37万元。</w:t>
      </w:r>
    </w:p>
    <w:p>
      <w:pPr>
        <w:widowControl/>
        <w:snapToGrid w:val="0"/>
        <w:spacing w:before="100" w:after="100" w:line="360" w:lineRule="auto"/>
        <w:ind w:firstLine="600" w:firstLineChars="200"/>
        <w:jc w:val="left"/>
        <w:rPr>
          <w:rFonts w:ascii="仿宋_GB2312" w:hAnsi="宋体" w:eastAsia="仿宋_GB2312" w:cs="Arial"/>
          <w:kern w:val="0"/>
          <w:sz w:val="30"/>
          <w:szCs w:val="30"/>
        </w:rPr>
      </w:pPr>
    </w:p>
    <w:p>
      <w:pPr>
        <w:widowControl/>
        <w:snapToGrid w:val="0"/>
        <w:spacing w:before="100" w:after="100" w:line="360" w:lineRule="auto"/>
        <w:ind w:firstLine="602" w:firstLineChars="200"/>
        <w:jc w:val="left"/>
        <w:rPr>
          <w:rFonts w:ascii="仿宋_GB2312" w:hAnsi="宋体" w:eastAsia="仿宋_GB2312" w:cs="Arial"/>
          <w:kern w:val="0"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四、“三公”经费决算情况说明</w:t>
      </w:r>
    </w:p>
    <w:p>
      <w:pPr>
        <w:widowControl/>
        <w:snapToGrid w:val="0"/>
        <w:spacing w:before="100" w:after="100" w:line="600" w:lineRule="exact"/>
        <w:ind w:firstLine="538"/>
        <w:jc w:val="left"/>
        <w:rPr>
          <w:rFonts w:ascii="仿宋_GB2312" w:hAnsi="宋体" w:cs="Arial"/>
          <w:kern w:val="0"/>
          <w:sz w:val="30"/>
          <w:szCs w:val="30"/>
        </w:rPr>
      </w:pPr>
      <w:r>
        <w:rPr>
          <w:rFonts w:hint="eastAsia" w:ascii="仿宋_GB2312" w:hAnsi="宋体" w:cs="Arial"/>
          <w:kern w:val="0"/>
          <w:sz w:val="30"/>
          <w:szCs w:val="30"/>
        </w:rPr>
        <w:t>2016年本单位三公经费支出0元，其中公务接待费0元，因公出国（境）0元，公务用车运行维护费0元。</w:t>
      </w:r>
    </w:p>
    <w:p>
      <w:pPr>
        <w:widowControl/>
        <w:snapToGrid w:val="0"/>
        <w:spacing w:before="100" w:after="100" w:line="360" w:lineRule="auto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具体情况如下：</w:t>
      </w:r>
    </w:p>
    <w:p>
      <w:pPr>
        <w:widowControl/>
        <w:snapToGrid w:val="0"/>
        <w:spacing w:before="100" w:after="100" w:line="360" w:lineRule="auto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（一）因公出国（境）费</w:t>
      </w:r>
    </w:p>
    <w:p>
      <w:pPr>
        <w:widowControl/>
        <w:snapToGrid w:val="0"/>
        <w:spacing w:before="100" w:after="100" w:line="360" w:lineRule="auto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2016年本单位因公出国（境）团组0次，出国（境）0人。实际发生因公出国（境）费0万元。</w:t>
      </w:r>
    </w:p>
    <w:p>
      <w:pPr>
        <w:widowControl/>
        <w:snapToGrid w:val="0"/>
        <w:spacing w:before="100" w:after="100" w:line="360" w:lineRule="auto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（二）公务用车购置及运行维护费</w:t>
      </w:r>
    </w:p>
    <w:p>
      <w:pPr>
        <w:widowControl/>
        <w:snapToGrid w:val="0"/>
        <w:spacing w:before="100" w:after="100" w:line="360" w:lineRule="auto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2016年本单位购置公务用车0辆，年末公务用车保有量2辆，公务用车购置及运行维护费0万元。主要用于本单位公务用车燃料费、维修费、过路过桥费、保险费等支出。</w:t>
      </w:r>
    </w:p>
    <w:p>
      <w:pPr>
        <w:widowControl/>
        <w:snapToGrid w:val="0"/>
        <w:spacing w:before="100" w:after="100" w:line="360" w:lineRule="auto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（三）公务接待费</w:t>
      </w:r>
    </w:p>
    <w:p>
      <w:pPr>
        <w:widowControl/>
        <w:snapToGrid w:val="0"/>
        <w:spacing w:before="100" w:after="100" w:line="360" w:lineRule="auto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2016年本单位接待费开支0万元; 外事接待0批次，0人，接待费开支0万元。</w:t>
      </w:r>
    </w:p>
    <w:p>
      <w:pPr>
        <w:widowControl/>
        <w:snapToGrid w:val="0"/>
        <w:spacing w:before="100" w:after="100" w:line="360" w:lineRule="auto"/>
        <w:ind w:firstLine="602" w:firstLineChars="200"/>
        <w:jc w:val="left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五、其他重要事项及相关口径情况说明</w:t>
      </w:r>
    </w:p>
    <w:p>
      <w:pPr>
        <w:widowControl/>
        <w:snapToGrid w:val="0"/>
        <w:spacing w:before="100" w:after="100" w:line="360" w:lineRule="auto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（一）其他重要事项情况说明</w:t>
      </w:r>
    </w:p>
    <w:p>
      <w:pPr>
        <w:widowControl/>
        <w:snapToGrid w:val="0"/>
        <w:spacing w:before="100" w:after="100" w:line="360" w:lineRule="auto"/>
        <w:ind w:firstLine="600" w:firstLineChars="200"/>
        <w:jc w:val="lef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无需要说明的其他重要事项。</w:t>
      </w:r>
    </w:p>
    <w:p>
      <w:pPr>
        <w:widowControl/>
        <w:snapToGrid w:val="0"/>
        <w:spacing w:before="100" w:after="100" w:line="360" w:lineRule="auto"/>
        <w:ind w:firstLine="600" w:firstLineChars="200"/>
        <w:jc w:val="left"/>
        <w:rPr>
          <w:rFonts w:ascii="仿宋_GB2312" w:eastAsia="仿宋_GB2312"/>
          <w:sz w:val="30"/>
          <w:szCs w:val="30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2098" w:right="1418" w:bottom="1588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E24BD9"/>
    <w:multiLevelType w:val="multilevel"/>
    <w:tmpl w:val="6DE24BD9"/>
    <w:lvl w:ilvl="0" w:tentative="0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1258E"/>
    <w:rsid w:val="00014033"/>
    <w:rsid w:val="00015917"/>
    <w:rsid w:val="0003511E"/>
    <w:rsid w:val="000913E4"/>
    <w:rsid w:val="00091E3A"/>
    <w:rsid w:val="000A6010"/>
    <w:rsid w:val="000C3242"/>
    <w:rsid w:val="000D3EA0"/>
    <w:rsid w:val="0010004D"/>
    <w:rsid w:val="001263DA"/>
    <w:rsid w:val="001374A6"/>
    <w:rsid w:val="001536A4"/>
    <w:rsid w:val="00154575"/>
    <w:rsid w:val="00172A27"/>
    <w:rsid w:val="001749E4"/>
    <w:rsid w:val="001A0E45"/>
    <w:rsid w:val="001A3A9F"/>
    <w:rsid w:val="001B3E98"/>
    <w:rsid w:val="001C2096"/>
    <w:rsid w:val="001C6512"/>
    <w:rsid w:val="00224AF2"/>
    <w:rsid w:val="002360A6"/>
    <w:rsid w:val="0029065D"/>
    <w:rsid w:val="002A2D4A"/>
    <w:rsid w:val="002A35DC"/>
    <w:rsid w:val="002B295A"/>
    <w:rsid w:val="002D0360"/>
    <w:rsid w:val="002E1618"/>
    <w:rsid w:val="003034A8"/>
    <w:rsid w:val="00371195"/>
    <w:rsid w:val="00392FEE"/>
    <w:rsid w:val="003938CD"/>
    <w:rsid w:val="003A263E"/>
    <w:rsid w:val="003C39CA"/>
    <w:rsid w:val="003E167F"/>
    <w:rsid w:val="003F462A"/>
    <w:rsid w:val="00430657"/>
    <w:rsid w:val="0045007E"/>
    <w:rsid w:val="004636A8"/>
    <w:rsid w:val="0048090A"/>
    <w:rsid w:val="0049341E"/>
    <w:rsid w:val="004D1694"/>
    <w:rsid w:val="004D5A12"/>
    <w:rsid w:val="004E71D9"/>
    <w:rsid w:val="0050289F"/>
    <w:rsid w:val="005144D0"/>
    <w:rsid w:val="0052295E"/>
    <w:rsid w:val="00550133"/>
    <w:rsid w:val="0055230D"/>
    <w:rsid w:val="005545C8"/>
    <w:rsid w:val="00557069"/>
    <w:rsid w:val="00575AC5"/>
    <w:rsid w:val="0057690C"/>
    <w:rsid w:val="00577096"/>
    <w:rsid w:val="005A1A61"/>
    <w:rsid w:val="005B558B"/>
    <w:rsid w:val="005E4A61"/>
    <w:rsid w:val="006021EC"/>
    <w:rsid w:val="00607AF7"/>
    <w:rsid w:val="0062634D"/>
    <w:rsid w:val="00640B67"/>
    <w:rsid w:val="006546F4"/>
    <w:rsid w:val="0066092E"/>
    <w:rsid w:val="00697350"/>
    <w:rsid w:val="006A112F"/>
    <w:rsid w:val="006C4F21"/>
    <w:rsid w:val="006D02F7"/>
    <w:rsid w:val="006E45B7"/>
    <w:rsid w:val="007249B2"/>
    <w:rsid w:val="00734A8A"/>
    <w:rsid w:val="00776986"/>
    <w:rsid w:val="007A132A"/>
    <w:rsid w:val="007A375D"/>
    <w:rsid w:val="007A61A0"/>
    <w:rsid w:val="007B0761"/>
    <w:rsid w:val="007B4F9A"/>
    <w:rsid w:val="007B548C"/>
    <w:rsid w:val="007B65F4"/>
    <w:rsid w:val="007D1D2B"/>
    <w:rsid w:val="007D5A1D"/>
    <w:rsid w:val="007E38F7"/>
    <w:rsid w:val="007F0EE2"/>
    <w:rsid w:val="007F6762"/>
    <w:rsid w:val="008066B7"/>
    <w:rsid w:val="00823B32"/>
    <w:rsid w:val="0085209F"/>
    <w:rsid w:val="008563D1"/>
    <w:rsid w:val="00890779"/>
    <w:rsid w:val="008A4EFB"/>
    <w:rsid w:val="008C6076"/>
    <w:rsid w:val="008D757B"/>
    <w:rsid w:val="008E399D"/>
    <w:rsid w:val="008F39D5"/>
    <w:rsid w:val="00905397"/>
    <w:rsid w:val="00944AE2"/>
    <w:rsid w:val="00953916"/>
    <w:rsid w:val="00960215"/>
    <w:rsid w:val="0096611B"/>
    <w:rsid w:val="00966EA3"/>
    <w:rsid w:val="0096712D"/>
    <w:rsid w:val="00981B86"/>
    <w:rsid w:val="0099058A"/>
    <w:rsid w:val="00995C9D"/>
    <w:rsid w:val="0099708C"/>
    <w:rsid w:val="009B39E4"/>
    <w:rsid w:val="009C2C9B"/>
    <w:rsid w:val="009C3DCD"/>
    <w:rsid w:val="009E20C7"/>
    <w:rsid w:val="009E50DD"/>
    <w:rsid w:val="009E7A81"/>
    <w:rsid w:val="009F0254"/>
    <w:rsid w:val="00A07799"/>
    <w:rsid w:val="00A3510F"/>
    <w:rsid w:val="00A60382"/>
    <w:rsid w:val="00A712DC"/>
    <w:rsid w:val="00A72DA9"/>
    <w:rsid w:val="00A77BF1"/>
    <w:rsid w:val="00A86C65"/>
    <w:rsid w:val="00A94999"/>
    <w:rsid w:val="00A96DEB"/>
    <w:rsid w:val="00AC573F"/>
    <w:rsid w:val="00B4333E"/>
    <w:rsid w:val="00B5366F"/>
    <w:rsid w:val="00B80AAC"/>
    <w:rsid w:val="00B81D10"/>
    <w:rsid w:val="00B9604E"/>
    <w:rsid w:val="00BA3948"/>
    <w:rsid w:val="00BB3509"/>
    <w:rsid w:val="00BC73ED"/>
    <w:rsid w:val="00BE3E47"/>
    <w:rsid w:val="00BE7B81"/>
    <w:rsid w:val="00BF0A0B"/>
    <w:rsid w:val="00C0360F"/>
    <w:rsid w:val="00C236BC"/>
    <w:rsid w:val="00C3042C"/>
    <w:rsid w:val="00C31F79"/>
    <w:rsid w:val="00C35F72"/>
    <w:rsid w:val="00C37B42"/>
    <w:rsid w:val="00C430D2"/>
    <w:rsid w:val="00C4706B"/>
    <w:rsid w:val="00C53096"/>
    <w:rsid w:val="00CD4CE9"/>
    <w:rsid w:val="00D1253E"/>
    <w:rsid w:val="00D2484E"/>
    <w:rsid w:val="00DA0649"/>
    <w:rsid w:val="00DA3B3A"/>
    <w:rsid w:val="00DB67A4"/>
    <w:rsid w:val="00DC77E2"/>
    <w:rsid w:val="00E11EE1"/>
    <w:rsid w:val="00E36604"/>
    <w:rsid w:val="00E47E5F"/>
    <w:rsid w:val="00E662AA"/>
    <w:rsid w:val="00E769E8"/>
    <w:rsid w:val="00E80B36"/>
    <w:rsid w:val="00E9395C"/>
    <w:rsid w:val="00EA2124"/>
    <w:rsid w:val="00EA262C"/>
    <w:rsid w:val="00EA4B97"/>
    <w:rsid w:val="00EC24BF"/>
    <w:rsid w:val="00EC5319"/>
    <w:rsid w:val="00ED7654"/>
    <w:rsid w:val="00EE750D"/>
    <w:rsid w:val="00F37401"/>
    <w:rsid w:val="00F44882"/>
    <w:rsid w:val="00F6032D"/>
    <w:rsid w:val="00F73DAF"/>
    <w:rsid w:val="00F74193"/>
    <w:rsid w:val="00F83329"/>
    <w:rsid w:val="00F94DB0"/>
    <w:rsid w:val="00FA48DF"/>
    <w:rsid w:val="00FF6A71"/>
    <w:rsid w:val="29BC0BD2"/>
    <w:rsid w:val="450B0B92"/>
    <w:rsid w:val="6712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Lines="30"/>
    </w:pPr>
    <w:rPr>
      <w:rFonts w:ascii="仿宋_GB2312" w:eastAsia="仿宋_GB2312"/>
      <w:sz w:val="30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318</Words>
  <Characters>1814</Characters>
  <Lines>15</Lines>
  <Paragraphs>4</Paragraphs>
  <ScaleCrop>false</ScaleCrop>
  <LinksUpToDate>false</LinksUpToDate>
  <CharactersWithSpaces>2128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2017-08-23T02:03:00Z</dcterms:created>
  <dc:creator>赵树子</dc:creator>
  <cp:lastModifiedBy>Administrator</cp:lastModifiedBy>
  <cp:lastPrinted>2013-05-12T07:06:00Z</cp:lastPrinted>
  <dcterms:modified xsi:type="dcterms:W3CDTF">2017-08-28T03:38:01Z</dcterms:modified>
  <dc:title>四川省财政厅2011年部门预算编制说明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