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kern w:val="2"/>
          <w:sz w:val="44"/>
          <w:szCs w:val="44"/>
          <w:lang w:val="zh-CN" w:eastAsia="zh-CN" w:bidi="ar"/>
        </w:rPr>
        <w:t>市政府现行有效规范性文件目录</w:t>
      </w: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eastAsia="仿宋_GB2312"/>
          <w:b/>
          <w:sz w:val="32"/>
          <w:szCs w:val="32"/>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方正仿宋_GBK" w:hAnsi="方正仿宋_GBK" w:eastAsia="方正仿宋_GBK" w:cs="方正仿宋_GBK"/>
          <w:b/>
          <w:sz w:val="32"/>
          <w:szCs w:val="32"/>
          <w:lang w:val="en-US"/>
        </w:rPr>
      </w:pPr>
      <w:r>
        <w:rPr>
          <w:rFonts w:hint="eastAsia" w:ascii="方正仿宋_GBK" w:hAnsi="方正仿宋_GBK" w:eastAsia="方正仿宋_GBK" w:cs="方正仿宋_GBK"/>
          <w:bCs/>
          <w:kern w:val="2"/>
          <w:sz w:val="24"/>
          <w:szCs w:val="24"/>
          <w:lang w:val="zh-CN" w:eastAsia="zh-CN" w:bidi="ar"/>
        </w:rPr>
        <w:t>截止日期</w:t>
      </w:r>
      <w:r>
        <w:rPr>
          <w:rFonts w:hint="eastAsia" w:ascii="宋体" w:hAnsi="宋体" w:eastAsia="宋体" w:cs="宋体"/>
          <w:bCs/>
          <w:kern w:val="2"/>
          <w:sz w:val="24"/>
          <w:szCs w:val="24"/>
          <w:lang w:val="zh-CN" w:eastAsia="zh-CN" w:bidi="ar"/>
        </w:rPr>
        <w:t>：</w:t>
      </w:r>
      <w:r>
        <w:rPr>
          <w:rFonts w:hint="eastAsia" w:ascii="方正仿宋_GBK" w:hAnsi="方正仿宋_GBK" w:eastAsia="方正仿宋_GBK" w:cs="方正仿宋_GBK"/>
          <w:bCs/>
          <w:kern w:val="2"/>
          <w:sz w:val="24"/>
          <w:szCs w:val="24"/>
          <w:lang w:val="zh-CN" w:eastAsia="zh-CN" w:bidi="ar"/>
        </w:rPr>
        <w:t>2019年8月27日</w:t>
      </w:r>
      <w:r>
        <w:rPr>
          <w:rFonts w:hint="eastAsia" w:ascii="方正仿宋_GBK" w:hAnsi="方正仿宋_GBK" w:eastAsia="方正仿宋_GBK" w:cs="方正仿宋_GBK"/>
          <w:bCs/>
          <w:kern w:val="2"/>
          <w:sz w:val="24"/>
          <w:szCs w:val="24"/>
          <w:lang w:val="en-US" w:eastAsia="zh-CN" w:bidi="ar"/>
        </w:rPr>
        <w:t xml:space="preserve">                                      总件数</w:t>
      </w:r>
      <w:r>
        <w:rPr>
          <w:rFonts w:hint="eastAsia" w:ascii="宋体" w:hAnsi="宋体" w:eastAsia="宋体" w:cs="宋体"/>
          <w:bCs/>
          <w:kern w:val="2"/>
          <w:sz w:val="24"/>
          <w:szCs w:val="24"/>
          <w:lang w:val="en-US" w:eastAsia="zh-CN" w:bidi="ar"/>
        </w:rPr>
        <w:t>：</w:t>
      </w:r>
      <w:r>
        <w:rPr>
          <w:rFonts w:hint="eastAsia" w:ascii="方正仿宋_GBK" w:hAnsi="方正仿宋_GBK" w:eastAsia="方正仿宋_GBK" w:cs="方正仿宋_GBK"/>
          <w:bCs/>
          <w:kern w:val="2"/>
          <w:sz w:val="24"/>
          <w:szCs w:val="24"/>
          <w:lang w:val="en-US" w:eastAsia="zh-CN" w:bidi="ar"/>
        </w:rPr>
        <w:t>41件</w:t>
      </w:r>
    </w:p>
    <w:tbl>
      <w:tblPr>
        <w:tblStyle w:val="4"/>
        <w:tblW w:w="10260" w:type="dxa"/>
        <w:tblInd w:w="-432" w:type="dxa"/>
        <w:shd w:val="clear" w:color="auto" w:fill="auto"/>
        <w:tblLayout w:type="fixed"/>
        <w:tblCellMar>
          <w:top w:w="0" w:type="dxa"/>
          <w:left w:w="108" w:type="dxa"/>
          <w:bottom w:w="0" w:type="dxa"/>
          <w:right w:w="108" w:type="dxa"/>
        </w:tblCellMar>
      </w:tblPr>
      <w:tblGrid>
        <w:gridCol w:w="900"/>
        <w:gridCol w:w="4140"/>
        <w:gridCol w:w="1800"/>
        <w:gridCol w:w="2160"/>
        <w:gridCol w:w="1260"/>
      </w:tblGrid>
      <w:tr>
        <w:tblPrEx>
          <w:tblCellMar>
            <w:top w:w="0" w:type="dxa"/>
            <w:left w:w="108" w:type="dxa"/>
            <w:bottom w:w="0" w:type="dxa"/>
            <w:right w:w="108" w:type="dxa"/>
          </w:tblCellMar>
        </w:tblPrEx>
        <w:trPr>
          <w:trHeight w:val="610" w:hRule="atLeast"/>
        </w:trPr>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方正黑体_GBK" w:hAnsi="方正黑体_GBK" w:eastAsia="方正黑体_GBK" w:cs="方正黑体_GBK"/>
                <w:sz w:val="28"/>
                <w:szCs w:val="28"/>
                <w:lang w:val="en-US"/>
              </w:rPr>
            </w:pPr>
            <w:r>
              <w:rPr>
                <w:rFonts w:hint="eastAsia" w:ascii="方正黑体_GBK" w:hAnsi="方正黑体_GBK" w:eastAsia="方正黑体_GBK" w:cs="方正黑体_GBK"/>
                <w:kern w:val="2"/>
                <w:sz w:val="28"/>
                <w:szCs w:val="28"/>
                <w:lang w:val="zh-CN" w:eastAsia="zh-CN" w:bidi="ar"/>
              </w:rPr>
              <w:t>序号</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方正黑体_GBK" w:hAnsi="方正黑体_GBK" w:eastAsia="方正黑体_GBK" w:cs="方正黑体_GBK"/>
                <w:sz w:val="28"/>
                <w:szCs w:val="28"/>
                <w:lang w:val="en-US"/>
              </w:rPr>
            </w:pPr>
            <w:r>
              <w:rPr>
                <w:rFonts w:hint="eastAsia" w:ascii="方正黑体_GBK" w:hAnsi="方正黑体_GBK" w:eastAsia="方正黑体_GBK" w:cs="方正黑体_GBK"/>
                <w:kern w:val="2"/>
                <w:sz w:val="28"/>
                <w:szCs w:val="28"/>
                <w:lang w:val="zh-CN" w:eastAsia="zh-CN" w:bidi="ar"/>
              </w:rPr>
              <w:t>文件名称</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方正黑体_GBK" w:hAnsi="方正黑体_GBK" w:eastAsia="方正黑体_GBK" w:cs="方正黑体_GBK"/>
                <w:sz w:val="28"/>
                <w:szCs w:val="28"/>
                <w:lang w:val="en-US"/>
              </w:rPr>
            </w:pPr>
            <w:r>
              <w:rPr>
                <w:rFonts w:hint="eastAsia" w:ascii="方正黑体_GBK" w:hAnsi="方正黑体_GBK" w:eastAsia="方正黑体_GBK" w:cs="方正黑体_GBK"/>
                <w:kern w:val="2"/>
                <w:sz w:val="28"/>
                <w:szCs w:val="28"/>
                <w:lang w:val="zh-CN" w:eastAsia="zh-CN" w:bidi="ar"/>
              </w:rPr>
              <w:t>文号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方正黑体_GBK" w:hAnsi="方正黑体_GBK" w:eastAsia="方正黑体_GBK" w:cs="方正黑体_GBK"/>
                <w:sz w:val="28"/>
                <w:szCs w:val="28"/>
                <w:lang w:val="en-US"/>
              </w:rPr>
            </w:pPr>
            <w:r>
              <w:rPr>
                <w:rFonts w:hint="eastAsia" w:ascii="方正黑体_GBK" w:hAnsi="方正黑体_GBK" w:eastAsia="方正黑体_GBK" w:cs="方正黑体_GBK"/>
                <w:kern w:val="2"/>
                <w:sz w:val="28"/>
                <w:szCs w:val="28"/>
                <w:lang w:val="zh-CN" w:eastAsia="zh-CN" w:bidi="ar"/>
              </w:rPr>
              <w:t>清理单位</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方正黑体_GBK" w:hAnsi="方正黑体_GBK" w:eastAsia="方正黑体_GBK" w:cs="方正黑体_GBK"/>
                <w:sz w:val="28"/>
                <w:szCs w:val="28"/>
                <w:lang w:val="en-US"/>
              </w:rPr>
            </w:pPr>
            <w:r>
              <w:rPr>
                <w:rFonts w:hint="eastAsia" w:ascii="方正黑体_GBK" w:hAnsi="方正黑体_GBK" w:eastAsia="方正黑体_GBK" w:cs="方正黑体_GBK"/>
                <w:kern w:val="2"/>
                <w:sz w:val="28"/>
                <w:szCs w:val="28"/>
                <w:lang w:val="zh-CN" w:eastAsia="zh-CN" w:bidi="ar"/>
              </w:rPr>
              <w:t>备注</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1</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潞西市人民政府关于印发潞西市加强临街建筑管理和房屋建设审批暂行规定的通知</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潞政发〔</w:t>
            </w:r>
            <w:r>
              <w:rPr>
                <w:rFonts w:hint="eastAsia" w:ascii="宋体" w:hAnsi="宋体" w:eastAsia="方正仿宋_GBK" w:cs="方正仿宋_GBK"/>
                <w:kern w:val="2"/>
                <w:sz w:val="22"/>
                <w:szCs w:val="22"/>
                <w:lang w:val="en-US" w:eastAsia="zh-CN" w:bidi="ar"/>
              </w:rPr>
              <w:t>1999</w:t>
            </w:r>
            <w:r>
              <w:rPr>
                <w:rFonts w:hint="eastAsia" w:ascii="宋体" w:hAnsi="宋体" w:eastAsia="方正仿宋_GBK" w:cs="方正仿宋_GBK"/>
                <w:kern w:val="2"/>
                <w:sz w:val="22"/>
                <w:szCs w:val="22"/>
                <w:lang w:val="zh-CN" w:eastAsia="zh-CN" w:bidi="ar"/>
              </w:rPr>
              <w:t>〕</w:t>
            </w:r>
            <w:r>
              <w:rPr>
                <w:rFonts w:hint="eastAsia" w:ascii="宋体" w:hAnsi="宋体" w:eastAsia="方正仿宋_GBK" w:cs="方正仿宋_GBK"/>
                <w:kern w:val="2"/>
                <w:sz w:val="22"/>
                <w:szCs w:val="22"/>
                <w:lang w:val="en-US" w:eastAsia="zh-CN" w:bidi="ar"/>
              </w:rPr>
              <w:t>93</w:t>
            </w:r>
            <w:r>
              <w:rPr>
                <w:rFonts w:hint="eastAsia" w:ascii="宋体" w:hAnsi="宋体" w:eastAsia="方正仿宋_GBK" w:cs="方正仿宋_GBK"/>
                <w:kern w:val="2"/>
                <w:sz w:val="22"/>
                <w:szCs w:val="22"/>
                <w:lang w:val="zh-CN" w:eastAsia="zh-CN" w:bidi="ar"/>
              </w:rPr>
              <w:t>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市自然资源局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2</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潞西市人民政府关于对三轮摩托车实行限制路段禁止驶入芒市城区的补充通知</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tabs>
                <w:tab w:val="left" w:pos="7020"/>
              </w:tabs>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潞政发〔</w:t>
            </w:r>
            <w:r>
              <w:rPr>
                <w:rFonts w:hint="eastAsia" w:ascii="宋体" w:hAnsi="宋体" w:eastAsia="方正仿宋_GBK" w:cs="方正仿宋_GBK"/>
                <w:kern w:val="2"/>
                <w:sz w:val="22"/>
                <w:szCs w:val="22"/>
                <w:lang w:val="en-US" w:eastAsia="zh-CN" w:bidi="ar"/>
              </w:rPr>
              <w:t>2001</w:t>
            </w:r>
            <w:r>
              <w:rPr>
                <w:rFonts w:hint="eastAsia" w:ascii="宋体" w:hAnsi="宋体" w:eastAsia="方正仿宋_GBK" w:cs="方正仿宋_GBK"/>
                <w:kern w:val="2"/>
                <w:sz w:val="22"/>
                <w:szCs w:val="22"/>
                <w:lang w:val="zh-CN" w:eastAsia="zh-CN" w:bidi="ar"/>
              </w:rPr>
              <w:t>〕</w:t>
            </w:r>
          </w:p>
          <w:p>
            <w:pPr>
              <w:keepNext w:val="0"/>
              <w:keepLines w:val="0"/>
              <w:pageBreakBefore w:val="0"/>
              <w:widowControl w:val="0"/>
              <w:suppressLineNumbers w:val="0"/>
              <w:tabs>
                <w:tab w:val="left" w:pos="7020"/>
              </w:tabs>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en-US" w:eastAsia="zh-CN" w:bidi="ar"/>
              </w:rPr>
              <w:t>5</w:t>
            </w:r>
            <w:r>
              <w:rPr>
                <w:rFonts w:hint="eastAsia" w:ascii="宋体" w:hAnsi="宋体" w:eastAsia="方正仿宋_GBK" w:cs="方正仿宋_GBK"/>
                <w:kern w:val="2"/>
                <w:sz w:val="22"/>
                <w:szCs w:val="22"/>
                <w:lang w:val="zh-CN" w:eastAsia="zh-CN" w:bidi="ar"/>
              </w:rPr>
              <w:t>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市公安局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eastAsia="zh-CN"/>
              </w:rPr>
            </w:pPr>
            <w:r>
              <w:rPr>
                <w:rFonts w:hint="eastAsia" w:ascii="宋体" w:hAnsi="宋体" w:eastAsia="方正仿宋_GBK" w:cs="方正仿宋_GBK"/>
                <w:b/>
                <w:sz w:val="22"/>
                <w:szCs w:val="22"/>
                <w:lang w:val="en-US" w:eastAsia="zh-CN"/>
              </w:rPr>
              <w:t>3</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潞西市人民政府关于废止部分规范性文件的决定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潞政发〔2005〕</w:t>
            </w:r>
          </w:p>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62号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4</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zh-CN" w:eastAsia="zh-CN" w:bidi="ar"/>
              </w:rPr>
              <w:t>潞西市水利工程供水水费征收管理办法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zh-CN" w:eastAsia="zh-CN" w:bidi="ar"/>
              </w:rPr>
              <w:t>潞西市政府第</w:t>
            </w:r>
            <w:r>
              <w:rPr>
                <w:rFonts w:hint="eastAsia" w:ascii="宋体" w:hAnsi="宋体" w:eastAsia="方正仿宋_GBK" w:cs="方正仿宋_GBK"/>
                <w:kern w:val="2"/>
                <w:sz w:val="22"/>
                <w:szCs w:val="22"/>
                <w:lang w:val="en-US" w:eastAsia="zh-CN" w:bidi="ar"/>
              </w:rPr>
              <w:t>6</w:t>
            </w:r>
            <w:r>
              <w:rPr>
                <w:rFonts w:hint="eastAsia" w:ascii="宋体" w:hAnsi="宋体" w:eastAsia="方正仿宋_GBK" w:cs="方正仿宋_GBK"/>
                <w:kern w:val="2"/>
                <w:sz w:val="22"/>
                <w:szCs w:val="22"/>
                <w:lang w:val="zh-CN" w:eastAsia="zh-CN" w:bidi="ar"/>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市水利局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5</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zh-CN" w:eastAsia="zh-CN" w:bidi="ar"/>
              </w:rPr>
              <w:t>潞西市人民政府关于调整芒市城区人民路车辆通行管理的通告</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zh-CN" w:eastAsia="zh-CN" w:bidi="ar"/>
              </w:rPr>
              <w:t>潞西市政府第</w:t>
            </w:r>
            <w:r>
              <w:rPr>
                <w:rFonts w:hint="eastAsia" w:ascii="宋体" w:hAnsi="宋体" w:eastAsia="方正仿宋_GBK" w:cs="方正仿宋_GBK"/>
                <w:kern w:val="2"/>
                <w:sz w:val="22"/>
                <w:szCs w:val="22"/>
                <w:lang w:val="en-US" w:eastAsia="zh-CN" w:bidi="ar"/>
              </w:rPr>
              <w:t>7</w:t>
            </w:r>
            <w:r>
              <w:rPr>
                <w:rFonts w:hint="eastAsia" w:ascii="宋体" w:hAnsi="宋体" w:eastAsia="方正仿宋_GBK" w:cs="方正仿宋_GBK"/>
                <w:kern w:val="2"/>
                <w:sz w:val="22"/>
                <w:szCs w:val="22"/>
                <w:lang w:val="zh-CN" w:eastAsia="zh-CN" w:bidi="ar"/>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市公安局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6</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潞西市人民政府办公室关于废止4件规范性文件的决定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潞西市政府办第3号公告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7</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潞西市人民政府关于废止32件规范性文件的决定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潞西市政府第11号公告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8</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1"/>
                <w:szCs w:val="21"/>
                <w:lang w:val="zh-CN" w:eastAsia="zh-CN" w:bidi="ar"/>
              </w:rPr>
              <w:t>潞西市人民政府关于印发潞西市城市规划区集体预留土地管理使用暂行办法的通知</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zh-CN" w:eastAsia="zh-CN" w:bidi="ar"/>
              </w:rPr>
              <w:t>潞政发〔</w:t>
            </w:r>
            <w:r>
              <w:rPr>
                <w:rFonts w:hint="eastAsia" w:ascii="宋体" w:hAnsi="宋体" w:eastAsia="方正仿宋_GBK" w:cs="方正仿宋_GBK"/>
                <w:kern w:val="2"/>
                <w:sz w:val="22"/>
                <w:szCs w:val="22"/>
                <w:lang w:val="en-US" w:eastAsia="zh-CN" w:bidi="ar"/>
              </w:rPr>
              <w:t>2007</w:t>
            </w:r>
            <w:r>
              <w:rPr>
                <w:rFonts w:hint="eastAsia" w:ascii="宋体" w:hAnsi="宋体" w:eastAsia="方正仿宋_GBK" w:cs="方正仿宋_GBK"/>
                <w:kern w:val="2"/>
                <w:sz w:val="22"/>
                <w:szCs w:val="22"/>
                <w:lang w:val="zh-CN" w:eastAsia="zh-CN" w:bidi="ar"/>
              </w:rPr>
              <w:t>〕</w:t>
            </w:r>
            <w:r>
              <w:rPr>
                <w:rFonts w:hint="eastAsia" w:ascii="宋体" w:hAnsi="宋体" w:eastAsia="方正仿宋_GBK" w:cs="方正仿宋_GBK"/>
                <w:kern w:val="2"/>
                <w:sz w:val="22"/>
                <w:szCs w:val="22"/>
                <w:lang w:val="en-US" w:eastAsia="zh-CN" w:bidi="ar"/>
              </w:rPr>
              <w:t>156</w:t>
            </w:r>
            <w:r>
              <w:rPr>
                <w:rFonts w:hint="eastAsia" w:ascii="宋体" w:hAnsi="宋体" w:eastAsia="方正仿宋_GBK" w:cs="方正仿宋_GBK"/>
                <w:kern w:val="2"/>
                <w:sz w:val="22"/>
                <w:szCs w:val="22"/>
                <w:lang w:val="zh-CN" w:eastAsia="zh-CN" w:bidi="ar"/>
              </w:rPr>
              <w:t>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市国土局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拟修改</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9</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潞西市人民政府关于取消和调整部分行政审批项目废止部分规范性文件的决定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潞西市政府第20号公告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10</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潞西市人民政府关于第四轮取消和调整行政审批项目的决定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潞西市政府第22号公告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11</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zh-CN" w:eastAsia="zh-CN" w:bidi="ar"/>
              </w:rPr>
              <w:t>潞西市残疾人就业保障金征收使用管理实施办法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zh-CN" w:eastAsia="zh-CN" w:bidi="ar"/>
              </w:rPr>
              <w:t>潞西市政府第</w:t>
            </w:r>
            <w:r>
              <w:rPr>
                <w:rFonts w:hint="eastAsia" w:ascii="宋体" w:hAnsi="宋体" w:eastAsia="方正仿宋_GBK" w:cs="方正仿宋_GBK"/>
                <w:kern w:val="2"/>
                <w:sz w:val="22"/>
                <w:szCs w:val="22"/>
                <w:lang w:val="en-US" w:eastAsia="zh-CN" w:bidi="ar"/>
              </w:rPr>
              <w:t>23</w:t>
            </w:r>
            <w:r>
              <w:rPr>
                <w:rFonts w:hint="eastAsia" w:ascii="宋体" w:hAnsi="宋体" w:eastAsia="方正仿宋_GBK" w:cs="方正仿宋_GBK"/>
                <w:kern w:val="2"/>
                <w:sz w:val="22"/>
                <w:szCs w:val="22"/>
                <w:lang w:val="zh-CN" w:eastAsia="zh-CN" w:bidi="ar"/>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拟废止</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12</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zh-CN" w:eastAsia="zh-CN" w:bidi="ar"/>
              </w:rPr>
              <w:t>潞西市城区市容和环境卫生管理办法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zh-CN" w:eastAsia="zh-CN" w:bidi="ar"/>
              </w:rPr>
              <w:t>潞西市政府第</w:t>
            </w:r>
            <w:r>
              <w:rPr>
                <w:rFonts w:hint="eastAsia" w:ascii="宋体" w:hAnsi="宋体" w:eastAsia="方正仿宋_GBK" w:cs="方正仿宋_GBK"/>
                <w:kern w:val="2"/>
                <w:sz w:val="22"/>
                <w:szCs w:val="22"/>
                <w:lang w:val="en-US" w:eastAsia="zh-CN" w:bidi="ar"/>
              </w:rPr>
              <w:t>24</w:t>
            </w:r>
            <w:r>
              <w:rPr>
                <w:rFonts w:hint="eastAsia" w:ascii="宋体" w:hAnsi="宋体" w:eastAsia="方正仿宋_GBK" w:cs="方正仿宋_GBK"/>
                <w:kern w:val="2"/>
                <w:sz w:val="22"/>
                <w:szCs w:val="22"/>
                <w:lang w:val="zh-CN" w:eastAsia="zh-CN" w:bidi="ar"/>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市综合执法局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拟修改</w:t>
            </w:r>
          </w:p>
        </w:tc>
      </w:tr>
      <w:tr>
        <w:tblPrEx>
          <w:tblCellMar>
            <w:top w:w="0" w:type="dxa"/>
            <w:left w:w="108" w:type="dxa"/>
            <w:bottom w:w="0" w:type="dxa"/>
            <w:right w:w="108" w:type="dxa"/>
          </w:tblCellMar>
        </w:tblPrEx>
        <w:trPr>
          <w:trHeight w:val="595" w:hRule="atLeast"/>
        </w:trPr>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firstLine="0" w:firstLineChars="0"/>
              <w:jc w:val="center"/>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kern w:val="2"/>
                <w:sz w:val="28"/>
                <w:szCs w:val="28"/>
                <w:lang w:val="zh-CN" w:eastAsia="zh-CN" w:bidi="ar"/>
              </w:rPr>
              <w:t>序号</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8"/>
                <w:szCs w:val="28"/>
                <w:lang w:val="zh-CN" w:eastAsia="zh-CN" w:bidi="ar"/>
              </w:rPr>
              <w:t>文件名称</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8"/>
                <w:szCs w:val="28"/>
                <w:lang w:val="zh-CN" w:eastAsia="zh-CN" w:bidi="ar"/>
              </w:rPr>
              <w:t>文号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8"/>
                <w:szCs w:val="28"/>
                <w:lang w:val="zh-CN" w:eastAsia="zh-CN" w:bidi="ar"/>
              </w:rPr>
              <w:t>清理单位</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8"/>
                <w:szCs w:val="28"/>
                <w:lang w:val="zh-CN" w:eastAsia="zh-CN" w:bidi="ar"/>
              </w:rPr>
              <w:t>备注</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13</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1"/>
                <w:szCs w:val="21"/>
                <w:lang w:val="zh-CN" w:eastAsia="zh-CN" w:bidi="ar"/>
              </w:rPr>
              <w:t>潞西市人民政府关于印发人民法院涉诉特殊困难群体执行救助金管理办法的通知</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tabs>
                <w:tab w:val="left" w:pos="7020"/>
              </w:tabs>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潞政发〔</w:t>
            </w:r>
            <w:r>
              <w:rPr>
                <w:rFonts w:hint="eastAsia" w:ascii="宋体" w:hAnsi="宋体" w:eastAsia="方正仿宋_GBK" w:cs="方正仿宋_GBK"/>
                <w:kern w:val="2"/>
                <w:sz w:val="22"/>
                <w:szCs w:val="22"/>
                <w:lang w:val="en-US" w:eastAsia="zh-CN" w:bidi="ar"/>
              </w:rPr>
              <w:t>2009</w:t>
            </w:r>
            <w:r>
              <w:rPr>
                <w:rFonts w:hint="eastAsia" w:ascii="宋体" w:hAnsi="宋体" w:eastAsia="方正仿宋_GBK" w:cs="方正仿宋_GBK"/>
                <w:kern w:val="2"/>
                <w:sz w:val="22"/>
                <w:szCs w:val="22"/>
                <w:lang w:val="zh-CN" w:eastAsia="zh-CN" w:bidi="ar"/>
              </w:rPr>
              <w:t>〕</w:t>
            </w:r>
            <w:r>
              <w:rPr>
                <w:rFonts w:hint="eastAsia" w:ascii="宋体" w:hAnsi="宋体" w:eastAsia="方正仿宋_GBK" w:cs="方正仿宋_GBK"/>
                <w:kern w:val="2"/>
                <w:sz w:val="22"/>
                <w:szCs w:val="22"/>
                <w:lang w:val="en-US" w:eastAsia="zh-CN" w:bidi="ar"/>
              </w:rPr>
              <w:t>266</w:t>
            </w:r>
            <w:r>
              <w:rPr>
                <w:rFonts w:hint="eastAsia" w:ascii="宋体" w:hAnsi="宋体" w:eastAsia="方正仿宋_GBK" w:cs="方正仿宋_GBK"/>
                <w:kern w:val="2"/>
                <w:sz w:val="22"/>
                <w:szCs w:val="22"/>
                <w:lang w:val="zh-CN" w:eastAsia="zh-CN" w:bidi="ar"/>
              </w:rPr>
              <w:t>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市法院</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14</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潞西市市级粮食储备管理办法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潞西市政府第</w:t>
            </w:r>
            <w:r>
              <w:rPr>
                <w:rFonts w:hint="eastAsia" w:ascii="宋体" w:hAnsi="宋体" w:eastAsia="方正仿宋_GBK" w:cs="方正仿宋_GBK"/>
                <w:kern w:val="2"/>
                <w:sz w:val="22"/>
                <w:szCs w:val="22"/>
                <w:lang w:val="en-US" w:eastAsia="zh-CN" w:bidi="ar"/>
              </w:rPr>
              <w:t>25</w:t>
            </w:r>
            <w:r>
              <w:rPr>
                <w:rFonts w:hint="eastAsia" w:ascii="宋体" w:hAnsi="宋体" w:eastAsia="方正仿宋_GBK" w:cs="方正仿宋_GBK"/>
                <w:kern w:val="2"/>
                <w:sz w:val="22"/>
                <w:szCs w:val="22"/>
                <w:lang w:val="zh-CN" w:eastAsia="zh-CN" w:bidi="ar"/>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市粮食局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15</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潞西市预拌商品混凝土管理办法（试行）</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潞西市政府第</w:t>
            </w:r>
            <w:r>
              <w:rPr>
                <w:rFonts w:hint="eastAsia" w:ascii="宋体" w:hAnsi="宋体" w:eastAsia="方正仿宋_GBK" w:cs="方正仿宋_GBK"/>
                <w:kern w:val="2"/>
                <w:sz w:val="22"/>
                <w:szCs w:val="22"/>
                <w:lang w:val="en-US" w:eastAsia="zh-CN" w:bidi="ar"/>
              </w:rPr>
              <w:t>26</w:t>
            </w:r>
            <w:r>
              <w:rPr>
                <w:rFonts w:hint="eastAsia" w:ascii="宋体" w:hAnsi="宋体" w:eastAsia="方正仿宋_GBK" w:cs="方正仿宋_GBK"/>
                <w:kern w:val="2"/>
                <w:sz w:val="22"/>
                <w:szCs w:val="22"/>
                <w:lang w:val="zh-CN" w:eastAsia="zh-CN" w:bidi="ar"/>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市综合执法局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拟修改</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16</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潞西市人民政府关于修改潞西市预拌商品混凝土管理办法（试行）的决定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潞西市政府第</w:t>
            </w:r>
            <w:r>
              <w:rPr>
                <w:rFonts w:hint="eastAsia" w:ascii="宋体" w:hAnsi="宋体" w:eastAsia="方正仿宋_GBK" w:cs="方正仿宋_GBK"/>
                <w:kern w:val="2"/>
                <w:sz w:val="22"/>
                <w:szCs w:val="22"/>
                <w:lang w:val="en-US" w:eastAsia="zh-CN" w:bidi="ar"/>
              </w:rPr>
              <w:t>27</w:t>
            </w:r>
            <w:r>
              <w:rPr>
                <w:rFonts w:hint="eastAsia" w:ascii="宋体" w:hAnsi="宋体" w:eastAsia="方正仿宋_GBK" w:cs="方正仿宋_GBK"/>
                <w:kern w:val="2"/>
                <w:sz w:val="22"/>
                <w:szCs w:val="22"/>
                <w:lang w:val="zh-CN" w:eastAsia="zh-CN" w:bidi="ar"/>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市综合执法局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拟修改</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17</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潞西市贯彻德宏州被征地农民基本养老保障实施细则（试行）的实施办法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潞西市政府第</w:t>
            </w:r>
            <w:r>
              <w:rPr>
                <w:rFonts w:hint="eastAsia" w:ascii="宋体" w:hAnsi="宋体" w:eastAsia="方正仿宋_GBK" w:cs="方正仿宋_GBK"/>
                <w:kern w:val="2"/>
                <w:sz w:val="22"/>
                <w:szCs w:val="22"/>
                <w:lang w:val="en-US" w:eastAsia="zh-CN" w:bidi="ar"/>
              </w:rPr>
              <w:t>30</w:t>
            </w:r>
            <w:r>
              <w:rPr>
                <w:rFonts w:hint="eastAsia" w:ascii="宋体" w:hAnsi="宋体" w:eastAsia="方正仿宋_GBK" w:cs="方正仿宋_GBK"/>
                <w:kern w:val="2"/>
                <w:sz w:val="22"/>
                <w:szCs w:val="22"/>
                <w:lang w:val="zh-CN" w:eastAsia="zh-CN" w:bidi="ar"/>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市人社局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18</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芒市爱国卫生工作管理规定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tabs>
                <w:tab w:val="left" w:pos="7020"/>
              </w:tabs>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芒市政府第31</w:t>
            </w:r>
          </w:p>
          <w:p>
            <w:pPr>
              <w:keepNext w:val="0"/>
              <w:keepLines w:val="0"/>
              <w:pageBreakBefore w:val="0"/>
              <w:widowControl w:val="0"/>
              <w:suppressLineNumbers w:val="0"/>
              <w:tabs>
                <w:tab w:val="left" w:pos="7020"/>
              </w:tabs>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en-US" w:eastAsia="zh-CN" w:bidi="ar"/>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市卫健局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拟修改</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19</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芒市人民政府关于废止部分规范性文件的决定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芒市政府第32号公告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20</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芒市人民政府关于修改部分规范性文件的决定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芒市政府第33号公告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21</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sz w:val="22"/>
                <w:szCs w:val="22"/>
                <w:lang w:val="zh-CN" w:eastAsia="zh-CN" w:bidi="ar"/>
              </w:rPr>
              <w:t>芒市专利奖励办法（试行）</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芒市政府第34号公告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市市场监督管理局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拟修改</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sz w:val="22"/>
                <w:szCs w:val="22"/>
                <w:lang w:val="en-US" w:eastAsia="zh-CN"/>
              </w:rPr>
            </w:pPr>
            <w:r>
              <w:rPr>
                <w:rFonts w:hint="eastAsia" w:ascii="宋体" w:hAnsi="宋体" w:eastAsia="方正仿宋_GBK" w:cs="方正仿宋_GBK"/>
                <w:b/>
                <w:sz w:val="22"/>
                <w:szCs w:val="22"/>
                <w:lang w:val="en-US" w:eastAsia="zh-CN"/>
              </w:rPr>
              <w:t>22</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芒市人民政府关于第五轮取消和调整行政审批项目的决定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芒市政府第36号公告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23</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芒市廉租房保障办法实施意见</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芒市政府第37号公告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市住建局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24</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芒市科学技术奖励办法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芒市政府第39号公告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拟废止</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25</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芒市人民政府关于取消和调整行政审批项目的决定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芒市政府第40号公告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26</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芒市人民政府关于取消和调整行政审批项目的决定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芒市政府第41号公告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27</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芒市人民政府关于公布承接下放的行政审批项目的决定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芒市政府第42号公告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28</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芒市人民政府关于废止部分规范性文件的决定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芒市政府第43号公告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tblCellMar>
            <w:top w:w="0" w:type="dxa"/>
            <w:left w:w="108" w:type="dxa"/>
            <w:bottom w:w="0" w:type="dxa"/>
            <w:right w:w="108" w:type="dxa"/>
          </w:tblCellMar>
        </w:tblPrEx>
        <w:trPr>
          <w:trHeight w:val="625" w:hRule="atLeast"/>
        </w:trPr>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firstLine="0" w:firstLineChars="0"/>
              <w:jc w:val="center"/>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kern w:val="2"/>
                <w:sz w:val="28"/>
                <w:szCs w:val="28"/>
                <w:lang w:val="zh-CN" w:eastAsia="zh-CN" w:bidi="ar"/>
              </w:rPr>
              <w:t>序号</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8"/>
                <w:szCs w:val="28"/>
                <w:lang w:val="zh-CN" w:eastAsia="zh-CN" w:bidi="ar"/>
              </w:rPr>
              <w:t>文件名称</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8"/>
                <w:szCs w:val="28"/>
                <w:lang w:val="zh-CN" w:eastAsia="zh-CN" w:bidi="ar"/>
              </w:rPr>
              <w:t>文号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8"/>
                <w:szCs w:val="28"/>
                <w:lang w:val="zh-CN" w:eastAsia="zh-CN" w:bidi="ar"/>
              </w:rPr>
              <w:t>清理单位</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8"/>
                <w:szCs w:val="28"/>
                <w:lang w:val="zh-CN" w:eastAsia="zh-CN" w:bidi="ar"/>
              </w:rPr>
              <w:t>备注</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29</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芒市环境噪声</w:t>
            </w:r>
            <w:bookmarkStart w:id="0" w:name="_GoBack"/>
            <w:bookmarkEnd w:id="0"/>
            <w:r>
              <w:rPr>
                <w:rFonts w:hint="eastAsia" w:ascii="宋体" w:hAnsi="宋体" w:eastAsia="方正仿宋_GBK" w:cs="方正仿宋_GBK"/>
                <w:kern w:val="2"/>
                <w:sz w:val="22"/>
                <w:szCs w:val="22"/>
                <w:lang w:val="en-US" w:eastAsia="zh-CN" w:bidi="ar"/>
              </w:rPr>
              <w:t>污染防治管理办法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芒市政府第44号公告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市环保局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30</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芒市城区河道管理办法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芒市政府第45号公告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市水利局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31</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zh-CN" w:eastAsia="zh-CN" w:bidi="ar"/>
              </w:rPr>
              <w:t>芒市城乡集市贸易市场管理办法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芒市政府第46号公告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拟废止</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32</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芒市市容环境卫生门前三包管理办法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芒市政府第47号公告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市卫健局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拟修改</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33</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芒市违法建筑处置办法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芒市政府第48号公告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市综合执法局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34</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芒市市政公用设施管理办法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芒市政府第49号公告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市住建局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35</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芒市户外广告和招牌设置管理办法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芒市政府第50号公告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市综合执法局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36</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芒市城镇土地使用税实施办法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芒市政府第51号公告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市税务局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37</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芒市经济适用住房管理实施办法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芒市政府第52号公告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市住建局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保留</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rPr>
            </w:pPr>
            <w:r>
              <w:rPr>
                <w:rFonts w:hint="eastAsia" w:ascii="宋体" w:hAnsi="宋体" w:eastAsia="方正仿宋_GBK" w:cs="方正仿宋_GBK"/>
                <w:b/>
                <w:kern w:val="2"/>
                <w:sz w:val="22"/>
                <w:szCs w:val="22"/>
                <w:lang w:val="en-US" w:eastAsia="zh-CN" w:bidi="ar"/>
              </w:rPr>
              <w:t>38</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德宏芒市机场净空与电磁环境保护管理办法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芒市政府第53号公告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芒市机场</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39</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textAlignment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i w:val="0"/>
                <w:color w:val="000000"/>
                <w:kern w:val="0"/>
                <w:sz w:val="22"/>
                <w:szCs w:val="22"/>
                <w:u w:val="none"/>
                <w:lang w:val="en-US" w:eastAsia="zh-CN" w:bidi="ar"/>
              </w:rPr>
              <w:t>关于废止部分规范性文件的决定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芒市政府第54号公告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40</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textAlignment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i w:val="0"/>
                <w:color w:val="000000"/>
                <w:kern w:val="0"/>
                <w:sz w:val="22"/>
                <w:szCs w:val="22"/>
                <w:u w:val="none"/>
                <w:lang w:val="en-US" w:eastAsia="zh-CN" w:bidi="ar"/>
              </w:rPr>
              <w:t>芒市网络预约出租汽车经营服务管理实施细则（试行）</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芒市政府第55号公告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市交通局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kern w:val="2"/>
                <w:sz w:val="22"/>
                <w:szCs w:val="22"/>
                <w:lang w:val="en-US" w:eastAsia="zh-CN" w:bidi="ar"/>
              </w:rPr>
            </w:pPr>
            <w:r>
              <w:rPr>
                <w:rFonts w:hint="eastAsia" w:ascii="宋体" w:hAnsi="宋体" w:eastAsia="方正仿宋_GBK" w:cs="方正仿宋_GBK"/>
                <w:b/>
                <w:kern w:val="2"/>
                <w:sz w:val="22"/>
                <w:szCs w:val="22"/>
                <w:lang w:val="en-US" w:eastAsia="zh-CN" w:bidi="ar"/>
              </w:rPr>
              <w:t>41</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textAlignment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i w:val="0"/>
                <w:color w:val="000000"/>
                <w:kern w:val="0"/>
                <w:sz w:val="22"/>
                <w:szCs w:val="22"/>
                <w:u w:val="none"/>
                <w:lang w:val="en-US" w:eastAsia="zh-CN" w:bidi="ar"/>
              </w:rPr>
              <w:t>芒市人民政府关于禁止燃放烟花爆竹的通告</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芒市政府第56号公告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市公安局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保留</w:t>
            </w:r>
          </w:p>
        </w:tc>
      </w:tr>
    </w:tbl>
    <w:p>
      <w:pPr>
        <w:keepNext w:val="0"/>
        <w:keepLines w:val="0"/>
        <w:widowControl w:val="0"/>
        <w:suppressLineNumbers w:val="0"/>
        <w:autoSpaceDE w:val="0"/>
        <w:autoSpaceDN w:val="0"/>
        <w:adjustRightInd w:val="0"/>
        <w:spacing w:before="0" w:beforeAutospacing="0" w:after="0" w:afterAutospacing="0" w:line="600" w:lineRule="exact"/>
        <w:ind w:left="0" w:right="0"/>
        <w:jc w:val="both"/>
        <w:rPr>
          <w:rFonts w:hint="eastAsia" w:ascii="宋体" w:hAnsi="宋体" w:eastAsia="方正仿宋_GBK" w:cs="方正仿宋_GBK"/>
          <w:sz w:val="32"/>
          <w:szCs w:val="32"/>
          <w:lang w:val="en-US"/>
        </w:rPr>
      </w:pPr>
      <w:r>
        <w:rPr>
          <w:rFonts w:hint="eastAsia" w:ascii="宋体" w:hAnsi="宋体" w:eastAsia="方正仿宋_GBK" w:cs="方正仿宋_GBK"/>
          <w:kern w:val="2"/>
          <w:sz w:val="21"/>
          <w:szCs w:val="21"/>
          <w:lang w:val="en-US" w:eastAsia="zh-CN" w:bidi="ar"/>
        </w:rPr>
        <w:t xml:space="preserve">                                    </w:t>
      </w:r>
      <w:r>
        <w:rPr>
          <w:rFonts w:hint="eastAsia" w:ascii="宋体" w:hAnsi="宋体" w:eastAsia="方正仿宋_GBK" w:cs="方正仿宋_GBK"/>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600" w:lineRule="exact"/>
        <w:ind w:left="0" w:right="0"/>
        <w:jc w:val="both"/>
        <w:rPr>
          <w:rFonts w:hint="eastAsia" w:ascii="宋体" w:hAnsi="宋体" w:eastAsia="方正仿宋_GBK" w:cs="方正仿宋_GBK"/>
          <w:sz w:val="32"/>
          <w:szCs w:val="32"/>
          <w:lang w:val="en-US"/>
        </w:rPr>
      </w:pPr>
    </w:p>
    <w:p>
      <w:pPr>
        <w:keepNext w:val="0"/>
        <w:keepLines w:val="0"/>
        <w:widowControl w:val="0"/>
        <w:suppressLineNumbers w:val="0"/>
        <w:autoSpaceDE w:val="0"/>
        <w:autoSpaceDN w:val="0"/>
        <w:adjustRightInd w:val="0"/>
        <w:spacing w:before="0" w:beforeAutospacing="0" w:after="0" w:afterAutospacing="0" w:line="600" w:lineRule="exact"/>
        <w:ind w:left="0" w:right="0"/>
        <w:jc w:val="both"/>
        <w:rPr>
          <w:rFonts w:hint="eastAsia" w:ascii="宋体" w:hAnsi="宋体" w:eastAsia="方正仿宋_GBK" w:cs="方正仿宋_GBK"/>
          <w:sz w:val="32"/>
          <w:szCs w:val="32"/>
          <w:lang w:val="en-US"/>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_GBK" w:hAnsi="方正小标宋_GBK" w:eastAsia="方正小标宋_GBK" w:cs="方正小标宋_GBK"/>
          <w:bCs/>
          <w:kern w:val="2"/>
          <w:sz w:val="44"/>
          <w:szCs w:val="44"/>
          <w:lang w:val="zh-CN" w:eastAsia="zh-CN" w:bidi="ar"/>
        </w:rPr>
      </w:pPr>
      <w:r>
        <w:rPr>
          <w:rFonts w:hint="eastAsia" w:ascii="方正小标宋_GBK" w:hAnsi="方正小标宋_GBK" w:eastAsia="方正小标宋_GBK" w:cs="方正小标宋_GBK"/>
          <w:bCs/>
          <w:kern w:val="2"/>
          <w:sz w:val="44"/>
          <w:szCs w:val="44"/>
          <w:lang w:val="zh-CN" w:eastAsia="zh-CN" w:bidi="ar"/>
        </w:rPr>
        <w:t>市政府部门规范性文件目录</w:t>
      </w: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Times New Roman" w:hAnsi="方正小标宋简体" w:eastAsia="方正小标宋简体" w:cs="方正小标宋简体"/>
          <w:bCs/>
          <w:kern w:val="2"/>
          <w:sz w:val="44"/>
          <w:szCs w:val="44"/>
          <w:lang w:val="zh-CN" w:eastAsia="zh-CN" w:bidi="ar"/>
        </w:rPr>
      </w:pP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方正仿宋_GBK" w:hAnsi="方正仿宋_GBK" w:eastAsia="方正仿宋_GBK" w:cs="方正仿宋_GBK"/>
          <w:bCs/>
          <w:kern w:val="2"/>
          <w:sz w:val="24"/>
          <w:szCs w:val="24"/>
          <w:lang w:val="zh-CN" w:eastAsia="zh-CN" w:bidi="ar"/>
        </w:rPr>
      </w:pPr>
      <w:r>
        <w:rPr>
          <w:rFonts w:hint="eastAsia" w:ascii="方正仿宋_GBK" w:hAnsi="方正仿宋_GBK" w:eastAsia="方正仿宋_GBK" w:cs="方正仿宋_GBK"/>
          <w:bCs/>
          <w:kern w:val="2"/>
          <w:sz w:val="24"/>
          <w:szCs w:val="24"/>
          <w:lang w:val="zh-CN" w:eastAsia="zh-CN" w:bidi="ar"/>
        </w:rPr>
        <w:t>截止日期</w:t>
      </w:r>
      <w:r>
        <w:rPr>
          <w:rFonts w:hint="eastAsia" w:ascii="宋体" w:hAnsi="宋体" w:eastAsia="宋体" w:cs="宋体"/>
          <w:bCs/>
          <w:kern w:val="2"/>
          <w:sz w:val="24"/>
          <w:szCs w:val="24"/>
          <w:lang w:val="zh-CN" w:eastAsia="zh-CN" w:bidi="ar"/>
        </w:rPr>
        <w:t>：</w:t>
      </w:r>
      <w:r>
        <w:rPr>
          <w:rFonts w:hint="eastAsia" w:ascii="方正仿宋_GBK" w:hAnsi="方正仿宋_GBK" w:eastAsia="方正仿宋_GBK" w:cs="方正仿宋_GBK"/>
          <w:bCs/>
          <w:kern w:val="2"/>
          <w:sz w:val="24"/>
          <w:szCs w:val="24"/>
          <w:lang w:val="zh-CN" w:eastAsia="zh-CN" w:bidi="ar"/>
        </w:rPr>
        <w:t>2019年8月27日</w:t>
      </w:r>
      <w:r>
        <w:rPr>
          <w:rFonts w:hint="eastAsia" w:ascii="方正仿宋_GBK" w:hAnsi="方正仿宋_GBK" w:eastAsia="方正仿宋_GBK" w:cs="方正仿宋_GBK"/>
          <w:bCs/>
          <w:kern w:val="2"/>
          <w:sz w:val="24"/>
          <w:szCs w:val="24"/>
          <w:lang w:val="en-US" w:eastAsia="zh-CN" w:bidi="ar"/>
        </w:rPr>
        <w:t xml:space="preserve">                                       总件数</w:t>
      </w:r>
      <w:r>
        <w:rPr>
          <w:rFonts w:hint="eastAsia" w:ascii="宋体" w:hAnsi="宋体" w:eastAsia="宋体" w:cs="宋体"/>
          <w:bCs/>
          <w:kern w:val="2"/>
          <w:sz w:val="24"/>
          <w:szCs w:val="24"/>
          <w:lang w:val="en-US" w:eastAsia="zh-CN" w:bidi="ar"/>
        </w:rPr>
        <w:t>：</w:t>
      </w:r>
      <w:r>
        <w:rPr>
          <w:rFonts w:hint="eastAsia" w:ascii="方正仿宋_GBK" w:hAnsi="方正仿宋_GBK" w:eastAsia="方正仿宋_GBK" w:cs="方正仿宋_GBK"/>
          <w:bCs/>
          <w:kern w:val="2"/>
          <w:sz w:val="24"/>
          <w:szCs w:val="24"/>
          <w:lang w:val="en-US" w:eastAsia="zh-CN" w:bidi="ar"/>
        </w:rPr>
        <w:t>3件</w:t>
      </w:r>
    </w:p>
    <w:tbl>
      <w:tblPr>
        <w:tblStyle w:val="4"/>
        <w:tblW w:w="10260" w:type="dxa"/>
        <w:tblInd w:w="-432" w:type="dxa"/>
        <w:shd w:val="clear" w:color="auto" w:fill="auto"/>
        <w:tblLayout w:type="fixed"/>
        <w:tblCellMar>
          <w:top w:w="0" w:type="dxa"/>
          <w:left w:w="108" w:type="dxa"/>
          <w:bottom w:w="0" w:type="dxa"/>
          <w:right w:w="108" w:type="dxa"/>
        </w:tblCellMar>
      </w:tblPr>
      <w:tblGrid>
        <w:gridCol w:w="900"/>
        <w:gridCol w:w="4140"/>
        <w:gridCol w:w="1800"/>
        <w:gridCol w:w="2160"/>
        <w:gridCol w:w="1260"/>
      </w:tblGrid>
      <w:tr>
        <w:tblPrEx>
          <w:shd w:val="clear" w:color="auto" w:fill="auto"/>
          <w:tblCellMar>
            <w:top w:w="0" w:type="dxa"/>
            <w:left w:w="108" w:type="dxa"/>
            <w:bottom w:w="0" w:type="dxa"/>
            <w:right w:w="108" w:type="dxa"/>
          </w:tblCellMar>
        </w:tblPrEx>
        <w:trPr>
          <w:trHeight w:val="610" w:hRule="atLeast"/>
        </w:trPr>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方正黑体_GBK" w:hAnsi="方正黑体_GBK" w:eastAsia="方正黑体_GBK" w:cs="方正黑体_GBK"/>
                <w:sz w:val="28"/>
                <w:szCs w:val="28"/>
                <w:lang w:val="en-US"/>
              </w:rPr>
            </w:pPr>
            <w:r>
              <w:rPr>
                <w:rFonts w:hint="eastAsia" w:ascii="方正黑体_GBK" w:hAnsi="方正黑体_GBK" w:eastAsia="方正黑体_GBK" w:cs="方正黑体_GBK"/>
                <w:kern w:val="2"/>
                <w:sz w:val="28"/>
                <w:szCs w:val="28"/>
                <w:lang w:val="zh-CN" w:eastAsia="zh-CN" w:bidi="ar"/>
              </w:rPr>
              <w:t>序号</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方正黑体_GBK" w:hAnsi="方正黑体_GBK" w:eastAsia="方正黑体_GBK" w:cs="方正黑体_GBK"/>
                <w:sz w:val="28"/>
                <w:szCs w:val="28"/>
                <w:lang w:val="en-US"/>
              </w:rPr>
            </w:pPr>
            <w:r>
              <w:rPr>
                <w:rFonts w:hint="eastAsia" w:ascii="方正黑体_GBK" w:hAnsi="方正黑体_GBK" w:eastAsia="方正黑体_GBK" w:cs="方正黑体_GBK"/>
                <w:kern w:val="2"/>
                <w:sz w:val="28"/>
                <w:szCs w:val="28"/>
                <w:lang w:val="zh-CN" w:eastAsia="zh-CN" w:bidi="ar"/>
              </w:rPr>
              <w:t>文件名称</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方正黑体_GBK" w:hAnsi="方正黑体_GBK" w:eastAsia="方正黑体_GBK" w:cs="方正黑体_GBK"/>
                <w:sz w:val="28"/>
                <w:szCs w:val="28"/>
                <w:lang w:val="en-US"/>
              </w:rPr>
            </w:pPr>
            <w:r>
              <w:rPr>
                <w:rFonts w:hint="eastAsia" w:ascii="方正黑体_GBK" w:hAnsi="方正黑体_GBK" w:eastAsia="方正黑体_GBK" w:cs="方正黑体_GBK"/>
                <w:kern w:val="2"/>
                <w:sz w:val="28"/>
                <w:szCs w:val="28"/>
                <w:lang w:val="zh-CN" w:eastAsia="zh-CN" w:bidi="ar"/>
              </w:rPr>
              <w:t>文号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方正黑体_GBK" w:hAnsi="方正黑体_GBK" w:eastAsia="方正黑体_GBK" w:cs="方正黑体_GBK"/>
                <w:sz w:val="28"/>
                <w:szCs w:val="28"/>
                <w:lang w:val="en-US"/>
              </w:rPr>
            </w:pPr>
            <w:r>
              <w:rPr>
                <w:rFonts w:hint="eastAsia" w:ascii="方正黑体_GBK" w:hAnsi="方正黑体_GBK" w:eastAsia="方正黑体_GBK" w:cs="方正黑体_GBK"/>
                <w:kern w:val="2"/>
                <w:sz w:val="28"/>
                <w:szCs w:val="28"/>
                <w:lang w:val="zh-CN" w:eastAsia="zh-CN" w:bidi="ar"/>
              </w:rPr>
              <w:t>清理单位</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方正黑体_GBK" w:hAnsi="方正黑体_GBK" w:eastAsia="方正黑体_GBK" w:cs="方正黑体_GBK"/>
                <w:sz w:val="28"/>
                <w:szCs w:val="28"/>
                <w:lang w:val="en-US"/>
              </w:rPr>
            </w:pPr>
            <w:r>
              <w:rPr>
                <w:rFonts w:hint="eastAsia" w:ascii="方正黑体_GBK" w:hAnsi="方正黑体_GBK" w:eastAsia="方正黑体_GBK" w:cs="方正黑体_GBK"/>
                <w:kern w:val="2"/>
                <w:sz w:val="28"/>
                <w:szCs w:val="28"/>
                <w:lang w:val="zh-CN" w:eastAsia="zh-CN" w:bidi="ar"/>
              </w:rPr>
              <w:t>备注</w:t>
            </w: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1</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芒市城乡居民养老保险待遇领取人员管理办法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芒人社〔2014〕162号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市人社局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en-US" w:eastAsia="zh-CN" w:bidi="ar"/>
              </w:rPr>
            </w:pPr>
            <w:r>
              <w:rPr>
                <w:rFonts w:hint="eastAsia" w:ascii="宋体" w:hAnsi="宋体" w:eastAsia="方正仿宋_GBK" w:cs="方正仿宋_GBK"/>
                <w:kern w:val="2"/>
                <w:sz w:val="22"/>
                <w:szCs w:val="22"/>
                <w:lang w:val="en-US" w:eastAsia="zh-CN" w:bidi="ar"/>
              </w:rPr>
              <w:t>2</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关于印发芒市村级人社金融协办员管理办法的通知</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芒人社〔20164〕40号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r>
              <w:rPr>
                <w:rFonts w:hint="eastAsia" w:ascii="宋体" w:hAnsi="宋体" w:eastAsia="方正仿宋_GBK" w:cs="方正仿宋_GBK"/>
                <w:kern w:val="2"/>
                <w:sz w:val="22"/>
                <w:szCs w:val="22"/>
                <w:lang w:val="zh-CN" w:eastAsia="zh-CN" w:bidi="ar"/>
              </w:rPr>
              <w:t>市人社局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kern w:val="2"/>
                <w:sz w:val="22"/>
                <w:szCs w:val="22"/>
                <w:lang w:val="zh-CN" w:eastAsia="zh-CN" w:bidi="ar"/>
              </w:rPr>
            </w:pPr>
          </w:p>
        </w:tc>
      </w:tr>
      <w:tr>
        <w:tblPrEx>
          <w:shd w:val="clear" w:color="auto" w:fill="auto"/>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b/>
                <w:sz w:val="22"/>
                <w:szCs w:val="22"/>
                <w:lang w:val="en-US" w:eastAsia="zh-CN"/>
              </w:rPr>
            </w:pPr>
            <w:r>
              <w:rPr>
                <w:rFonts w:hint="eastAsia" w:ascii="宋体" w:hAnsi="宋体" w:eastAsia="方正仿宋_GBK" w:cs="方正仿宋_GBK"/>
                <w:b/>
                <w:sz w:val="22"/>
                <w:szCs w:val="22"/>
                <w:lang w:val="en-US" w:eastAsia="zh-CN"/>
              </w:rPr>
              <w:t>3</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both"/>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芒市地方税务局关于调整芒市房产税申报纳税及缴款期限的规定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r>
              <w:rPr>
                <w:rFonts w:hint="eastAsia" w:ascii="宋体" w:hAnsi="宋体" w:eastAsia="方正仿宋_GBK" w:cs="方正仿宋_GBK"/>
                <w:kern w:val="2"/>
                <w:sz w:val="22"/>
                <w:szCs w:val="22"/>
                <w:lang w:val="en-US" w:eastAsia="zh-CN" w:bidi="ar"/>
              </w:rPr>
              <w:t>市地税局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80" w:lineRule="exact"/>
              <w:ind w:left="0" w:leftChars="0" w:right="0" w:rightChars="0" w:firstLine="0" w:firstLineChars="0"/>
              <w:jc w:val="center"/>
              <w:outlineLvl w:val="9"/>
              <w:rPr>
                <w:rFonts w:hint="eastAsia" w:ascii="宋体" w:hAnsi="宋体" w:eastAsia="方正仿宋_GBK" w:cs="方正仿宋_GBK"/>
                <w:sz w:val="22"/>
                <w:szCs w:val="22"/>
                <w:lang w:val="en-US"/>
              </w:rPr>
            </w:pPr>
          </w:p>
        </w:tc>
      </w:tr>
    </w:tbl>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Times New Roman" w:hAnsi="方正小标宋简体" w:eastAsia="方正小标宋简体" w:cs="方正小标宋简体"/>
          <w:bCs/>
          <w:kern w:val="2"/>
          <w:sz w:val="44"/>
          <w:szCs w:val="44"/>
          <w:lang w:val="en-US" w:eastAsia="zh-CN" w:bidi="ar"/>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方正黑体_GBK" w:hAnsi="方正黑体_GBK" w:eastAsia="方正黑体_GBK" w:cs="方正黑体_GBK"/>
          <w:b w:val="0"/>
          <w:bCs w:val="0"/>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附件</w:t>
      </w:r>
      <w:r>
        <w:rPr>
          <w:rFonts w:hint="eastAsia" w:ascii="方正黑体_GBK" w:hAnsi="方正黑体_GBK" w:eastAsia="方正黑体_GBK" w:cs="方正黑体_GBK"/>
          <w:b w:val="0"/>
          <w:bCs w:val="0"/>
          <w:color w:val="000000" w:themeColor="text1"/>
          <w:kern w:val="0"/>
          <w:sz w:val="32"/>
          <w:szCs w:val="32"/>
          <w:lang w:val="en-US" w:eastAsia="zh-CN"/>
          <w14:textFill>
            <w14:solidFill>
              <w14:schemeClr w14:val="tx1"/>
            </w14:solidFill>
          </w14:textFill>
        </w:rPr>
        <w:t>3</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44"/>
          <w:szCs w:val="44"/>
          <w14:textFill>
            <w14:solidFill>
              <w14:schemeClr w14:val="tx1"/>
            </w14:solidFill>
          </w14:textFill>
        </w:rPr>
        <w:t>中共中央　国务院关于完善产权保护制度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仿宋_GBK" w:cs="方正仿宋_GBK"/>
          <w:b w:val="0"/>
          <w:bCs w:val="0"/>
          <w:color w:val="000000" w:themeColor="text1"/>
          <w:kern w:val="0"/>
          <w:sz w:val="32"/>
          <w:szCs w:val="32"/>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44"/>
          <w:szCs w:val="44"/>
          <w14:textFill>
            <w14:solidFill>
              <w14:schemeClr w14:val="tx1"/>
            </w14:solidFill>
          </w14:textFill>
        </w:rPr>
        <w:t>依法保护产权的意见</w:t>
      </w:r>
      <w:r>
        <w:rPr>
          <w:rFonts w:hint="eastAsia" w:ascii="方正小标宋_GBK" w:hAnsi="方正小标宋_GBK" w:eastAsia="方正小标宋_GBK" w:cs="方正小标宋_GBK"/>
          <w:b w:val="0"/>
          <w:bCs w:val="0"/>
          <w:color w:val="000000" w:themeColor="text1"/>
          <w:kern w:val="0"/>
          <w:sz w:val="44"/>
          <w:szCs w:val="44"/>
          <w14:textFill>
            <w14:solidFill>
              <w14:schemeClr w14:val="tx1"/>
            </w14:solidFill>
          </w14:textFill>
        </w:rPr>
        <w:br w:type="textWrapping"/>
      </w:r>
      <w:r>
        <w:rPr>
          <w:rFonts w:hint="eastAsia" w:ascii="宋体" w:hAnsi="宋体" w:eastAsia="方正仿宋_GBK" w:cs="方正仿宋_GBK"/>
          <w:b w:val="0"/>
          <w:bCs w:val="0"/>
          <w:color w:val="000000" w:themeColor="text1"/>
          <w:kern w:val="0"/>
          <w:sz w:val="32"/>
          <w:szCs w:val="32"/>
          <w14:textFill>
            <w14:solidFill>
              <w14:schemeClr w14:val="tx1"/>
            </w14:solidFill>
          </w14:textFill>
        </w:rPr>
        <w:t>（2016年11月4日）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产权制度是社会主义市场经济的基石</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保护产权是坚持社会主义基本经济制度的必然要求</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有恒产者有恒心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经济主体财产权的有效保障和实现是经济社会持续健康发展的基础</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改革开放以来</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通过大力推进产权制度改革</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我国基本形成了归属清晰</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权责明确</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保护严格</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流转顺畅的现代产权制度和产权保护法律框架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全社会产权保护意识不断增强</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保护力度不断加大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同时也要看到</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我国产权保护仍然存在一些薄弱环节和问题</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国有产权由于所有者和代理人关系不够清晰</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存在内部人控制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关联交易等导致国有资产流失的问题</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利用公权力侵害私有产权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违法查封扣押冻结民营企业财产等现象时有发生</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知识产权保护不力</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侵权易发多发</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解决这些问题</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必须加快完善产权保护制度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依法有效保护各种所有制经济组织和公民财产权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增强人民群众财产财富安全感</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增强社会信心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形成良好预期</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增强各类经济主体创业创新动力</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维护社会公平正义</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保持经济社会持续健康发展和国家长治久安</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现就完善产权保护制度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依法保护产权提出以下意见</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黑体_GBK" w:cs="方正黑体_GBK"/>
          <w:color w:val="000000" w:themeColor="text1"/>
          <w:kern w:val="0"/>
          <w:sz w:val="32"/>
          <w:szCs w:val="32"/>
          <w14:textFill>
            <w14:solidFill>
              <w14:schemeClr w14:val="tx1"/>
            </w14:solidFill>
          </w14:textFill>
        </w:rPr>
      </w:pPr>
      <w:r>
        <w:rPr>
          <w:rFonts w:hint="eastAsia" w:ascii="宋体" w:hAnsi="宋体" w:eastAsia="方正黑体_GBK" w:cs="方正黑体_GBK"/>
          <w:b/>
          <w:bCs/>
          <w:color w:val="000000" w:themeColor="text1"/>
          <w:kern w:val="0"/>
          <w:sz w:val="32"/>
          <w:szCs w:val="32"/>
          <w14:textFill>
            <w14:solidFill>
              <w14:schemeClr w14:val="tx1"/>
            </w14:solidFill>
          </w14:textFill>
        </w:rPr>
        <w:t>一</w:t>
      </w:r>
      <w:r>
        <w:rPr>
          <w:rFonts w:hint="eastAsia" w:ascii="宋体" w:hAnsi="宋体" w:eastAsia="宋体" w:cs="宋体"/>
          <w:b/>
          <w:bCs/>
          <w:color w:val="000000" w:themeColor="text1"/>
          <w:kern w:val="0"/>
          <w:sz w:val="32"/>
          <w:szCs w:val="32"/>
          <w14:textFill>
            <w14:solidFill>
              <w14:schemeClr w14:val="tx1"/>
            </w14:solidFill>
          </w14:textFill>
        </w:rPr>
        <w:t>、</w:t>
      </w:r>
      <w:r>
        <w:rPr>
          <w:rFonts w:hint="eastAsia" w:ascii="宋体" w:hAnsi="宋体" w:eastAsia="方正黑体_GBK" w:cs="方正黑体_GBK"/>
          <w:b/>
          <w:bCs/>
          <w:color w:val="000000" w:themeColor="text1"/>
          <w:kern w:val="0"/>
          <w:sz w:val="32"/>
          <w:szCs w:val="32"/>
          <w14:textFill>
            <w14:solidFill>
              <w14:schemeClr w14:val="tx1"/>
            </w14:solidFill>
          </w14:textFill>
        </w:rPr>
        <w:t>总体要求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加强产权保护</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根本之策是全面推进依法治国</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要全面贯彻党的十八大和十八届三中</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四中</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五中</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六中全会精神</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深入学习贯彻习近平总书记系列重要讲话精神</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按照党中央</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国务院决策部署</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紧紧围绕统筹推进</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五位一体</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总体布局和协调推进</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四个全面</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战略布局</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牢固树立和贯彻落实新发展理念</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着力推进供给侧结构性改革</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进一步完善现代产权制度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推进产权保护法治化</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在事关产权保护的立法</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执法</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司法</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守法等各方面各环节体现法治理念</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要坚持以下原则</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——坚持平等保护</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健全以公平为核心原则的产权保护制度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毫不动摇巩固和发展公有制经济</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毫不动摇鼓励</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支持</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引导非公有制经济发展</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公有制经济财产权不可侵犯</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非公有制经济财产权同样不可侵犯</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——坚持全面保护</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保护产权不仅包括保护物权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债权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股权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也包括保护知识产权及其他各种无形财产权</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——坚持依法保护</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不断完善社会主义市场经济法律制度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强化法律实施</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确保有法可依</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有法必依</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——坚持共同参与</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做到政府诚信和公众参与相结合</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建设法治政府</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责任政府</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诚信政府</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增强公民产权保护观念和契约意识</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强化社会监督</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——坚持标本兼治</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着眼长远</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着力当下</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抓紧解决产权保护方面存在的突出问题</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提高产权保护精准度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加快建立产权保护长效机制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激发各类经济主体的活力和创造力</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 w:cs="宋体"/>
          <w:color w:val="000000" w:themeColor="text1"/>
          <w:kern w:val="0"/>
          <w:sz w:val="32"/>
          <w:szCs w:val="32"/>
          <w14:textFill>
            <w14:solidFill>
              <w14:schemeClr w14:val="tx1"/>
            </w14:solidFill>
          </w14:textFill>
        </w:rPr>
      </w:pPr>
      <w:r>
        <w:rPr>
          <w:rFonts w:hint="eastAsia" w:ascii="宋体" w:hAnsi="宋体" w:eastAsia="方正黑体_GBK" w:cs="方正黑体_GBK"/>
          <w:b w:val="0"/>
          <w:bCs w:val="0"/>
          <w:color w:val="000000" w:themeColor="text1"/>
          <w:kern w:val="0"/>
          <w:sz w:val="32"/>
          <w:szCs w:val="32"/>
          <w14:textFill>
            <w14:solidFill>
              <w14:schemeClr w14:val="tx1"/>
            </w14:solidFill>
          </w14:textFill>
        </w:rPr>
        <w:t>二</w:t>
      </w:r>
      <w:r>
        <w:rPr>
          <w:rFonts w:hint="eastAsia" w:ascii="宋体" w:hAnsi="宋体" w:eastAsia="宋体" w:cs="宋体"/>
          <w:b w:val="0"/>
          <w:bCs w:val="0"/>
          <w:color w:val="000000" w:themeColor="text1"/>
          <w:kern w:val="0"/>
          <w:sz w:val="32"/>
          <w:szCs w:val="32"/>
          <w14:textFill>
            <w14:solidFill>
              <w14:schemeClr w14:val="tx1"/>
            </w14:solidFill>
          </w14:textFill>
        </w:rPr>
        <w:t>、</w:t>
      </w:r>
      <w:r>
        <w:rPr>
          <w:rFonts w:hint="eastAsia" w:ascii="宋体" w:hAnsi="宋体" w:eastAsia="方正黑体_GBK" w:cs="方正黑体_GBK"/>
          <w:b w:val="0"/>
          <w:bCs w:val="0"/>
          <w:color w:val="000000" w:themeColor="text1"/>
          <w:kern w:val="0"/>
          <w:sz w:val="32"/>
          <w:szCs w:val="32"/>
          <w14:textFill>
            <w14:solidFill>
              <w14:schemeClr w14:val="tx1"/>
            </w14:solidFill>
          </w14:textFill>
        </w:rPr>
        <w:t>加强各种所有制经济产权保护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深化国有企业和国有资产监督管理体制改革</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进一步明晰国有产权所有者和代理人关系</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推动实现国有企业股权多元化和公司治理现代化</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健全涉及财务</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采购</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营销</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投资等方面的内部监督制度和内控机制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强化董事会规范运作和对经理层的监督</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完善国有资产交易方式</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严格规范国有资产登记</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转让</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清算</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退出等程序和交易行为</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以制度化保障促进国有产权保护</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防止内部人任意支配国有资产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切实防止国有资产流失</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建立健全归属清晰</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权责明确</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监管有效的自然资源资产产权制度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完善自然资源有偿使用制度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逐步实现各类市场主体按照市场规则和市场价格依法平等使用土地等自然资源</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完善农村集体产权确权和保护制度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分类建立健全集体资产清产核资</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登记</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保管</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使用</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处置制度和财务管理监督制度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规范农村产权流转交易</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切实防止集体经济组织内部少数人侵占</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非法处置集体资产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防止外部资本侵吞</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非法控制集体资产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坚持权利平等</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机会平等</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规则平等</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废除对非公有制经济各种形式的不合理规定</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消除各种隐性壁垒</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保证各种所有制经济依法平等使用生产要素</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公开公平公正参与市场竞争</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同等受到法律保护</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共同履行社会责任</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黑体_GBK" w:cs="方正黑体_GBK"/>
          <w:color w:val="000000" w:themeColor="text1"/>
          <w:kern w:val="0"/>
          <w:sz w:val="32"/>
          <w:szCs w:val="32"/>
          <w14:textFill>
            <w14:solidFill>
              <w14:schemeClr w14:val="tx1"/>
            </w14:solidFill>
          </w14:textFill>
        </w:rPr>
      </w:pPr>
      <w:r>
        <w:rPr>
          <w:rFonts w:hint="eastAsia" w:ascii="宋体" w:hAnsi="宋体" w:eastAsia="方正黑体_GBK" w:cs="方正黑体_GBK"/>
          <w:b/>
          <w:bCs/>
          <w:color w:val="000000" w:themeColor="text1"/>
          <w:kern w:val="0"/>
          <w:sz w:val="32"/>
          <w:szCs w:val="32"/>
          <w14:textFill>
            <w14:solidFill>
              <w14:schemeClr w14:val="tx1"/>
            </w14:solidFill>
          </w14:textFill>
        </w:rPr>
        <w:t>三</w:t>
      </w:r>
      <w:r>
        <w:rPr>
          <w:rFonts w:hint="eastAsia" w:ascii="宋体" w:hAnsi="宋体" w:eastAsia="宋体" w:cs="宋体"/>
          <w:b/>
          <w:bCs/>
          <w:color w:val="000000" w:themeColor="text1"/>
          <w:kern w:val="0"/>
          <w:sz w:val="32"/>
          <w:szCs w:val="32"/>
          <w14:textFill>
            <w14:solidFill>
              <w14:schemeClr w14:val="tx1"/>
            </w14:solidFill>
          </w14:textFill>
        </w:rPr>
        <w:t>、</w:t>
      </w:r>
      <w:r>
        <w:rPr>
          <w:rFonts w:hint="eastAsia" w:ascii="宋体" w:hAnsi="宋体" w:eastAsia="方正黑体_GBK" w:cs="方正黑体_GBK"/>
          <w:b/>
          <w:bCs/>
          <w:color w:val="000000" w:themeColor="text1"/>
          <w:kern w:val="0"/>
          <w:sz w:val="32"/>
          <w:szCs w:val="32"/>
          <w14:textFill>
            <w14:solidFill>
              <w14:schemeClr w14:val="tx1"/>
            </w14:solidFill>
          </w14:textFill>
        </w:rPr>
        <w:t>完善平等保护产权的法律制度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加快推进民法典编纂工作</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完善物权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合同</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知识产权相关法律制度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清理有违公平的法律法规条款</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将平等保护作为规范财产关系的基本原则</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健全以企业组织形式和出资人承担责任方式为主的市场主体法律制度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统筹研究清理</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废止按照所有制不同类型制定的市场主体法律和行政法规</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开展部门规章和规范性文件专项清理</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平等保护各类市场主体</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加大对非公有财产的刑法保护力度</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黑体_GBK" w:cs="方正黑体_GBK"/>
          <w:color w:val="000000" w:themeColor="text1"/>
          <w:kern w:val="0"/>
          <w:sz w:val="32"/>
          <w:szCs w:val="32"/>
          <w14:textFill>
            <w14:solidFill>
              <w14:schemeClr w14:val="tx1"/>
            </w14:solidFill>
          </w14:textFill>
        </w:rPr>
      </w:pPr>
      <w:r>
        <w:rPr>
          <w:rFonts w:hint="eastAsia" w:ascii="宋体" w:hAnsi="宋体" w:eastAsia="方正黑体_GBK" w:cs="方正黑体_GBK"/>
          <w:b/>
          <w:bCs/>
          <w:color w:val="000000" w:themeColor="text1"/>
          <w:kern w:val="0"/>
          <w:sz w:val="32"/>
          <w:szCs w:val="32"/>
          <w14:textFill>
            <w14:solidFill>
              <w14:schemeClr w14:val="tx1"/>
            </w14:solidFill>
          </w14:textFill>
        </w:rPr>
        <w:t>四</w:t>
      </w:r>
      <w:r>
        <w:rPr>
          <w:rFonts w:hint="eastAsia" w:ascii="宋体" w:hAnsi="宋体" w:eastAsia="宋体" w:cs="宋体"/>
          <w:b/>
          <w:bCs/>
          <w:color w:val="000000" w:themeColor="text1"/>
          <w:kern w:val="0"/>
          <w:sz w:val="32"/>
          <w:szCs w:val="32"/>
          <w14:textFill>
            <w14:solidFill>
              <w14:schemeClr w14:val="tx1"/>
            </w14:solidFill>
          </w14:textFill>
        </w:rPr>
        <w:t>、</w:t>
      </w:r>
      <w:r>
        <w:rPr>
          <w:rFonts w:hint="eastAsia" w:ascii="宋体" w:hAnsi="宋体" w:eastAsia="方正黑体_GBK" w:cs="方正黑体_GBK"/>
          <w:b/>
          <w:bCs/>
          <w:color w:val="000000" w:themeColor="text1"/>
          <w:kern w:val="0"/>
          <w:sz w:val="32"/>
          <w:szCs w:val="32"/>
          <w14:textFill>
            <w14:solidFill>
              <w14:schemeClr w14:val="tx1"/>
            </w14:solidFill>
          </w14:textFill>
        </w:rPr>
        <w:t>妥善处理历史形成的产权案件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坚持有错必纠</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抓紧甄别纠正一批社会反映强烈的产权纠纷申诉案件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剖析一批侵害产权的案例</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对涉及重大财产处置的产权纠纷申诉案件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民营企业和投资人违法申诉案件依法甄别</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确属事实不清</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证据不足</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适用法律错误的错案冤案</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要依法予以纠正并赔偿当事人的损失</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完善办案质量终身负责制和错案责任倒查问责制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从源头上有效预防错案冤案的发生</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严格遵循法不溯及既往</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罪刑法定</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在新旧法之间从旧兼从轻等原则</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以发展眼光客观看待和依法妥善处理改革开放以来各类企业特别是民营企业经营过程中存在的不规范问题</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 w:cs="宋体"/>
          <w:color w:val="000000" w:themeColor="text1"/>
          <w:kern w:val="0"/>
          <w:sz w:val="32"/>
          <w:szCs w:val="32"/>
          <w14:textFill>
            <w14:solidFill>
              <w14:schemeClr w14:val="tx1"/>
            </w14:solidFill>
          </w14:textFill>
        </w:rPr>
      </w:pPr>
      <w:r>
        <w:rPr>
          <w:rFonts w:hint="eastAsia" w:ascii="宋体" w:hAnsi="宋体" w:eastAsia="方正黑体_GBK" w:cs="方正黑体_GBK"/>
          <w:b w:val="0"/>
          <w:bCs w:val="0"/>
          <w:color w:val="000000" w:themeColor="text1"/>
          <w:kern w:val="0"/>
          <w:sz w:val="32"/>
          <w:szCs w:val="32"/>
          <w14:textFill>
            <w14:solidFill>
              <w14:schemeClr w14:val="tx1"/>
            </w14:solidFill>
          </w14:textFill>
        </w:rPr>
        <w:t>五</w:t>
      </w:r>
      <w:r>
        <w:rPr>
          <w:rFonts w:hint="eastAsia" w:ascii="宋体" w:hAnsi="宋体" w:eastAsia="宋体" w:cs="宋体"/>
          <w:b w:val="0"/>
          <w:bCs w:val="0"/>
          <w:color w:val="000000" w:themeColor="text1"/>
          <w:kern w:val="0"/>
          <w:sz w:val="32"/>
          <w:szCs w:val="32"/>
          <w14:textFill>
            <w14:solidFill>
              <w14:schemeClr w14:val="tx1"/>
            </w14:solidFill>
          </w14:textFill>
        </w:rPr>
        <w:t>、</w:t>
      </w:r>
      <w:r>
        <w:rPr>
          <w:rFonts w:hint="eastAsia" w:ascii="宋体" w:hAnsi="宋体" w:eastAsia="方正黑体_GBK" w:cs="方正黑体_GBK"/>
          <w:b w:val="0"/>
          <w:bCs w:val="0"/>
          <w:color w:val="000000" w:themeColor="text1"/>
          <w:kern w:val="0"/>
          <w:sz w:val="32"/>
          <w:szCs w:val="32"/>
          <w14:textFill>
            <w14:solidFill>
              <w14:schemeClr w14:val="tx1"/>
            </w14:solidFill>
          </w14:textFill>
        </w:rPr>
        <w:t>严格规范涉案财产处置的法律程序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进一步细化涉嫌违法的企业和人员财产处置规则</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依法慎重决定是否采取相关强制措施</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确需采取查封</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扣押</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冻结等措施的</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要严格按照法定程序进行</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除依法需责令关闭企业的情形外</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在条件允许情况下可以为企业预留必要的流动资金和往来账户</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最大限度降低对企业正常生产经营活动的不利影响</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采取查封</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扣押</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冻结措施和处置涉案财物时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要依法严格区分个人财产和企业法人财产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对股东</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企业经营管理者等自然人违法</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在处置其个人财产时不任意牵连企业法人财产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对企业违法</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在处置企业法人财产时不任意牵连股东</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企业经营管理者个人合法财产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严格区分违法所得和合法财产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区分涉案人员个人财产和家庭成员财产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在处置违法所得时不牵连合法财产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完善涉案财物保管</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鉴定</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估价</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拍卖</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变卖制度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做到公开公正和规范高效</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充分尊重和依法保护当事人及其近亲属</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股东</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债权人等相关方的合法权益</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黑体_GBK" w:cs="方正黑体_GBK"/>
          <w:color w:val="000000" w:themeColor="text1"/>
          <w:kern w:val="0"/>
          <w:sz w:val="32"/>
          <w:szCs w:val="32"/>
          <w14:textFill>
            <w14:solidFill>
              <w14:schemeClr w14:val="tx1"/>
            </w14:solidFill>
          </w14:textFill>
        </w:rPr>
      </w:pPr>
      <w:r>
        <w:rPr>
          <w:rFonts w:hint="eastAsia" w:ascii="宋体" w:hAnsi="宋体" w:eastAsia="方正黑体_GBK" w:cs="方正黑体_GBK"/>
          <w:b/>
          <w:bCs/>
          <w:color w:val="000000" w:themeColor="text1"/>
          <w:kern w:val="0"/>
          <w:sz w:val="32"/>
          <w:szCs w:val="32"/>
          <w14:textFill>
            <w14:solidFill>
              <w14:schemeClr w14:val="tx1"/>
            </w14:solidFill>
          </w14:textFill>
        </w:rPr>
        <w:t>六</w:t>
      </w:r>
      <w:r>
        <w:rPr>
          <w:rFonts w:hint="eastAsia" w:ascii="宋体" w:hAnsi="宋体" w:eastAsia="宋体" w:cs="宋体"/>
          <w:b/>
          <w:bCs/>
          <w:color w:val="000000" w:themeColor="text1"/>
          <w:kern w:val="0"/>
          <w:sz w:val="32"/>
          <w:szCs w:val="32"/>
          <w14:textFill>
            <w14:solidFill>
              <w14:schemeClr w14:val="tx1"/>
            </w14:solidFill>
          </w14:textFill>
        </w:rPr>
        <w:t>、</w:t>
      </w:r>
      <w:r>
        <w:rPr>
          <w:rFonts w:hint="eastAsia" w:ascii="宋体" w:hAnsi="宋体" w:eastAsia="方正黑体_GBK" w:cs="方正黑体_GBK"/>
          <w:b/>
          <w:bCs/>
          <w:color w:val="000000" w:themeColor="text1"/>
          <w:kern w:val="0"/>
          <w:sz w:val="32"/>
          <w:szCs w:val="32"/>
          <w14:textFill>
            <w14:solidFill>
              <w14:schemeClr w14:val="tx1"/>
            </w14:solidFill>
          </w14:textFill>
        </w:rPr>
        <w:t>审慎把握处理产权和经济纠纷的司法政策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充分考虑非公有制经济特点</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严格区分经济纠纷与经济犯罪的界限</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企业正当融资与非法集资的界限</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民营企业参与国有企业兼并重组中涉及的经济纠纷与恶意侵占国有资产的界限</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准确把握经济违法行为入刑标准</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准确认定经济纠纷和经济犯罪的性质</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防范刑事执法介入经济纠纷</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防止选择性司法</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对于法律界限不明</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罪与非罪不清的</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司法机关应严格遵循罪刑法定</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疑罪从无</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严禁有罪推定的原则</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防止把经济纠纷当作犯罪处理</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严禁党政干部干预司法活动</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介入司法纠纷</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插手具体案件处理</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对民营企业在生产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经营</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融资活动中的经济行为</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除法律</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行政法规明确禁止外</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不以违法犯罪对待</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对涉及犯罪的民营企业投资人</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在当事人服刑期间依法保障其行使财产权利等民事权利</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黑体_GBK" w:cs="方正黑体_GBK"/>
          <w:color w:val="000000" w:themeColor="text1"/>
          <w:kern w:val="0"/>
          <w:sz w:val="32"/>
          <w:szCs w:val="32"/>
          <w14:textFill>
            <w14:solidFill>
              <w14:schemeClr w14:val="tx1"/>
            </w14:solidFill>
          </w14:textFill>
        </w:rPr>
      </w:pPr>
      <w:r>
        <w:rPr>
          <w:rFonts w:hint="eastAsia" w:ascii="宋体" w:hAnsi="宋体" w:eastAsia="方正黑体_GBK" w:cs="方正黑体_GBK"/>
          <w:b/>
          <w:bCs/>
          <w:color w:val="000000" w:themeColor="text1"/>
          <w:kern w:val="0"/>
          <w:sz w:val="32"/>
          <w:szCs w:val="32"/>
          <w14:textFill>
            <w14:solidFill>
              <w14:schemeClr w14:val="tx1"/>
            </w14:solidFill>
          </w14:textFill>
        </w:rPr>
        <w:t>七</w:t>
      </w:r>
      <w:r>
        <w:rPr>
          <w:rFonts w:hint="eastAsia" w:ascii="宋体" w:hAnsi="宋体" w:eastAsia="宋体" w:cs="宋体"/>
          <w:b/>
          <w:bCs/>
          <w:color w:val="000000" w:themeColor="text1"/>
          <w:kern w:val="0"/>
          <w:sz w:val="32"/>
          <w:szCs w:val="32"/>
          <w14:textFill>
            <w14:solidFill>
              <w14:schemeClr w14:val="tx1"/>
            </w14:solidFill>
          </w14:textFill>
        </w:rPr>
        <w:t>、</w:t>
      </w:r>
      <w:r>
        <w:rPr>
          <w:rFonts w:hint="eastAsia" w:ascii="宋体" w:hAnsi="宋体" w:eastAsia="方正黑体_GBK" w:cs="方正黑体_GBK"/>
          <w:b/>
          <w:bCs/>
          <w:color w:val="000000" w:themeColor="text1"/>
          <w:kern w:val="0"/>
          <w:sz w:val="32"/>
          <w:szCs w:val="32"/>
          <w14:textFill>
            <w14:solidFill>
              <w14:schemeClr w14:val="tx1"/>
            </w14:solidFill>
          </w14:textFill>
        </w:rPr>
        <w:t>完善政府守信践诺机制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大力推进法治政府和政务诚信建设</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地方各级政府及有关部门要严格兑现向社会及行政相对人依法作出的政策承诺</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认真履行在招商引资</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政府与社会资本合作等活动中与投资主体依法签订的各类合同</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不得以政府换届</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领导人员更替等理由违约毁约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因违约毁约侵犯合法权益的</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要承担法律和经济责任</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因国家利益</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公共利益或者其他法定事由需要改变政府承诺和合同约定的</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要严格依照法定权限和程序进行</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并对企业和投资人因此而受到的财产损失依法予以补偿</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对因政府违约等导致企业和公民财产权受到损害等情形</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进一步完善赔偿</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投诉和救济机制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畅通投诉和救济渠道</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将政务履约和守诺服务纳入政府绩效评价体系</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建立政务失信记录</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建立健全政府失信责任追究制度及责任倒查机制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加大对政务失信行为惩戒力度</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黑体_GBK" w:cs="方正黑体_GBK"/>
          <w:color w:val="000000" w:themeColor="text1"/>
          <w:kern w:val="0"/>
          <w:sz w:val="32"/>
          <w:szCs w:val="32"/>
          <w14:textFill>
            <w14:solidFill>
              <w14:schemeClr w14:val="tx1"/>
            </w14:solidFill>
          </w14:textFill>
        </w:rPr>
      </w:pPr>
      <w:r>
        <w:rPr>
          <w:rFonts w:hint="eastAsia" w:ascii="宋体" w:hAnsi="宋体" w:eastAsia="方正黑体_GBK" w:cs="方正黑体_GBK"/>
          <w:b/>
          <w:bCs/>
          <w:color w:val="000000" w:themeColor="text1"/>
          <w:kern w:val="0"/>
          <w:sz w:val="32"/>
          <w:szCs w:val="32"/>
          <w14:textFill>
            <w14:solidFill>
              <w14:schemeClr w14:val="tx1"/>
            </w14:solidFill>
          </w14:textFill>
        </w:rPr>
        <w:t>八</w:t>
      </w:r>
      <w:r>
        <w:rPr>
          <w:rFonts w:hint="eastAsia" w:ascii="宋体" w:hAnsi="宋体" w:eastAsia="宋体" w:cs="宋体"/>
          <w:b/>
          <w:bCs/>
          <w:color w:val="000000" w:themeColor="text1"/>
          <w:kern w:val="0"/>
          <w:sz w:val="32"/>
          <w:szCs w:val="32"/>
          <w14:textFill>
            <w14:solidFill>
              <w14:schemeClr w14:val="tx1"/>
            </w14:solidFill>
          </w14:textFill>
        </w:rPr>
        <w:t>、</w:t>
      </w:r>
      <w:r>
        <w:rPr>
          <w:rFonts w:hint="eastAsia" w:ascii="宋体" w:hAnsi="宋体" w:eastAsia="方正黑体_GBK" w:cs="方正黑体_GBK"/>
          <w:b/>
          <w:bCs/>
          <w:color w:val="000000" w:themeColor="text1"/>
          <w:kern w:val="0"/>
          <w:sz w:val="32"/>
          <w:szCs w:val="32"/>
          <w14:textFill>
            <w14:solidFill>
              <w14:schemeClr w14:val="tx1"/>
            </w14:solidFill>
          </w14:textFill>
        </w:rPr>
        <w:t>完善财产征收征用制度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完善土地</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房屋等财产征收征用法律制度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合理界定征收征用适用的公共利益范围</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不将公共利益扩大化</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细化规范征收征用法定权限和程序</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遵循及时合理补偿原则</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完善国家补偿制度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进一步明确补偿的范围</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形式和标准</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给予被征收征用者公平合理补偿</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黑体_GBK" w:cs="方正黑体_GBK"/>
          <w:color w:val="000000" w:themeColor="text1"/>
          <w:kern w:val="0"/>
          <w:sz w:val="32"/>
          <w:szCs w:val="32"/>
          <w14:textFill>
            <w14:solidFill>
              <w14:schemeClr w14:val="tx1"/>
            </w14:solidFill>
          </w14:textFill>
        </w:rPr>
      </w:pPr>
      <w:r>
        <w:rPr>
          <w:rFonts w:hint="eastAsia" w:ascii="宋体" w:hAnsi="宋体" w:eastAsia="方正黑体_GBK" w:cs="方正黑体_GBK"/>
          <w:b/>
          <w:bCs/>
          <w:color w:val="000000" w:themeColor="text1"/>
          <w:kern w:val="0"/>
          <w:sz w:val="32"/>
          <w:szCs w:val="32"/>
          <w14:textFill>
            <w14:solidFill>
              <w14:schemeClr w14:val="tx1"/>
            </w14:solidFill>
          </w14:textFill>
        </w:rPr>
        <w:t>九</w:t>
      </w:r>
      <w:r>
        <w:rPr>
          <w:rFonts w:hint="eastAsia" w:ascii="宋体" w:hAnsi="宋体" w:eastAsia="宋体" w:cs="宋体"/>
          <w:b/>
          <w:bCs/>
          <w:color w:val="000000" w:themeColor="text1"/>
          <w:kern w:val="0"/>
          <w:sz w:val="32"/>
          <w:szCs w:val="32"/>
          <w14:textFill>
            <w14:solidFill>
              <w14:schemeClr w14:val="tx1"/>
            </w14:solidFill>
          </w14:textFill>
        </w:rPr>
        <w:t>、</w:t>
      </w:r>
      <w:r>
        <w:rPr>
          <w:rFonts w:hint="eastAsia" w:ascii="宋体" w:hAnsi="宋体" w:eastAsia="方正黑体_GBK" w:cs="方正黑体_GBK"/>
          <w:b/>
          <w:bCs/>
          <w:color w:val="000000" w:themeColor="text1"/>
          <w:kern w:val="0"/>
          <w:sz w:val="32"/>
          <w:szCs w:val="32"/>
          <w14:textFill>
            <w14:solidFill>
              <w14:schemeClr w14:val="tx1"/>
            </w14:solidFill>
          </w14:textFill>
        </w:rPr>
        <w:t>加大知识产权保护力度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加大知识产权侵权行为惩治力度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提高知识产权侵权法定赔偿上限</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探索建立对专利权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著作权等知识产权侵权惩罚性赔偿制度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对情节严重的恶意侵权行为实施惩罚性赔偿</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并由侵权人承担权利人为制止侵权行为所支付的合理开支</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提高知识产权侵权成本</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建立收集假冒产品来源地信息工作机制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将故意侵犯知识产权行为情况纳入企业和个人信用记录</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进一步推进侵犯知识产权行政处罚案件信息公开</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完善知识产权审判工作机制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积极发挥知识产权法院作用</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推进知识产权民事</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刑事</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行政案件审判</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三审合一</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加强知识产权行政执法与刑事司法的衔接</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加大知识产权司法保护力度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完善涉外知识产权执法机制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加强刑事执法国际合作</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加大涉外知识产权犯罪案件侦办力度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严厉打击不正当竞争行为</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加强品牌商誉保护</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将知识产权保护和运用相结合</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加强机制和平台建设</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加快知识产权转移转化</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黑体_GBK" w:cs="方正黑体_GBK"/>
          <w:color w:val="000000" w:themeColor="text1"/>
          <w:kern w:val="0"/>
          <w:sz w:val="32"/>
          <w:szCs w:val="32"/>
          <w14:textFill>
            <w14:solidFill>
              <w14:schemeClr w14:val="tx1"/>
            </w14:solidFill>
          </w14:textFill>
        </w:rPr>
      </w:pPr>
      <w:r>
        <w:rPr>
          <w:rFonts w:hint="eastAsia" w:ascii="宋体" w:hAnsi="宋体" w:eastAsia="方正黑体_GBK" w:cs="方正黑体_GBK"/>
          <w:b/>
          <w:bCs/>
          <w:color w:val="000000" w:themeColor="text1"/>
          <w:kern w:val="0"/>
          <w:sz w:val="32"/>
          <w:szCs w:val="32"/>
          <w14:textFill>
            <w14:solidFill>
              <w14:schemeClr w14:val="tx1"/>
            </w14:solidFill>
          </w14:textFill>
        </w:rPr>
        <w:t>十</w:t>
      </w:r>
      <w:r>
        <w:rPr>
          <w:rFonts w:hint="eastAsia" w:ascii="宋体" w:hAnsi="宋体" w:eastAsia="宋体" w:cs="宋体"/>
          <w:b/>
          <w:bCs/>
          <w:color w:val="000000" w:themeColor="text1"/>
          <w:kern w:val="0"/>
          <w:sz w:val="32"/>
          <w:szCs w:val="32"/>
          <w14:textFill>
            <w14:solidFill>
              <w14:schemeClr w14:val="tx1"/>
            </w14:solidFill>
          </w14:textFill>
        </w:rPr>
        <w:t>、</w:t>
      </w:r>
      <w:r>
        <w:rPr>
          <w:rFonts w:hint="eastAsia" w:ascii="宋体" w:hAnsi="宋体" w:eastAsia="方正黑体_GBK" w:cs="方正黑体_GBK"/>
          <w:b/>
          <w:bCs/>
          <w:color w:val="000000" w:themeColor="text1"/>
          <w:kern w:val="0"/>
          <w:sz w:val="32"/>
          <w:szCs w:val="32"/>
          <w14:textFill>
            <w14:solidFill>
              <w14:schemeClr w14:val="tx1"/>
            </w14:solidFill>
          </w14:textFill>
        </w:rPr>
        <w:t>健全增加城乡居民财产性收入的各项制度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研究住宅建设用地等土地使用权到期后续期的法律安排</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推动形成全社会对公民财产长久受保护的良好和稳定预期</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在国有企业混合所有制改革中</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依照相关规定支持有条件的混合所有制企业实行员工持股</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坚持同股同权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同股同利</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着力避免大股东凭借优势地位侵害中小股东权益的行为</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建立员工利益和企业利益</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国家利益激励相容机制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深化金融改革</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推动金融创新</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鼓励创造更多支持实体经济发展</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使民众分享增值收益的金融产品</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增加民众投资渠道</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深化农村土地制度改革</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坚持土地公有制性质不改变</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耕地红线不突破</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粮食生产能力不减弱</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农民利益不受损的底线</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从实际出发</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因地制宜</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落实承包地</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宅基地</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集体经营性建设用地的用益物权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赋予农民更多财产权利</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增加农民财产收益</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黑体_GBK" w:cs="方正黑体_GBK"/>
          <w:color w:val="000000" w:themeColor="text1"/>
          <w:kern w:val="0"/>
          <w:sz w:val="32"/>
          <w:szCs w:val="32"/>
          <w14:textFill>
            <w14:solidFill>
              <w14:schemeClr w14:val="tx1"/>
            </w14:solidFill>
          </w14:textFill>
        </w:rPr>
      </w:pPr>
      <w:r>
        <w:rPr>
          <w:rFonts w:hint="eastAsia" w:ascii="宋体" w:hAnsi="宋体" w:eastAsia="方正黑体_GBK" w:cs="方正黑体_GBK"/>
          <w:b/>
          <w:bCs/>
          <w:color w:val="000000" w:themeColor="text1"/>
          <w:kern w:val="0"/>
          <w:sz w:val="32"/>
          <w:szCs w:val="32"/>
          <w14:textFill>
            <w14:solidFill>
              <w14:schemeClr w14:val="tx1"/>
            </w14:solidFill>
          </w14:textFill>
        </w:rPr>
        <w:t>十一</w:t>
      </w:r>
      <w:r>
        <w:rPr>
          <w:rFonts w:hint="eastAsia" w:ascii="宋体" w:hAnsi="宋体" w:eastAsia="宋体" w:cs="宋体"/>
          <w:b/>
          <w:bCs/>
          <w:color w:val="000000" w:themeColor="text1"/>
          <w:kern w:val="0"/>
          <w:sz w:val="32"/>
          <w:szCs w:val="32"/>
          <w14:textFill>
            <w14:solidFill>
              <w14:schemeClr w14:val="tx1"/>
            </w14:solidFill>
          </w14:textFill>
        </w:rPr>
        <w:t>、</w:t>
      </w:r>
      <w:r>
        <w:rPr>
          <w:rFonts w:hint="eastAsia" w:ascii="宋体" w:hAnsi="宋体" w:eastAsia="方正黑体_GBK" w:cs="方正黑体_GBK"/>
          <w:b/>
          <w:bCs/>
          <w:color w:val="000000" w:themeColor="text1"/>
          <w:kern w:val="0"/>
          <w:sz w:val="32"/>
          <w:szCs w:val="32"/>
          <w14:textFill>
            <w14:solidFill>
              <w14:schemeClr w14:val="tx1"/>
            </w14:solidFill>
          </w14:textFill>
        </w:rPr>
        <w:t>营造全社会重视和支持产权保护的良好环境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大力宣传党和国家平等保护各种所有制经济产权的方针政策和法律法规</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使平等保护</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全面保护</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依法保护观念深入人心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营造公平</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公正</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透明</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稳定的法治环境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在坚持以经济建设为中心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提倡勤劳致富</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保护产权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弘扬企业家精神等方面加强舆论引导</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总结宣传一批依法有效保护产权的好做法</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好经验</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好案例</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推动形成保护产权的良好社会氛围</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完善法律援助制度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健全司法救助体系</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确保人民群众在产权受到侵害时获得及时有效的法律帮助</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有效发挥工商业联合会</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行业协会商会在保护非公有制经济和民营企业产权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维护企业合法权益方面的作用</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建立对涉及产权纠纷的中小企业维权援助机制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更好发挥调解</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仲裁的积极作用</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完善产权纠纷多元化解机制</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各地区各部门要充分认识完善产权保护制度</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依法保护产权的重要性和紧迫性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统一思想</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形成共识和合力</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狠抓工作落实</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各地区要建立党委牵头</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人大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政府</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司法机关共同参加的产权保护协调工作机制</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加强对产权保护工作的组织领导和统筹协调</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各有关部门和单位要按照本意见要求</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抓紧制定具体实施方案</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启动基础性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标志性</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关键性工作</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加强协调配合</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确保各项举措落到实处</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见到实效</w:t>
      </w:r>
      <w:r>
        <w:rPr>
          <w:rFonts w:hint="eastAsia" w:ascii="宋体" w:hAnsi="宋体" w:eastAsia="宋体" w:cs="宋体"/>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sz w:val="32"/>
          <w:szCs w:val="32"/>
          <w:lang w:val="en-US" w:eastAsia="zh-CN"/>
        </w:rPr>
      </w:pPr>
    </w:p>
    <w:sectPr>
      <w:headerReference r:id="rId3" w:type="default"/>
      <w:footerReference r:id="rId4" w:type="default"/>
      <w:pgSz w:w="11906" w:h="16838"/>
      <w:pgMar w:top="2154" w:right="1474" w:bottom="1984" w:left="158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NmJlOGE1MDAzYzVlMWM1YzY0YTk2NTU5NjQzMzQifQ=="/>
  </w:docVars>
  <w:rsids>
    <w:rsidRoot w:val="4F524790"/>
    <w:rsid w:val="35CB3937"/>
    <w:rsid w:val="3BE55F96"/>
    <w:rsid w:val="450A2A0B"/>
    <w:rsid w:val="476760E4"/>
    <w:rsid w:val="4F524790"/>
    <w:rsid w:val="57F8358F"/>
    <w:rsid w:val="742E35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2</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2018-12-07T08:00:00Z</dcterms:created>
  <dc:creator>Administrator</dc:creator>
  <cp:lastModifiedBy>李雯瑄</cp:lastModifiedBy>
  <dcterms:modified xsi:type="dcterms:W3CDTF">2024-07-12T03:18:01Z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9BB2CE5FDA4A4F0C9DF6F4ECFA605530_12</vt:lpwstr>
  </property>
</Properties>
</file>