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p>
      <w:pPr>
        <w:spacing w:line="560" w:lineRule="exact"/>
        <w:ind w:left="168" w:leftChars="8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行政规范性文件</w:t>
      </w:r>
      <w:r>
        <w:rPr>
          <w:rFonts w:hint="eastAsia" w:ascii="方正小标宋简体" w:hAnsi="Times New Roman" w:eastAsia="方正小标宋简体" w:cs="Times New Roman"/>
          <w:sz w:val="44"/>
          <w:szCs w:val="44"/>
          <w:lang w:eastAsia="zh-CN"/>
        </w:rPr>
        <w:t>清理情况表（芒市）</w:t>
      </w:r>
    </w:p>
    <w:p>
      <w:pPr>
        <w:spacing w:line="560" w:lineRule="exact"/>
        <w:rPr>
          <w:rFonts w:ascii="方正仿宋_GBK" w:hAnsi="宋体" w:eastAsia="方正仿宋_GBK"/>
          <w:bCs/>
          <w:sz w:val="32"/>
          <w:szCs w:val="32"/>
        </w:rPr>
      </w:pP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截</w:t>
      </w:r>
      <w:r>
        <w:rPr>
          <w:rFonts w:hint="eastAsia" w:ascii="Times New Roman" w:hAnsi="Times New Roman" w:eastAsia="方正仿宋_GBK" w:cs="Times New Roman"/>
          <w:bCs/>
          <w:sz w:val="32"/>
          <w:szCs w:val="32"/>
          <w:lang w:eastAsia="zh-CN"/>
        </w:rPr>
        <w:t>至</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ascii="Times New Roman" w:hAnsi="Times New Roman" w:eastAsia="方正仿宋_GBK" w:cs="Times New Roman"/>
          <w:sz w:val="32"/>
          <w:szCs w:val="32"/>
        </w:rPr>
        <w:t xml:space="preserve">日止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总件数：</w:t>
      </w:r>
      <w:r>
        <w:rPr>
          <w:rFonts w:hint="eastAsia" w:ascii="Times New Roman" w:hAnsi="Times New Roman" w:eastAsia="方正仿宋_GBK" w:cs="Times New Roman"/>
          <w:sz w:val="32"/>
          <w:szCs w:val="32"/>
          <w:lang w:val="en-US" w:eastAsia="zh-CN"/>
        </w:rPr>
        <w:t>41</w:t>
      </w:r>
      <w:r>
        <w:rPr>
          <w:rFonts w:ascii="Times New Roman" w:hAnsi="Times New Roman" w:eastAsia="方正仿宋_GBK" w:cs="Times New Roman"/>
          <w:sz w:val="32"/>
          <w:szCs w:val="32"/>
        </w:rPr>
        <w:t>件</w:t>
      </w:r>
    </w:p>
    <w:tbl>
      <w:tblPr>
        <w:tblStyle w:val="5"/>
        <w:tblW w:w="13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
        <w:gridCol w:w="2282"/>
        <w:gridCol w:w="3449"/>
        <w:gridCol w:w="2032"/>
        <w:gridCol w:w="137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jc w:val="center"/>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序号</w:t>
            </w:r>
          </w:p>
        </w:tc>
        <w:tc>
          <w:tcPr>
            <w:tcW w:w="2282" w:type="dxa"/>
            <w:vAlign w:val="center"/>
          </w:tcPr>
          <w:p>
            <w:pPr>
              <w:spacing w:line="367" w:lineRule="atLeast"/>
              <w:jc w:val="center"/>
              <w:textAlignment w:val="center"/>
              <w:rPr>
                <w:rFonts w:hint="eastAsia" w:ascii="方正黑体_GBK" w:hAnsi="方正黑体_GBK" w:eastAsia="方正黑体_GBK" w:cs="方正黑体_GBK"/>
                <w:color w:val="auto"/>
                <w:sz w:val="28"/>
                <w:szCs w:val="28"/>
                <w:lang w:eastAsia="zh-CN"/>
              </w:rPr>
            </w:pPr>
            <w:r>
              <w:rPr>
                <w:rFonts w:hint="eastAsia" w:ascii="方正黑体_GBK" w:hAnsi="方正黑体_GBK" w:eastAsia="方正黑体_GBK" w:cs="方正黑体_GBK"/>
                <w:color w:val="auto"/>
                <w:sz w:val="28"/>
                <w:szCs w:val="28"/>
                <w:lang w:eastAsia="zh-CN"/>
              </w:rPr>
              <w:t>文件类型</w:t>
            </w:r>
          </w:p>
        </w:tc>
        <w:tc>
          <w:tcPr>
            <w:tcW w:w="3449" w:type="dxa"/>
            <w:vAlign w:val="center"/>
          </w:tcPr>
          <w:p>
            <w:pPr>
              <w:spacing w:line="367" w:lineRule="atLeast"/>
              <w:jc w:val="center"/>
              <w:textAlignment w:val="center"/>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规范性文件名称</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color w:val="auto"/>
                <w:sz w:val="28"/>
                <w:szCs w:val="28"/>
                <w:lang w:eastAsia="zh-CN"/>
              </w:rPr>
            </w:pPr>
            <w:r>
              <w:rPr>
                <w:rFonts w:hint="eastAsia" w:ascii="方正黑体_GBK" w:hAnsi="方正黑体_GBK" w:eastAsia="方正黑体_GBK" w:cs="方正黑体_GBK"/>
                <w:color w:val="auto"/>
                <w:sz w:val="28"/>
                <w:szCs w:val="28"/>
              </w:rPr>
              <w:t>发文字号</w:t>
            </w:r>
          </w:p>
        </w:tc>
        <w:tc>
          <w:tcPr>
            <w:tcW w:w="1371" w:type="dxa"/>
            <w:vAlign w:val="center"/>
          </w:tcPr>
          <w:p>
            <w:pPr>
              <w:spacing w:line="367" w:lineRule="atLeast"/>
              <w:jc w:val="center"/>
              <w:textAlignment w:val="center"/>
              <w:rPr>
                <w:rFonts w:hint="eastAsia" w:ascii="方正黑体_GBK" w:hAnsi="方正黑体_GBK" w:eastAsia="方正黑体_GBK" w:cs="方正黑体_GBK"/>
                <w:color w:val="auto"/>
                <w:sz w:val="28"/>
                <w:szCs w:val="28"/>
                <w:lang w:eastAsia="zh-CN"/>
              </w:rPr>
            </w:pPr>
            <w:r>
              <w:rPr>
                <w:rFonts w:hint="eastAsia" w:ascii="方正黑体_GBK" w:hAnsi="方正黑体_GBK" w:eastAsia="方正黑体_GBK" w:cs="方正黑体_GBK"/>
                <w:color w:val="auto"/>
                <w:sz w:val="28"/>
                <w:szCs w:val="28"/>
                <w:lang w:eastAsia="zh-CN"/>
              </w:rPr>
              <w:t>清理进展</w:t>
            </w:r>
          </w:p>
        </w:tc>
        <w:tc>
          <w:tcPr>
            <w:tcW w:w="3263" w:type="dxa"/>
            <w:vAlign w:val="center"/>
          </w:tcPr>
          <w:p>
            <w:pPr>
              <w:spacing w:line="367" w:lineRule="atLeast"/>
              <w:jc w:val="center"/>
              <w:textAlignment w:val="center"/>
              <w:rPr>
                <w:rFonts w:hint="eastAsia" w:ascii="方正黑体_GBK" w:hAnsi="方正黑体_GBK" w:eastAsia="方正黑体_GBK" w:cs="方正黑体_GBK"/>
                <w:color w:val="auto"/>
                <w:sz w:val="28"/>
                <w:szCs w:val="28"/>
                <w:lang w:eastAsia="zh-CN"/>
              </w:rPr>
            </w:pPr>
            <w:r>
              <w:rPr>
                <w:rFonts w:hint="eastAsia" w:ascii="方正黑体_GBK" w:hAnsi="方正黑体_GBK" w:eastAsia="方正黑体_GBK" w:cs="方正黑体_GBK"/>
                <w:color w:val="auto"/>
                <w:sz w:val="28"/>
                <w:szCs w:val="28"/>
                <w:lang w:eastAsia="zh-CN"/>
              </w:rPr>
              <w:t>废止</w:t>
            </w:r>
            <w:r>
              <w:rPr>
                <w:rFonts w:hint="eastAsia" w:ascii="方正黑体_GBK" w:hAnsi="方正黑体_GBK" w:eastAsia="方正黑体_GBK" w:cs="方正黑体_GBK"/>
                <w:color w:val="auto"/>
                <w:sz w:val="28"/>
                <w:szCs w:val="28"/>
                <w:lang w:val="en-US" w:eastAsia="zh-CN"/>
              </w:rPr>
              <w:t>/修订理由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exact"/>
          <w:jc w:val="center"/>
        </w:trPr>
        <w:tc>
          <w:tcPr>
            <w:tcW w:w="964" w:type="dxa"/>
            <w:vAlign w:val="center"/>
          </w:tcPr>
          <w:p>
            <w:pPr>
              <w:spacing w:line="28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1</w:t>
            </w:r>
          </w:p>
        </w:tc>
        <w:tc>
          <w:tcPr>
            <w:tcW w:w="2282" w:type="dxa"/>
            <w:vAlign w:val="center"/>
          </w:tcPr>
          <w:p>
            <w:pPr>
              <w:spacing w:line="280" w:lineRule="exact"/>
              <w:jc w:val="center"/>
              <w:textAlignment w:val="bottom"/>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县级政府规范性文件</w:t>
            </w:r>
          </w:p>
        </w:tc>
        <w:tc>
          <w:tcPr>
            <w:tcW w:w="3449" w:type="dxa"/>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潞西市人民政府关于印发潞西市加强临街建筑管理和房屋建设审批暂行规定的通知</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潞政发〔1999〕</w:t>
            </w:r>
            <w:r>
              <w:rPr>
                <w:rStyle w:val="11"/>
                <w:rFonts w:hint="eastAsia"/>
                <w:color w:val="000000" w:themeColor="text1"/>
                <w:lang w:val="en-US" w:eastAsia="zh-CN" w:bidi="ar"/>
                <w14:textFill>
                  <w14:solidFill>
                    <w14:schemeClr w14:val="tx1"/>
                  </w14:solidFill>
                </w14:textFill>
              </w:rPr>
              <w:br w:type="textWrapping"/>
            </w:r>
            <w:r>
              <w:rPr>
                <w:rStyle w:val="11"/>
                <w:rFonts w:hint="eastAsia"/>
                <w:color w:val="000000" w:themeColor="text1"/>
                <w:lang w:val="en-US" w:eastAsia="zh-CN" w:bidi="ar"/>
                <w14:textFill>
                  <w14:solidFill>
                    <w14:schemeClr w14:val="tx1"/>
                  </w14:solidFill>
                </w14:textFill>
              </w:rPr>
              <w:t>93号</w:t>
            </w:r>
          </w:p>
        </w:tc>
        <w:tc>
          <w:tcPr>
            <w:tcW w:w="1371" w:type="dxa"/>
            <w:vAlign w:val="center"/>
          </w:tcPr>
          <w:p>
            <w:pPr>
              <w:spacing w:line="280" w:lineRule="exact"/>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拟废止</w:t>
            </w:r>
            <w:r>
              <w:rPr>
                <w:rFonts w:hint="eastAsia" w:asciiTheme="minorEastAsia" w:hAnsiTheme="minorEastAsia" w:cstheme="minorEastAsia"/>
                <w:color w:val="FF0000"/>
                <w:szCs w:val="21"/>
                <w:lang w:eastAsia="zh-CN"/>
              </w:rPr>
              <w:t>（</w:t>
            </w:r>
            <w:r>
              <w:rPr>
                <w:rFonts w:hint="eastAsia" w:asciiTheme="minorEastAsia" w:hAnsiTheme="minorEastAsia" w:cstheme="minorEastAsia"/>
                <w:color w:val="FF0000"/>
                <w:szCs w:val="21"/>
                <w:lang w:val="en-US" w:eastAsia="zh-CN"/>
              </w:rPr>
              <w:t>可废止</w:t>
            </w:r>
            <w:r>
              <w:rPr>
                <w:rFonts w:hint="eastAsia" w:asciiTheme="minorEastAsia" w:hAnsiTheme="minorEastAsia" w:cstheme="minorEastAsia"/>
                <w:color w:val="000000" w:themeColor="text1"/>
                <w:szCs w:val="21"/>
                <w:lang w:eastAsia="zh-CN"/>
                <w14:textFill>
                  <w14:solidFill>
                    <w14:schemeClr w14:val="tx1"/>
                  </w14:solidFill>
                </w14:textFill>
              </w:rPr>
              <w:t>）</w:t>
            </w:r>
          </w:p>
        </w:tc>
        <w:tc>
          <w:tcPr>
            <w:tcW w:w="3263" w:type="dxa"/>
            <w:vAlign w:val="center"/>
          </w:tcPr>
          <w:p>
            <w:pPr>
              <w:spacing w:line="280" w:lineRule="exact"/>
              <w:jc w:val="center"/>
              <w:textAlignment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鉴于该文件中引用的《云南省城市规划管理条例》已失效，被《云南省城乡规划条例》所替代</w:t>
            </w:r>
            <w:r>
              <w:rPr>
                <w:rFonts w:hint="eastAsia" w:asciiTheme="minorEastAsia" w:hAnsiTheme="minorEastAsia" w:cstheme="minorEastAsia"/>
                <w:color w:val="000000" w:themeColor="text1"/>
                <w:szCs w:val="21"/>
                <w:lang w:eastAsia="zh-CN"/>
                <w14:textFill>
                  <w14:solidFill>
                    <w14:schemeClr w14:val="tx1"/>
                  </w14:solidFill>
                </w14:textFill>
              </w:rPr>
              <w:t>，拟废止该文件。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3449" w:type="dxa"/>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潞西市人民政府关于废止部分规范性文件的决定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潞政发〔2005〕</w:t>
            </w:r>
            <w:r>
              <w:rPr>
                <w:rStyle w:val="11"/>
                <w:rFonts w:hint="eastAsia"/>
                <w:color w:val="auto"/>
                <w:lang w:val="en-US" w:eastAsia="zh-CN" w:bidi="ar"/>
              </w:rPr>
              <w:br w:type="textWrapping"/>
            </w:r>
            <w:r>
              <w:rPr>
                <w:rStyle w:val="11"/>
                <w:rFonts w:hint="eastAsia"/>
                <w:color w:val="auto"/>
                <w:lang w:val="en-US" w:eastAsia="zh-CN" w:bidi="ar"/>
              </w:rPr>
              <w:t>62号</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3</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3449" w:type="dxa"/>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Style w:val="12"/>
                <w:rFonts w:eastAsia="宋体"/>
                <w:color w:val="auto"/>
                <w:lang w:val="en-US" w:eastAsia="zh-CN" w:bidi="ar"/>
              </w:rPr>
              <w:t>潞西市人民政府办公室关于废止4</w:t>
            </w:r>
            <w:r>
              <w:rPr>
                <w:rStyle w:val="11"/>
                <w:color w:val="auto"/>
                <w:lang w:val="en-US" w:eastAsia="zh-CN" w:bidi="ar"/>
              </w:rPr>
              <w:t>件规范性文件的决定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潞西市政府办第3号公告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4</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3449" w:type="dxa"/>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Style w:val="12"/>
                <w:rFonts w:eastAsia="宋体"/>
                <w:color w:val="auto"/>
                <w:lang w:val="en-US" w:eastAsia="zh-CN" w:bidi="ar"/>
              </w:rPr>
              <w:t>潞西市人民政府关于废止32</w:t>
            </w:r>
            <w:r>
              <w:rPr>
                <w:rStyle w:val="11"/>
                <w:color w:val="auto"/>
                <w:lang w:val="en-US" w:eastAsia="zh-CN" w:bidi="ar"/>
              </w:rPr>
              <w:t>件规范性文件的决定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潞西市政府第11号公告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潞西市人民政府关于取消和调整部分行政审批项目废止部分规范性文件的决定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潞西市政府第20号公告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6</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潞西市人民政府关于第四轮取消和调整行政审批项目的决定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潞西市政府第22号公告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7</w:t>
            </w:r>
          </w:p>
        </w:tc>
        <w:tc>
          <w:tcPr>
            <w:tcW w:w="2282" w:type="dxa"/>
            <w:vAlign w:val="center"/>
          </w:tcPr>
          <w:p>
            <w:pPr>
              <w:spacing w:line="280" w:lineRule="exact"/>
              <w:jc w:val="center"/>
              <w:textAlignment w:val="bottom"/>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潞西市人民政府关于印发人民法院涉诉特殊困难群体执行救助金管理办法的通知</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潞政发〔2009〕266号</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FF0000"/>
                <w:szCs w:val="21"/>
                <w:lang w:eastAsia="zh-CN"/>
              </w:rPr>
              <w:t>已修订。下一步将征求相关部门意见</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因有效期届满，仍有必要继续施行，应结合现行法律法规尽快修改完善后重新发布。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8</w:t>
            </w:r>
          </w:p>
        </w:tc>
        <w:tc>
          <w:tcPr>
            <w:tcW w:w="2282" w:type="dxa"/>
            <w:vAlign w:val="center"/>
          </w:tcPr>
          <w:p>
            <w:pPr>
              <w:spacing w:line="280" w:lineRule="exact"/>
              <w:jc w:val="center"/>
              <w:textAlignment w:val="bottom"/>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潞西市市级粮食储备管理办法</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潞西市政府第25号公告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拟修订</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因职能单位机构变更，且仍有必要继续施行，应结合现行法律法规和实际情况修改完善后重新发布。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9</w:t>
            </w:r>
          </w:p>
        </w:tc>
        <w:tc>
          <w:tcPr>
            <w:tcW w:w="2282" w:type="dxa"/>
            <w:vAlign w:val="center"/>
          </w:tcPr>
          <w:p>
            <w:pPr>
              <w:spacing w:line="280" w:lineRule="exact"/>
              <w:jc w:val="center"/>
              <w:textAlignment w:val="bottom"/>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潞西市预拌商品混凝土管理办法（试行）</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潞西市政府第26号公告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FF0000"/>
                <w:szCs w:val="21"/>
                <w:lang w:eastAsia="zh-CN"/>
              </w:rPr>
              <w:t>已修订，已征求相关部门意见</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因机构改革职权调整，且仍有必要继续施行，应结合现行法律法规和实际情况修改完善后重新发布。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0</w:t>
            </w:r>
          </w:p>
        </w:tc>
        <w:tc>
          <w:tcPr>
            <w:tcW w:w="2282" w:type="dxa"/>
            <w:vAlign w:val="center"/>
          </w:tcPr>
          <w:p>
            <w:pPr>
              <w:spacing w:line="280" w:lineRule="exact"/>
              <w:jc w:val="center"/>
              <w:textAlignment w:val="bottom"/>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潞西市人民政府关于修改潞西市预拌商品混凝土管理办法（试行）的决定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潞西市政府第29号公告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FF0000"/>
                <w:szCs w:val="21"/>
                <w:lang w:eastAsia="zh-CN"/>
              </w:rPr>
              <w:t>已修订，已征求相关部门意见</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因机构改革职权调整，且仍有必要继续施行，应结合现行法律法规和实际情况修改完善后重新发布。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1</w:t>
            </w:r>
          </w:p>
        </w:tc>
        <w:tc>
          <w:tcPr>
            <w:tcW w:w="2282" w:type="dxa"/>
            <w:vAlign w:val="center"/>
          </w:tcPr>
          <w:p>
            <w:pPr>
              <w:spacing w:line="280" w:lineRule="exact"/>
              <w:jc w:val="center"/>
              <w:textAlignment w:val="bottom"/>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芒市爱国卫生工作管理规定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芒市政府第31号公告</w:t>
            </w:r>
          </w:p>
        </w:tc>
        <w:tc>
          <w:tcPr>
            <w:tcW w:w="1371" w:type="dxa"/>
            <w:vAlign w:val="center"/>
          </w:tcPr>
          <w:p>
            <w:pPr>
              <w:spacing w:line="280" w:lineRule="exact"/>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FF0000"/>
                <w:szCs w:val="21"/>
                <w:lang w:eastAsia="zh-CN"/>
              </w:rPr>
              <w:t>已修订。下一步将征求相关部门意见</w:t>
            </w:r>
          </w:p>
        </w:tc>
        <w:tc>
          <w:tcPr>
            <w:tcW w:w="3263" w:type="dxa"/>
            <w:vAlign w:val="center"/>
          </w:tcPr>
          <w:p>
            <w:pPr>
              <w:spacing w:line="280" w:lineRule="exact"/>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因机构改革职权调整，且仍有必要继续施行，应结合现行法律法规和实际情况修改完善后重新发布。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mc:AlternateContent>
                <mc:Choice Requires="wps">
                  <w:drawing>
                    <wp:anchor distT="0" distB="0" distL="114300" distR="114300" simplePos="0" relativeHeight="251661312" behindDoc="0" locked="0" layoutInCell="1" hidden="1" allowOverlap="1">
                      <wp:simplePos x="0" y="0"/>
                      <wp:positionH relativeFrom="column">
                        <wp:posOffset>-853440</wp:posOffset>
                      </wp:positionH>
                      <wp:positionV relativeFrom="paragraph">
                        <wp:posOffset>-928370</wp:posOffset>
                      </wp:positionV>
                      <wp:extent cx="63500" cy="63500"/>
                      <wp:effectExtent l="0" t="0" r="0" b="0"/>
                      <wp:wrapNone/>
                      <wp:docPr id="3" name="KGD_Gobal1" descr="lskY7P30+39SSS2ze3CC/IU4+KCKqk5EgHiuhAp6vIGaeOhxMkadijT2bKi4VrSiUrM+9zWicbMNbf31SjOiZoxaQ9ACmrT9Dwgpoy4a645NJzH0QqFWt5FELkkThttboIQDcOncmcyJdNfhyd4X2W8Wdfaq4wz3ZzKqmwRj4c1bF0y4lrO1yvDC3Vir70zbgvJ1y0/Q5n805l/IaziscPKNqLlj9SyWBFDtiqhBVWtsNKRifxE40MgWZyjCDycIchA9rBO49EjCmJ5HhO2GFx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zZNMOVF/CxC4x4BANxYU/Jl/wNrZsXHQq/empHddqW49fdZsy5ALmIIGUAQ95/e74SO7pzOo2e6aPZ+zJAiOahqc0rVblnk9npykhVpJYlxgf/W4NHL3TLOp+cVUNuTx/bJTRxpaBsvo6MyP5rTBt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U4+KCKqk5EgHiuhAp6vIGaeOhxMkadijT2bKi4VrSiUrM+9zWicbMNbf31SjOiZoxaQ9ACmrT9Dwgpoy4a645NJzH0QqFWt5FELkkThttboIQDcOncmcyJdNfhyd4X2W8Wdfaq4wz3ZzKqmwRj4c1bF0y4lrO1yvDC3Vir70zbgvJ1y0/Q5n805l/IaziscPKNqLlj9SyWBFDtiqhBVWtsNKRifxE40MgWZyjCDycIchA9rBO49EjCmJ5HhO2GFx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zZNMOVF/CxC4x4BANxYU/Jl/wNrZsXHQq/empHddqW49fdZsy5ALmIIGUAQ95/e74SO7pzOo2e6aPZ+zJAiOahqc0rVblnk9npykhVpJYlxgf/W4NHL3TLOp+cVUNuTx/bJTRxpaBsvo6MyP5rTBtgqlKMzWligmPPcveAjD8jDP1P/WPejyT0GqQWquX7V2OCiWaIBRIsFZ3xC1dxJRjI=" style="position:absolute;left:0pt;margin-left:-67.2pt;margin-top:-73.1pt;height:5pt;width:5pt;visibility:hidden;z-index:251661312;v-text-anchor:middle;mso-width-relative:page;mso-height-relative:page;" fillcolor="#4F81BD" filled="t" stroked="t" coordsize="21600,21600" o:gfxdata="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">
                      <v:fill on="t" focussize="0,0"/>
                      <v:stroke weight="2pt" color="#264264" joinstyle="round"/>
                      <v:imagedata o:title=""/>
                      <o:lock v:ext="edit" aspectratio="f"/>
                    </v:rect>
                  </w:pict>
                </mc:Fallback>
              </mc:AlternateContent>
            </w: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2</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芒市人民政府关于废止部分规范性文件的决定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芒市政府第32号公告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3</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芒市人民政府关于修改部分规范性文件的决定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芒市政府第33号公告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4</w:t>
            </w:r>
          </w:p>
        </w:tc>
        <w:tc>
          <w:tcPr>
            <w:tcW w:w="2282" w:type="dxa"/>
            <w:vAlign w:val="center"/>
          </w:tcPr>
          <w:p>
            <w:pPr>
              <w:spacing w:line="280" w:lineRule="exact"/>
              <w:jc w:val="center"/>
              <w:textAlignment w:val="bottom"/>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芒市专利奖励办法（试行）</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芒市政府第34号公告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FF0000"/>
                <w:szCs w:val="21"/>
                <w:lang w:eastAsia="zh-CN"/>
              </w:rPr>
              <w:t>已修订，下一步将按程序上报</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因机构改革职权调整，且仍有必要继续施行，应结合现行法律法规和实际情况修改完善后重新发布。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exact"/>
          <w:jc w:val="center"/>
        </w:trPr>
        <w:tc>
          <w:tcPr>
            <w:tcW w:w="964" w:type="dxa"/>
            <w:vAlign w:val="center"/>
          </w:tcPr>
          <w:p>
            <w:pPr>
              <w:spacing w:line="28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15</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芒市人民政府关于第五轮取消和调整行政审批项目的决定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芒市政府第36号公告</w:t>
            </w:r>
          </w:p>
        </w:tc>
        <w:tc>
          <w:tcPr>
            <w:tcW w:w="1371" w:type="dxa"/>
            <w:vAlign w:val="center"/>
          </w:tcPr>
          <w:p>
            <w:pPr>
              <w:spacing w:line="280" w:lineRule="exact"/>
              <w:jc w:val="center"/>
              <w:textAlignment w:val="center"/>
              <w:rPr>
                <w:rFonts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6</w:t>
            </w:r>
          </w:p>
        </w:tc>
        <w:tc>
          <w:tcPr>
            <w:tcW w:w="2282" w:type="dxa"/>
            <w:vAlign w:val="center"/>
          </w:tcPr>
          <w:p>
            <w:pPr>
              <w:spacing w:line="280" w:lineRule="exact"/>
              <w:jc w:val="center"/>
              <w:textAlignment w:val="bottom"/>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芒市廉租房保障办法实施意见</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芒市政府第37号公告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FF0000"/>
                <w:szCs w:val="21"/>
                <w:lang w:eastAsia="zh-CN"/>
              </w:rPr>
              <w:t>已修订，下一步将按程序上报</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因机构改革职权调整，且仍有必要继续施行，应结合现行法律法规和实际情况修改完善后重新发布。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7</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芒市人民政府关于取消和调整行政审批项目的决定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芒市政府第40号公告</w:t>
            </w:r>
          </w:p>
        </w:tc>
        <w:tc>
          <w:tcPr>
            <w:tcW w:w="1371" w:type="dxa"/>
            <w:vAlign w:val="center"/>
          </w:tcPr>
          <w:p>
            <w:pPr>
              <w:spacing w:line="280" w:lineRule="exact"/>
              <w:jc w:val="center"/>
              <w:textAlignment w:val="center"/>
              <w:rPr>
                <w:rFonts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8</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芒市人民政府关于取消和调整行政审批项目的决定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芒市政府第41号公告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19</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芒市人民政府关于公布承接下放的行政审批项目的决定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芒市政府第42号公告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0</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芒市人民政府关于废止部分规范性文件的决定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芒市政府第43号公告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1</w:t>
            </w:r>
          </w:p>
        </w:tc>
        <w:tc>
          <w:tcPr>
            <w:tcW w:w="2282" w:type="dxa"/>
            <w:vAlign w:val="center"/>
          </w:tcPr>
          <w:p>
            <w:pPr>
              <w:spacing w:line="280" w:lineRule="exact"/>
              <w:jc w:val="center"/>
              <w:textAlignment w:val="bottom"/>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芒市环境噪声污染防治管理办法</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芒市政府第44号公告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FF"/>
                <w:szCs w:val="21"/>
                <w:lang w:eastAsia="zh-CN"/>
              </w:rPr>
              <w:t>拟修订（</w:t>
            </w:r>
            <w:r>
              <w:rPr>
                <w:rFonts w:hint="eastAsia" w:asciiTheme="minorEastAsia" w:hAnsiTheme="minorEastAsia" w:cstheme="minorEastAsia"/>
                <w:color w:val="0000FF"/>
                <w:szCs w:val="21"/>
                <w:lang w:val="en-US" w:eastAsia="zh-CN"/>
              </w:rPr>
              <w:t>未收到回复</w:t>
            </w:r>
            <w:r>
              <w:rPr>
                <w:rFonts w:hint="eastAsia" w:asciiTheme="minorEastAsia" w:hAnsiTheme="minorEastAsia" w:cstheme="minorEastAsia"/>
                <w:color w:val="0000FF"/>
                <w:szCs w:val="21"/>
                <w:lang w:eastAsia="zh-CN"/>
              </w:rPr>
              <w:t>）</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因机构改革职权调整，且仍有必要继续施行，应结合现行法律法规和实际情况修改完善后重新发布。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2</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芒市城区河道管理办法</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芒市政府第45号公告</w:t>
            </w:r>
          </w:p>
        </w:tc>
        <w:tc>
          <w:tcPr>
            <w:tcW w:w="1371" w:type="dxa"/>
            <w:vAlign w:val="center"/>
          </w:tcPr>
          <w:p>
            <w:pPr>
              <w:spacing w:line="280" w:lineRule="exact"/>
              <w:jc w:val="center"/>
              <w:textAlignment w:val="center"/>
              <w:rPr>
                <w:rFonts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3</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芒市市容环境卫生门前三包管理办法</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芒市政府第47号公告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FF0000"/>
                <w:szCs w:val="21"/>
                <w:lang w:eastAsia="zh-CN"/>
              </w:rPr>
              <w:t>已修订。下一步将征求相关部门意见</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因机构改革职权调整，且仍有必要继续施行，应结合现行法律法规和实际情况修改完善后重新发布。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4</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芒市违法建筑处置办法</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芒市政府第48号公告</w:t>
            </w:r>
          </w:p>
        </w:tc>
        <w:tc>
          <w:tcPr>
            <w:tcW w:w="1371" w:type="dxa"/>
            <w:vAlign w:val="center"/>
          </w:tcPr>
          <w:p>
            <w:pPr>
              <w:spacing w:line="280" w:lineRule="exact"/>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FF"/>
                <w:szCs w:val="21"/>
                <w:lang w:eastAsia="zh-CN"/>
              </w:rPr>
              <w:t>拟修订</w:t>
            </w:r>
          </w:p>
        </w:tc>
        <w:tc>
          <w:tcPr>
            <w:tcW w:w="3263" w:type="dxa"/>
            <w:vAlign w:val="center"/>
          </w:tcPr>
          <w:p>
            <w:pPr>
              <w:spacing w:line="280" w:lineRule="exact"/>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云南省违法建筑处置规定》于2017年3月31日施行，应结合现行法律法规和实际情况修改完善后重新发布。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5</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芒市市政公用设施管理办法</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芒市政府第49号公告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6</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芒市户外广告和招牌设置管理办法</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芒市政府第50号公告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FF"/>
                <w:szCs w:val="21"/>
                <w:lang w:eastAsia="zh-CN"/>
              </w:rPr>
              <w:t>拟修订</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color w:val="000000" w:themeColor="text1"/>
                <w14:textFill>
                  <w14:solidFill>
                    <w14:schemeClr w14:val="tx1"/>
                  </w14:solidFill>
                </w14:textFill>
              </w:rPr>
              <w:t>因单位职权调整，应结合现行法律法规和实际情况修改完善后重新发布。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7</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芒市经济适用住房管理实施办法</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芒市政府第52号公告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FF0000"/>
                <w:szCs w:val="21"/>
                <w:lang w:eastAsia="zh-CN"/>
              </w:rPr>
              <w:t>继续执行（</w:t>
            </w:r>
            <w:r>
              <w:rPr>
                <w:rFonts w:hint="eastAsia" w:asciiTheme="minorEastAsia" w:hAnsiTheme="minorEastAsia" w:cstheme="minorEastAsia"/>
                <w:color w:val="FF0000"/>
                <w:szCs w:val="21"/>
                <w:lang w:val="en-US" w:eastAsia="zh-CN"/>
              </w:rPr>
              <w:t>是否包含在公租房</w:t>
            </w:r>
            <w:r>
              <w:rPr>
                <w:rFonts w:hint="eastAsia" w:asciiTheme="minorEastAsia" w:hAnsiTheme="minorEastAsia" w:cstheme="minorEastAsia"/>
                <w:color w:val="FF0000"/>
                <w:szCs w:val="21"/>
                <w:lang w:eastAsia="zh-CN"/>
              </w:rPr>
              <w:t>）</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8</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德宏芒市机场净空与电磁环境保护管理办法</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芒市政府第53号公告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FF0000"/>
                <w:szCs w:val="21"/>
                <w:lang w:eastAsia="zh-CN"/>
              </w:rPr>
              <w:t>已修订，待上会</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因机构改革职权调整，且仍有必要继续施行，应结合现行法律法规和实际情况修改完善后重新发布。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exact"/>
          <w:jc w:val="center"/>
        </w:trPr>
        <w:tc>
          <w:tcPr>
            <w:tcW w:w="964" w:type="dxa"/>
            <w:vAlign w:val="center"/>
          </w:tcPr>
          <w:p>
            <w:pPr>
              <w:spacing w:line="28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29</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关于废止部分规范性文件的决定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芒市政府第54号公告</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3</w:t>
            </w:r>
            <w:r>
              <w:rPr>
                <w:rFonts w:hint="eastAsia" w:asciiTheme="minorEastAsia" w:hAnsiTheme="minorEastAsia" w:cstheme="minorEastAsia"/>
                <w:szCs w:val="21"/>
                <w:lang w:val="en-US" w:eastAsia="zh-CN"/>
              </w:rPr>
              <w:t>0</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芒市网络预约出租汽车经营服务管理实施细则（试行）</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2"/>
                <w:u w:val="none"/>
                <w:lang w:val="en-US" w:eastAsia="zh-CN" w:bidi="ar"/>
                <w14:textFill>
                  <w14:solidFill>
                    <w14:schemeClr w14:val="tx1"/>
                  </w14:solidFill>
                </w14:textFill>
              </w:rPr>
            </w:pPr>
            <w:r>
              <w:rPr>
                <w:rStyle w:val="11"/>
                <w:rFonts w:hint="eastAsia"/>
                <w:color w:val="000000" w:themeColor="text1"/>
                <w:lang w:val="en-US" w:eastAsia="zh-CN" w:bidi="ar"/>
                <w14:textFill>
                  <w14:solidFill>
                    <w14:schemeClr w14:val="tx1"/>
                  </w14:solidFill>
                </w14:textFill>
              </w:rPr>
              <w:t>芒市政府第55号公告</w:t>
            </w:r>
          </w:p>
        </w:tc>
        <w:tc>
          <w:tcPr>
            <w:tcW w:w="1371"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FF0000"/>
                <w:szCs w:val="21"/>
                <w:lang w:eastAsia="zh-CN"/>
              </w:rPr>
              <w:t>拟废止（</w:t>
            </w:r>
            <w:r>
              <w:rPr>
                <w:rFonts w:hint="eastAsia" w:asciiTheme="minorEastAsia" w:hAnsiTheme="minorEastAsia" w:cstheme="minorEastAsia"/>
                <w:color w:val="FF0000"/>
                <w:szCs w:val="21"/>
                <w:lang w:val="en-US" w:eastAsia="zh-CN"/>
              </w:rPr>
              <w:t>可废止</w:t>
            </w:r>
            <w:r>
              <w:rPr>
                <w:rFonts w:hint="eastAsia" w:asciiTheme="minorEastAsia" w:hAnsiTheme="minorEastAsia" w:cstheme="minorEastAsia"/>
                <w:color w:val="FF0000"/>
                <w:szCs w:val="21"/>
                <w:lang w:eastAsia="zh-CN"/>
              </w:rPr>
              <w:t>）</w:t>
            </w:r>
          </w:p>
        </w:tc>
        <w:tc>
          <w:tcPr>
            <w:tcW w:w="3263" w:type="dxa"/>
            <w:vAlign w:val="center"/>
          </w:tcPr>
          <w:p>
            <w:pPr>
              <w:spacing w:line="280" w:lineRule="exact"/>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因有效期届满，且与上级政策相冲突，拟废止该文件。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3</w:t>
            </w:r>
            <w:r>
              <w:rPr>
                <w:rFonts w:hint="eastAsia" w:asciiTheme="minorEastAsia" w:hAnsiTheme="minorEastAsia" w:cstheme="minorEastAsia"/>
                <w:szCs w:val="21"/>
                <w:lang w:val="en-US" w:eastAsia="zh-CN"/>
              </w:rPr>
              <w:t>1</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default" w:ascii="Times New Roman" w:hAnsi="Times New Roman" w:eastAsia="宋体" w:cs="Times New Roman"/>
                <w:i w:val="0"/>
                <w:color w:val="auto"/>
                <w:kern w:val="0"/>
                <w:sz w:val="22"/>
                <w:szCs w:val="22"/>
                <w:u w:val="none"/>
                <w:lang w:val="en-US" w:eastAsia="zh-CN" w:bidi="ar"/>
              </w:rPr>
              <w:t>芒市人民政府关于禁止燃放烟花爆竹的通告</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芒政规〔2019〕1号</w:t>
            </w:r>
          </w:p>
        </w:tc>
        <w:tc>
          <w:tcPr>
            <w:tcW w:w="1371" w:type="dxa"/>
            <w:vAlign w:val="center"/>
          </w:tcPr>
          <w:p>
            <w:pPr>
              <w:spacing w:line="280" w:lineRule="exact"/>
              <w:jc w:val="center"/>
              <w:textAlignment w:val="center"/>
              <w:rPr>
                <w:rFonts w:hint="eastAsia" w:asciiTheme="minorEastAsia" w:hAnsiTheme="minorEastAsia" w:eastAsiaTheme="minorEastAsia" w:cstheme="minorEastAsia"/>
                <w:color w:val="auto"/>
                <w:szCs w:val="21"/>
                <w:lang w:eastAsia="zh-CN"/>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hint="eastAsia" w:asciiTheme="minorEastAsia" w:hAnsiTheme="minorEastAsia" w:eastAsiaTheme="minorEastAsia" w:cstheme="minor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3</w:t>
            </w:r>
            <w:r>
              <w:rPr>
                <w:rFonts w:hint="eastAsia" w:asciiTheme="minorEastAsia" w:hAnsiTheme="minorEastAsia" w:cstheme="minorEastAsia"/>
                <w:szCs w:val="21"/>
                <w:lang w:val="en-US" w:eastAsia="zh-CN"/>
              </w:rPr>
              <w:t>2</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color w:val="auto"/>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i w:val="0"/>
                <w:color w:val="auto"/>
                <w:kern w:val="0"/>
                <w:sz w:val="22"/>
                <w:szCs w:val="22"/>
                <w:u w:val="none"/>
                <w:lang w:val="en-US" w:eastAsia="zh-CN" w:bidi="ar"/>
              </w:rPr>
              <w:t>芒市人民政府</w:t>
            </w:r>
            <w:bookmarkStart w:id="0" w:name="_GoBack"/>
            <w:bookmarkEnd w:id="0"/>
            <w:r>
              <w:rPr>
                <w:rFonts w:hint="eastAsia" w:ascii="宋体" w:hAnsi="宋体" w:eastAsia="宋体" w:cs="宋体"/>
                <w:i w:val="0"/>
                <w:color w:val="auto"/>
                <w:kern w:val="0"/>
                <w:sz w:val="22"/>
                <w:szCs w:val="22"/>
                <w:u w:val="none"/>
                <w:lang w:val="en-US" w:eastAsia="zh-CN" w:bidi="ar"/>
              </w:rPr>
              <w:t>关于印发芒市殡葬管理实施细则（试行）的通知</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芒政规〔2019〕2号</w:t>
            </w:r>
          </w:p>
        </w:tc>
        <w:tc>
          <w:tcPr>
            <w:tcW w:w="1371" w:type="dxa"/>
            <w:vAlign w:val="center"/>
          </w:tcPr>
          <w:p>
            <w:pPr>
              <w:spacing w:line="280" w:lineRule="exact"/>
              <w:jc w:val="center"/>
              <w:textAlignment w:val="center"/>
              <w:rPr>
                <w:rFonts w:hint="eastAsia" w:asciiTheme="minorEastAsia" w:hAnsiTheme="minorEastAsia" w:eastAsiaTheme="minorEastAsia" w:cstheme="minorEastAsia"/>
                <w:color w:val="auto"/>
                <w:szCs w:val="21"/>
                <w:lang w:eastAsia="zh-CN"/>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3</w:t>
            </w:r>
            <w:r>
              <w:rPr>
                <w:rFonts w:hint="eastAsia" w:asciiTheme="minorEastAsia" w:hAnsiTheme="minorEastAsia" w:cstheme="minorEastAsia"/>
                <w:szCs w:val="21"/>
                <w:lang w:val="en-US" w:eastAsia="zh-CN"/>
              </w:rPr>
              <w:t>3</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i w:val="0"/>
                <w:color w:val="auto"/>
                <w:kern w:val="0"/>
                <w:sz w:val="22"/>
                <w:szCs w:val="22"/>
                <w:u w:val="none"/>
                <w:lang w:val="en-US" w:eastAsia="zh-CN" w:bidi="ar"/>
              </w:rPr>
              <w:t>芒市人民政府关于修改芒市城区河道管理办法的决定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芒政规〔2020〕1号</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3</w:t>
            </w:r>
            <w:r>
              <w:rPr>
                <w:rFonts w:hint="eastAsia" w:asciiTheme="minorEastAsia" w:hAnsiTheme="minorEastAsia" w:cstheme="minorEastAsia"/>
                <w:szCs w:val="21"/>
                <w:lang w:val="en-US" w:eastAsia="zh-CN"/>
              </w:rPr>
              <w:t>4</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i w:val="0"/>
                <w:color w:val="auto"/>
                <w:kern w:val="0"/>
                <w:sz w:val="22"/>
                <w:szCs w:val="22"/>
                <w:u w:val="none"/>
                <w:lang w:val="en-US" w:eastAsia="zh-CN" w:bidi="ar"/>
              </w:rPr>
              <w:t>芒市人民政府关于修改调整限制入城车辆类型和限制车辆通行范围的通告</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芒政规〔2020〕2号</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color w:val="auto"/>
                <w:szCs w:val="21"/>
                <w:lang w:val="en-US" w:eastAsia="zh-CN"/>
              </w:rPr>
              <w:t>35</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i w:val="0"/>
                <w:color w:val="auto"/>
                <w:kern w:val="0"/>
                <w:sz w:val="22"/>
                <w:szCs w:val="22"/>
                <w:u w:val="none"/>
                <w:lang w:val="en-US" w:eastAsia="zh-CN" w:bidi="ar"/>
              </w:rPr>
              <w:t>芒市人民政府关于印发芒市改革完善被征地农民基本养老保障工作实施细则的通知</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芒政规〔2020〕3号</w:t>
            </w:r>
          </w:p>
        </w:tc>
        <w:tc>
          <w:tcPr>
            <w:tcW w:w="1371" w:type="dxa"/>
            <w:vAlign w:val="center"/>
          </w:tcPr>
          <w:p>
            <w:pPr>
              <w:spacing w:line="280" w:lineRule="exact"/>
              <w:jc w:val="center"/>
              <w:textAlignment w:val="center"/>
              <w:rPr>
                <w:rFonts w:hint="eastAsia" w:asciiTheme="minorEastAsia" w:hAnsiTheme="minorEastAsia" w:eastAsiaTheme="minorEastAsia" w:cstheme="minorEastAsia"/>
                <w:color w:val="auto"/>
                <w:szCs w:val="21"/>
                <w:lang w:eastAsia="zh-CN"/>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Cs w:val="21"/>
                <w:lang w:val="en-US" w:eastAsia="zh-CN"/>
              </w:rPr>
              <w:t>36</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县级政府规范性文件</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芒市人民政府关于废止部分规范性文件的决定</w:t>
            </w:r>
          </w:p>
        </w:tc>
        <w:tc>
          <w:tcPr>
            <w:tcW w:w="2032" w:type="dxa"/>
            <w:vAlign w:val="center"/>
          </w:tcPr>
          <w:p>
            <w:pPr>
              <w:keepNext w:val="0"/>
              <w:keepLines w:val="0"/>
              <w:widowControl/>
              <w:suppressLineNumbers w:val="0"/>
              <w:jc w:val="center"/>
              <w:textAlignment w:val="center"/>
              <w:rPr>
                <w:rFonts w:hint="eastAsia" w:ascii="宋体" w:hAnsi="宋体" w:eastAsia="宋体" w:cs="宋体"/>
                <w:color w:val="auto"/>
                <w:kern w:val="2"/>
                <w:sz w:val="22"/>
                <w:szCs w:val="22"/>
                <w:u w:val="none"/>
                <w:lang w:val="en-US" w:eastAsia="zh-CN" w:bidi="ar"/>
              </w:rPr>
            </w:pPr>
            <w:r>
              <w:rPr>
                <w:rStyle w:val="11"/>
                <w:rFonts w:hint="eastAsia"/>
                <w:color w:val="auto"/>
                <w:lang w:val="en-US" w:eastAsia="zh-CN" w:bidi="ar"/>
              </w:rPr>
              <w:t>芒政规〔2020〕4号</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default"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37</w:t>
            </w:r>
          </w:p>
        </w:tc>
        <w:tc>
          <w:tcPr>
            <w:tcW w:w="2282" w:type="dxa"/>
            <w:vAlign w:val="center"/>
          </w:tcPr>
          <w:p>
            <w:pPr>
              <w:spacing w:line="280" w:lineRule="exact"/>
              <w:jc w:val="center"/>
              <w:textAlignment w:val="bottom"/>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县级政府规范性文件</w:t>
            </w:r>
          </w:p>
        </w:tc>
        <w:tc>
          <w:tcPr>
            <w:tcW w:w="3449"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芒市人民政府关于印发芒市城市规划区集体预留用地管理办法的通知</w:t>
            </w:r>
          </w:p>
        </w:tc>
        <w:tc>
          <w:tcPr>
            <w:tcW w:w="2032" w:type="dxa"/>
            <w:vAlign w:val="center"/>
          </w:tcPr>
          <w:p>
            <w:pPr>
              <w:keepNext w:val="0"/>
              <w:keepLines w:val="0"/>
              <w:widowControl/>
              <w:suppressLineNumbers w:val="0"/>
              <w:jc w:val="center"/>
              <w:textAlignment w:val="center"/>
              <w:rPr>
                <w:rStyle w:val="11"/>
                <w:rFonts w:hint="eastAsia"/>
                <w:color w:val="auto"/>
                <w:lang w:val="en-US" w:eastAsia="zh-CN" w:bidi="ar"/>
              </w:rPr>
            </w:pPr>
            <w:r>
              <w:rPr>
                <w:rStyle w:val="11"/>
                <w:rFonts w:hint="eastAsia"/>
                <w:color w:val="auto"/>
                <w:lang w:val="en-US" w:eastAsia="zh-CN" w:bidi="ar"/>
              </w:rPr>
              <w:t>芒政规〔2021〕1号</w:t>
            </w:r>
          </w:p>
        </w:tc>
        <w:tc>
          <w:tcPr>
            <w:tcW w:w="1371" w:type="dxa"/>
            <w:vAlign w:val="center"/>
          </w:tcPr>
          <w:p>
            <w:pPr>
              <w:spacing w:line="280" w:lineRule="exact"/>
              <w:jc w:val="center"/>
              <w:textAlignment w:val="center"/>
              <w:rPr>
                <w:rFonts w:hint="eastAsia"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default"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38</w:t>
            </w:r>
          </w:p>
        </w:tc>
        <w:tc>
          <w:tcPr>
            <w:tcW w:w="2282" w:type="dxa"/>
            <w:vAlign w:val="center"/>
          </w:tcPr>
          <w:p>
            <w:pPr>
              <w:spacing w:line="280" w:lineRule="exact"/>
              <w:jc w:val="center"/>
              <w:textAlignment w:val="bottom"/>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县级政府规范性文件</w:t>
            </w:r>
          </w:p>
        </w:tc>
        <w:tc>
          <w:tcPr>
            <w:tcW w:w="3449"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芒市人民政府关于印发芒市国有小地块规划技术管理意见（试行）的通知</w:t>
            </w:r>
          </w:p>
        </w:tc>
        <w:tc>
          <w:tcPr>
            <w:tcW w:w="2032" w:type="dxa"/>
            <w:vAlign w:val="center"/>
          </w:tcPr>
          <w:p>
            <w:pPr>
              <w:keepNext w:val="0"/>
              <w:keepLines w:val="0"/>
              <w:widowControl/>
              <w:suppressLineNumbers w:val="0"/>
              <w:jc w:val="center"/>
              <w:textAlignment w:val="center"/>
              <w:rPr>
                <w:rStyle w:val="11"/>
                <w:rFonts w:hint="eastAsia"/>
                <w:color w:val="auto"/>
                <w:lang w:val="en-US" w:eastAsia="zh-CN" w:bidi="ar"/>
              </w:rPr>
            </w:pPr>
            <w:r>
              <w:rPr>
                <w:rStyle w:val="11"/>
                <w:rFonts w:hint="eastAsia"/>
                <w:color w:val="auto"/>
                <w:lang w:val="en-US" w:eastAsia="zh-CN" w:bidi="ar"/>
              </w:rPr>
              <w:t>芒政规〔2021〕2号</w:t>
            </w:r>
          </w:p>
        </w:tc>
        <w:tc>
          <w:tcPr>
            <w:tcW w:w="1371" w:type="dxa"/>
            <w:vAlign w:val="center"/>
          </w:tcPr>
          <w:p>
            <w:pPr>
              <w:spacing w:line="280" w:lineRule="exact"/>
              <w:jc w:val="center"/>
              <w:textAlignment w:val="center"/>
              <w:rPr>
                <w:rFonts w:hint="eastAsia" w:asciiTheme="minorEastAsia" w:hAnsiTheme="minorEastAsia" w:cstheme="minorEastAsia"/>
                <w:color w:val="auto"/>
                <w:szCs w:val="21"/>
                <w:lang w:eastAsia="zh-CN"/>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7" w:hRule="exact"/>
          <w:jc w:val="center"/>
        </w:trPr>
        <w:tc>
          <w:tcPr>
            <w:tcW w:w="964" w:type="dxa"/>
            <w:vAlign w:val="center"/>
          </w:tcPr>
          <w:p>
            <w:pPr>
              <w:spacing w:line="280" w:lineRule="exact"/>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Cs w:val="21"/>
                <w:lang w:val="en-US" w:eastAsia="zh-CN"/>
              </w:rPr>
              <w:t>39</w:t>
            </w:r>
          </w:p>
        </w:tc>
        <w:tc>
          <w:tcPr>
            <w:tcW w:w="2282" w:type="dxa"/>
            <w:vAlign w:val="center"/>
          </w:tcPr>
          <w:p>
            <w:pPr>
              <w:spacing w:line="280" w:lineRule="exact"/>
              <w:jc w:val="center"/>
              <w:textAlignment w:val="bottom"/>
              <w:rPr>
                <w:rFonts w:asciiTheme="minorEastAsia" w:hAnsiTheme="minorEastAsia" w:cstheme="minorEastAsia"/>
                <w:color w:val="auto"/>
                <w:szCs w:val="21"/>
              </w:rPr>
            </w:pPr>
            <w:r>
              <w:rPr>
                <w:rFonts w:hint="eastAsia" w:asciiTheme="minorEastAsia" w:hAnsiTheme="minorEastAsia" w:eastAsiaTheme="minorEastAsia" w:cstheme="minorEastAsia"/>
                <w:lang w:eastAsia="zh-CN"/>
              </w:rPr>
              <w:t>县级政府部门规范性文件</w:t>
            </w:r>
          </w:p>
        </w:tc>
        <w:tc>
          <w:tcPr>
            <w:tcW w:w="0" w:type="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宋体" w:cs="宋体"/>
                <w:i w:val="0"/>
                <w:color w:val="auto"/>
                <w:kern w:val="0"/>
                <w:sz w:val="22"/>
                <w:szCs w:val="22"/>
                <w:u w:val="none"/>
                <w:lang w:val="en-US" w:eastAsia="zh-CN" w:bidi="ar"/>
              </w:rPr>
            </w:pPr>
            <w:r>
              <w:rPr>
                <w:rFonts w:hint="eastAsia" w:asciiTheme="majorEastAsia" w:hAnsiTheme="majorEastAsia" w:eastAsiaTheme="majorEastAsia" w:cstheme="majorEastAsia"/>
                <w:color w:val="auto"/>
                <w:kern w:val="2"/>
                <w:sz w:val="22"/>
                <w:szCs w:val="22"/>
                <w:lang w:val="zh-CN" w:eastAsia="zh-CN" w:bidi="ar"/>
              </w:rPr>
              <w:t>芒市城乡居民养老保险待遇领取人员管理办法</w:t>
            </w:r>
          </w:p>
        </w:tc>
        <w:tc>
          <w:tcPr>
            <w:tcW w:w="203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宋体" w:hAnsi="宋体" w:eastAsia="宋体" w:cs="宋体"/>
                <w:color w:val="auto"/>
                <w:kern w:val="2"/>
                <w:sz w:val="22"/>
                <w:szCs w:val="22"/>
                <w:u w:val="none"/>
                <w:lang w:val="en-US" w:eastAsia="zh-CN" w:bidi="ar"/>
              </w:rPr>
            </w:pPr>
            <w:r>
              <w:rPr>
                <w:rFonts w:hint="eastAsia" w:asciiTheme="majorEastAsia" w:hAnsiTheme="majorEastAsia" w:eastAsiaTheme="majorEastAsia" w:cstheme="majorEastAsia"/>
                <w:color w:val="auto"/>
                <w:kern w:val="2"/>
                <w:sz w:val="22"/>
                <w:szCs w:val="22"/>
                <w:lang w:val="zh-CN" w:eastAsia="zh-CN" w:bidi="ar"/>
              </w:rPr>
              <w:t>芒人社〔2014〕162号</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拟修订</w:t>
            </w:r>
          </w:p>
        </w:tc>
        <w:tc>
          <w:tcPr>
            <w:tcW w:w="3263"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应结合《</w:t>
            </w:r>
            <w:r>
              <w:rPr>
                <w:rFonts w:hint="eastAsia" w:asciiTheme="minorEastAsia" w:hAnsiTheme="minorEastAsia" w:eastAsiaTheme="minorEastAsia" w:cstheme="minorEastAsia"/>
                <w:color w:val="000000" w:themeColor="text1"/>
                <w:sz w:val="21"/>
                <w:szCs w:val="21"/>
                <w14:textFill>
                  <w14:solidFill>
                    <w14:schemeClr w14:val="tx1"/>
                  </w14:solidFill>
                </w14:textFill>
              </w:rPr>
              <w:t>云南省实行告知承诺制的证明事项清单（第一批）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104项。</w:t>
            </w:r>
            <w:r>
              <w:rPr>
                <w:rFonts w:hint="eastAsia" w:asciiTheme="minorEastAsia" w:hAnsiTheme="minorEastAsia" w:eastAsiaTheme="minorEastAsia" w:cstheme="minorEastAsia"/>
                <w:color w:val="000000" w:themeColor="text1"/>
                <w:sz w:val="21"/>
                <w:szCs w:val="21"/>
                <w14:textFill>
                  <w14:solidFill>
                    <w14:schemeClr w14:val="tx1"/>
                  </w14:solidFill>
                </w14:textFill>
              </w:rPr>
              <w:t>和实际情况修改完善后重新发布。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964" w:type="dxa"/>
            <w:vAlign w:val="center"/>
          </w:tcPr>
          <w:p>
            <w:pPr>
              <w:spacing w:line="28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40</w:t>
            </w:r>
          </w:p>
        </w:tc>
        <w:tc>
          <w:tcPr>
            <w:tcW w:w="2282" w:type="dxa"/>
            <w:vAlign w:val="center"/>
          </w:tcPr>
          <w:p>
            <w:pPr>
              <w:spacing w:line="280" w:lineRule="exact"/>
              <w:jc w:val="center"/>
              <w:textAlignment w:val="bottom"/>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县级政府部门规范性文件</w:t>
            </w:r>
          </w:p>
        </w:tc>
        <w:tc>
          <w:tcPr>
            <w:tcW w:w="0" w:type="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center"/>
              <w:outlineLvl w:val="9"/>
              <w:rPr>
                <w:rFonts w:hint="eastAsia" w:asciiTheme="majorEastAsia" w:hAnsiTheme="majorEastAsia" w:eastAsiaTheme="majorEastAsia" w:cstheme="majorEastAsia"/>
                <w:color w:val="auto"/>
                <w:kern w:val="2"/>
                <w:sz w:val="22"/>
                <w:szCs w:val="22"/>
                <w:lang w:val="en-US" w:eastAsia="zh-CN" w:bidi="ar"/>
              </w:rPr>
            </w:pPr>
            <w:r>
              <w:rPr>
                <w:rFonts w:hint="eastAsia" w:asciiTheme="majorEastAsia" w:hAnsiTheme="majorEastAsia" w:eastAsiaTheme="majorEastAsia" w:cstheme="majorEastAsia"/>
                <w:color w:val="auto"/>
                <w:kern w:val="2"/>
                <w:sz w:val="22"/>
                <w:szCs w:val="22"/>
                <w:lang w:val="zh-CN" w:eastAsia="zh-CN" w:bidi="ar"/>
              </w:rPr>
              <w:t>关于印发芒市村级人社金融协办员管理办法的通知</w:t>
            </w:r>
          </w:p>
        </w:tc>
        <w:tc>
          <w:tcPr>
            <w:tcW w:w="203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22"/>
                <w:szCs w:val="22"/>
                <w:lang w:val="en-US" w:eastAsia="zh-CN" w:bidi="ar"/>
              </w:rPr>
            </w:pPr>
            <w:r>
              <w:rPr>
                <w:rFonts w:hint="eastAsia" w:asciiTheme="majorEastAsia" w:hAnsiTheme="majorEastAsia" w:eastAsiaTheme="majorEastAsia" w:cstheme="majorEastAsia"/>
                <w:color w:val="auto"/>
                <w:kern w:val="2"/>
                <w:sz w:val="22"/>
                <w:szCs w:val="22"/>
                <w:lang w:val="zh-CN" w:eastAsia="zh-CN" w:bidi="ar"/>
              </w:rPr>
              <w:t>芒人社〔2016〕40号</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exact"/>
          <w:jc w:val="center"/>
        </w:trPr>
        <w:tc>
          <w:tcPr>
            <w:tcW w:w="964" w:type="dxa"/>
            <w:vAlign w:val="center"/>
          </w:tcPr>
          <w:p>
            <w:pPr>
              <w:spacing w:line="28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41</w:t>
            </w:r>
          </w:p>
        </w:tc>
        <w:tc>
          <w:tcPr>
            <w:tcW w:w="2282" w:type="dxa"/>
            <w:vAlign w:val="center"/>
          </w:tcPr>
          <w:p>
            <w:pPr>
              <w:spacing w:line="280" w:lineRule="exact"/>
              <w:jc w:val="center"/>
              <w:textAlignment w:val="bottom"/>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县级政府部门规范性文件</w:t>
            </w:r>
          </w:p>
        </w:tc>
        <w:tc>
          <w:tcPr>
            <w:tcW w:w="344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both"/>
              <w:outlineLvl w:val="9"/>
              <w:rPr>
                <w:rFonts w:hint="eastAsia" w:asciiTheme="majorEastAsia" w:hAnsiTheme="majorEastAsia" w:eastAsiaTheme="majorEastAsia" w:cstheme="majorEastAsia"/>
                <w:color w:val="auto"/>
                <w:kern w:val="2"/>
                <w:sz w:val="22"/>
                <w:szCs w:val="22"/>
                <w:lang w:val="en-US" w:eastAsia="zh-CN" w:bidi="ar"/>
              </w:rPr>
            </w:pPr>
            <w:r>
              <w:rPr>
                <w:rFonts w:hint="eastAsia" w:asciiTheme="majorEastAsia" w:hAnsiTheme="majorEastAsia" w:eastAsiaTheme="majorEastAsia" w:cstheme="majorEastAsia"/>
                <w:color w:val="auto"/>
                <w:kern w:val="2"/>
                <w:sz w:val="22"/>
                <w:szCs w:val="22"/>
                <w:lang w:val="zh-CN" w:eastAsia="zh-CN" w:bidi="ar"/>
              </w:rPr>
              <w:t>德宏州芒市烟草专卖局关于印发《德宏州芒市烟草专卖局烟草制品零售点合理布局规定（修订稿）》的通知</w:t>
            </w:r>
          </w:p>
        </w:tc>
        <w:tc>
          <w:tcPr>
            <w:tcW w:w="203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22"/>
                <w:szCs w:val="22"/>
                <w:lang w:val="en-US" w:eastAsia="zh-CN" w:bidi="ar"/>
              </w:rPr>
            </w:pPr>
            <w:r>
              <w:rPr>
                <w:rFonts w:hint="eastAsia" w:asciiTheme="majorEastAsia" w:hAnsiTheme="majorEastAsia" w:eastAsiaTheme="majorEastAsia" w:cstheme="majorEastAsia"/>
                <w:color w:val="auto"/>
                <w:kern w:val="2"/>
                <w:sz w:val="22"/>
                <w:szCs w:val="22"/>
                <w:lang w:val="zh-CN" w:eastAsia="zh-CN" w:bidi="ar"/>
              </w:rPr>
              <w:t>芒烟专 〔2021〕10号</w:t>
            </w:r>
          </w:p>
        </w:tc>
        <w:tc>
          <w:tcPr>
            <w:tcW w:w="1371" w:type="dxa"/>
            <w:vAlign w:val="center"/>
          </w:tcPr>
          <w:p>
            <w:pPr>
              <w:spacing w:line="280" w:lineRule="exact"/>
              <w:jc w:val="center"/>
              <w:textAlignment w:val="center"/>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继续执行</w:t>
            </w: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exact"/>
          <w:jc w:val="center"/>
        </w:trPr>
        <w:tc>
          <w:tcPr>
            <w:tcW w:w="964" w:type="dxa"/>
            <w:vAlign w:val="center"/>
          </w:tcPr>
          <w:p>
            <w:pPr>
              <w:spacing w:line="280" w:lineRule="exact"/>
              <w:jc w:val="center"/>
              <w:rPr>
                <w:rFonts w:hint="eastAsia" w:asciiTheme="minorEastAsia" w:hAnsiTheme="minorEastAsia" w:cstheme="minorEastAsia"/>
                <w:color w:val="auto"/>
                <w:szCs w:val="21"/>
                <w:lang w:val="en-US" w:eastAsia="zh-CN"/>
              </w:rPr>
            </w:pPr>
          </w:p>
        </w:tc>
        <w:tc>
          <w:tcPr>
            <w:tcW w:w="2282" w:type="dxa"/>
            <w:vAlign w:val="center"/>
          </w:tcPr>
          <w:p>
            <w:pPr>
              <w:spacing w:line="280" w:lineRule="exact"/>
              <w:jc w:val="center"/>
              <w:textAlignment w:val="bottom"/>
              <w:rPr>
                <w:rFonts w:hint="eastAsia" w:asciiTheme="minorEastAsia" w:hAnsiTheme="minorEastAsia" w:eastAsiaTheme="minorEastAsia" w:cstheme="minorEastAsia"/>
                <w:lang w:eastAsia="zh-CN"/>
              </w:rPr>
            </w:pPr>
          </w:p>
        </w:tc>
        <w:tc>
          <w:tcPr>
            <w:tcW w:w="344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both"/>
              <w:outlineLvl w:val="9"/>
              <w:rPr>
                <w:rFonts w:hint="eastAsia" w:asciiTheme="majorEastAsia" w:hAnsiTheme="majorEastAsia" w:eastAsiaTheme="majorEastAsia" w:cstheme="majorEastAsia"/>
                <w:color w:val="auto"/>
                <w:kern w:val="2"/>
                <w:sz w:val="22"/>
                <w:szCs w:val="22"/>
                <w:lang w:val="zh-CN" w:eastAsia="zh-CN" w:bidi="ar"/>
              </w:rPr>
            </w:pPr>
          </w:p>
        </w:tc>
        <w:tc>
          <w:tcPr>
            <w:tcW w:w="203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22"/>
                <w:szCs w:val="22"/>
                <w:lang w:val="zh-CN" w:eastAsia="zh-CN" w:bidi="ar"/>
              </w:rPr>
            </w:pPr>
          </w:p>
        </w:tc>
        <w:tc>
          <w:tcPr>
            <w:tcW w:w="1371" w:type="dxa"/>
            <w:vAlign w:val="center"/>
          </w:tcPr>
          <w:p>
            <w:pPr>
              <w:spacing w:line="280" w:lineRule="exact"/>
              <w:jc w:val="center"/>
              <w:textAlignment w:val="center"/>
              <w:rPr>
                <w:rFonts w:hint="eastAsia" w:asciiTheme="minorEastAsia" w:hAnsiTheme="minorEastAsia" w:cstheme="minorEastAsia"/>
                <w:color w:val="auto"/>
                <w:szCs w:val="21"/>
                <w:lang w:eastAsia="zh-CN"/>
              </w:rPr>
            </w:pP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exact"/>
          <w:jc w:val="center"/>
        </w:trPr>
        <w:tc>
          <w:tcPr>
            <w:tcW w:w="964" w:type="dxa"/>
            <w:vAlign w:val="center"/>
          </w:tcPr>
          <w:p>
            <w:pPr>
              <w:spacing w:line="280" w:lineRule="exact"/>
              <w:jc w:val="center"/>
              <w:rPr>
                <w:rFonts w:hint="eastAsia" w:asciiTheme="minorEastAsia" w:hAnsiTheme="minorEastAsia" w:cstheme="minorEastAsia"/>
                <w:color w:val="auto"/>
                <w:szCs w:val="21"/>
                <w:lang w:val="en-US" w:eastAsia="zh-CN"/>
              </w:rPr>
            </w:pPr>
          </w:p>
        </w:tc>
        <w:tc>
          <w:tcPr>
            <w:tcW w:w="2282" w:type="dxa"/>
            <w:vAlign w:val="center"/>
          </w:tcPr>
          <w:p>
            <w:pPr>
              <w:spacing w:line="280" w:lineRule="exact"/>
              <w:jc w:val="center"/>
              <w:textAlignment w:val="bottom"/>
              <w:rPr>
                <w:rFonts w:hint="eastAsia" w:asciiTheme="minorEastAsia" w:hAnsiTheme="minorEastAsia" w:eastAsiaTheme="minorEastAsia" w:cstheme="minorEastAsia"/>
                <w:lang w:eastAsia="zh-CN"/>
              </w:rPr>
            </w:pPr>
          </w:p>
        </w:tc>
        <w:tc>
          <w:tcPr>
            <w:tcW w:w="344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80" w:lineRule="exact"/>
              <w:ind w:left="0" w:leftChars="0" w:right="0" w:rightChars="0" w:firstLine="0" w:firstLineChars="0"/>
              <w:jc w:val="both"/>
              <w:outlineLvl w:val="9"/>
              <w:rPr>
                <w:rFonts w:hint="eastAsia" w:asciiTheme="majorEastAsia" w:hAnsiTheme="majorEastAsia" w:eastAsiaTheme="majorEastAsia" w:cstheme="majorEastAsia"/>
                <w:color w:val="auto"/>
                <w:kern w:val="2"/>
                <w:sz w:val="22"/>
                <w:szCs w:val="22"/>
                <w:lang w:val="zh-CN" w:eastAsia="zh-CN" w:bidi="ar"/>
              </w:rPr>
            </w:pPr>
          </w:p>
        </w:tc>
        <w:tc>
          <w:tcPr>
            <w:tcW w:w="203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22"/>
                <w:szCs w:val="22"/>
                <w:lang w:val="zh-CN" w:eastAsia="zh-CN" w:bidi="ar"/>
              </w:rPr>
            </w:pPr>
          </w:p>
        </w:tc>
        <w:tc>
          <w:tcPr>
            <w:tcW w:w="1371" w:type="dxa"/>
            <w:vAlign w:val="center"/>
          </w:tcPr>
          <w:p>
            <w:pPr>
              <w:spacing w:line="280" w:lineRule="exact"/>
              <w:jc w:val="center"/>
              <w:textAlignment w:val="center"/>
              <w:rPr>
                <w:rFonts w:hint="eastAsia" w:asciiTheme="minorEastAsia" w:hAnsiTheme="minorEastAsia" w:cstheme="minorEastAsia"/>
                <w:color w:val="auto"/>
                <w:szCs w:val="21"/>
                <w:lang w:eastAsia="zh-CN"/>
              </w:rPr>
            </w:pPr>
          </w:p>
        </w:tc>
        <w:tc>
          <w:tcPr>
            <w:tcW w:w="3263" w:type="dxa"/>
            <w:vAlign w:val="center"/>
          </w:tcPr>
          <w:p>
            <w:pPr>
              <w:spacing w:line="280" w:lineRule="exact"/>
              <w:jc w:val="center"/>
              <w:textAlignment w:val="center"/>
              <w:rPr>
                <w:rFonts w:asciiTheme="minorEastAsia" w:hAnsiTheme="minorEastAsia" w:cstheme="minorEastAsia"/>
                <w:color w:val="auto"/>
                <w:szCs w:val="21"/>
              </w:rPr>
            </w:pPr>
          </w:p>
        </w:tc>
      </w:tr>
    </w:tbl>
    <w:p>
      <w:pPr>
        <w:rPr>
          <w:rFonts w:hint="eastAsia"/>
          <w:lang w:eastAsia="zh-CN"/>
        </w:rPr>
      </w:pP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注：</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eastAsia="zh-CN"/>
        </w:rPr>
        <w:t>“文件类型”栏应填写县级政府规范性文件、县级政府部门规范性文件或国务院规范性文件、省政府规范性文件。</w:t>
      </w:r>
      <w:r>
        <w:rPr>
          <w:rFonts w:hint="eastAsia" w:asciiTheme="minorEastAsia" w:hAnsiTheme="minorEastAsia" w:eastAsiaTheme="minorEastAsia" w:cstheme="minorEastAsia"/>
          <w:lang w:val="en-US" w:eastAsia="zh-CN"/>
        </w:rPr>
        <w:t>2.“清理进展”栏应填写状态（拟废止、拟修订、已废止、已修订）、具体情况、下一步工作计划或对有关国务院及省政府、省政府办公厅规范性文件的废止/修订建议。</w:t>
      </w:r>
    </w:p>
    <w:p>
      <w:pPr>
        <w:rPr>
          <w:rFonts w:hint="eastAsia" w:asciiTheme="minorEastAsia" w:hAnsiTheme="minorEastAsia" w:eastAsiaTheme="minorEastAsia" w:cstheme="minorEastAsia"/>
          <w:lang w:val="en-US" w:eastAsia="zh-CN"/>
        </w:rPr>
      </w:pPr>
    </w:p>
    <w:p>
      <w:pPr>
        <w:rPr>
          <w:rFonts w:ascii="Times New Roman" w:hAnsi="Times New Roman" w:eastAsia="方正黑体_GBK" w:cs="Times New Roman"/>
          <w:sz w:val="32"/>
          <w:szCs w:val="32"/>
        </w:rPr>
      </w:pPr>
    </w:p>
    <w:p>
      <w:pPr>
        <w:rPr>
          <w:rFonts w:hint="eastAsia" w:asciiTheme="minorEastAsia" w:hAnsiTheme="minorEastAsia" w:eastAsiaTheme="minorEastAsia" w:cstheme="minorEastAsia"/>
          <w:lang w:val="en-US" w:eastAsia="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4"/>
        <w:szCs w:val="24"/>
      </w:rPr>
      <w:id w:val="956652391"/>
    </w:sdtPr>
    <w:sdtEndPr>
      <w:rPr>
        <w:rFonts w:asciiTheme="minorEastAsia" w:hAnsiTheme="minorEastAsia"/>
        <w:sz w:val="24"/>
        <w:szCs w:val="24"/>
      </w:rPr>
    </w:sdtEndPr>
    <w:sdtContent>
      <w:p>
        <w:pPr>
          <w:pStyle w:val="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3 -</w:t>
        </w:r>
        <w:r>
          <w:rPr>
            <w:rFonts w:asciiTheme="minorEastAsia" w:hAnsiTheme="minorEastAsia"/>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6BC80FE-9E1D-435D-961F-EF05AF161AE8}"/>
    <w:docVar w:name="DocumentName" w:val="附件2：州人民政府及州政府办公室行政规范性文件清理意见表 1"/>
  </w:docVars>
  <w:rsids>
    <w:rsidRoot w:val="00F26999"/>
    <w:rsid w:val="003127A2"/>
    <w:rsid w:val="006D4335"/>
    <w:rsid w:val="00B04565"/>
    <w:rsid w:val="00D74527"/>
    <w:rsid w:val="00F26999"/>
    <w:rsid w:val="02417912"/>
    <w:rsid w:val="03154CDD"/>
    <w:rsid w:val="034D2B4D"/>
    <w:rsid w:val="03BC107B"/>
    <w:rsid w:val="070A46AE"/>
    <w:rsid w:val="0AF01E93"/>
    <w:rsid w:val="10641287"/>
    <w:rsid w:val="137E5313"/>
    <w:rsid w:val="148B527E"/>
    <w:rsid w:val="14DB12EB"/>
    <w:rsid w:val="19F56847"/>
    <w:rsid w:val="206B118D"/>
    <w:rsid w:val="20C42C95"/>
    <w:rsid w:val="212731F8"/>
    <w:rsid w:val="223B7691"/>
    <w:rsid w:val="23E26F4D"/>
    <w:rsid w:val="2621602E"/>
    <w:rsid w:val="29092CFF"/>
    <w:rsid w:val="29446757"/>
    <w:rsid w:val="2C026A35"/>
    <w:rsid w:val="2C0D2D53"/>
    <w:rsid w:val="2C324132"/>
    <w:rsid w:val="2EC003C8"/>
    <w:rsid w:val="2F1A3AFC"/>
    <w:rsid w:val="2F51746F"/>
    <w:rsid w:val="31C62BD3"/>
    <w:rsid w:val="33BD5BE1"/>
    <w:rsid w:val="35030D39"/>
    <w:rsid w:val="35141634"/>
    <w:rsid w:val="36D265A2"/>
    <w:rsid w:val="38972174"/>
    <w:rsid w:val="455F15B7"/>
    <w:rsid w:val="461540DD"/>
    <w:rsid w:val="468A2871"/>
    <w:rsid w:val="4A5A12D5"/>
    <w:rsid w:val="50BD53EE"/>
    <w:rsid w:val="522B1E28"/>
    <w:rsid w:val="563A5E52"/>
    <w:rsid w:val="56C13891"/>
    <w:rsid w:val="5A976469"/>
    <w:rsid w:val="5B9B6174"/>
    <w:rsid w:val="5D313BCD"/>
    <w:rsid w:val="5D6D5407"/>
    <w:rsid w:val="626A3267"/>
    <w:rsid w:val="64041B61"/>
    <w:rsid w:val="652232BA"/>
    <w:rsid w:val="6AF61A0B"/>
    <w:rsid w:val="6C05342A"/>
    <w:rsid w:val="6C23500F"/>
    <w:rsid w:val="6C263CA2"/>
    <w:rsid w:val="6D7C0ED7"/>
    <w:rsid w:val="70A82F39"/>
    <w:rsid w:val="77974950"/>
    <w:rsid w:val="7880441E"/>
    <w:rsid w:val="79882250"/>
    <w:rsid w:val="79D662BF"/>
    <w:rsid w:val="7A7E013F"/>
    <w:rsid w:val="7BD72F3E"/>
    <w:rsid w:val="7C682635"/>
    <w:rsid w:val="7EBC1B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p0"/>
    <w:basedOn w:val="1"/>
    <w:qFormat/>
    <w:uiPriority w:val="0"/>
    <w:rPr>
      <w:rFonts w:ascii="Calibri" w:hAnsi="Calibri" w:eastAsia="宋体" w:cs="Times New Roman"/>
      <w:szCs w:val="21"/>
    </w:rPr>
  </w:style>
  <w:style w:type="character" w:customStyle="1" w:styleId="10">
    <w:name w:val="批注框文本 Char"/>
    <w:basedOn w:val="6"/>
    <w:link w:val="2"/>
    <w:semiHidden/>
    <w:qFormat/>
    <w:uiPriority w:val="99"/>
    <w:rPr>
      <w:kern w:val="2"/>
      <w:sz w:val="18"/>
      <w:szCs w:val="18"/>
    </w:rPr>
  </w:style>
  <w:style w:type="character" w:customStyle="1" w:styleId="11">
    <w:name w:val="font21"/>
    <w:basedOn w:val="6"/>
    <w:qFormat/>
    <w:uiPriority w:val="0"/>
    <w:rPr>
      <w:rFonts w:hint="eastAsia" w:ascii="宋体" w:hAnsi="宋体" w:eastAsia="宋体" w:cs="宋体"/>
      <w:color w:val="000000"/>
      <w:sz w:val="22"/>
      <w:szCs w:val="22"/>
      <w:u w:val="none"/>
    </w:rPr>
  </w:style>
  <w:style w:type="character" w:customStyle="1" w:styleId="12">
    <w:name w:val="font3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504</Words>
  <Characters>2879</Characters>
  <Lines>23</Lines>
  <Paragraphs>6</Paragraphs>
  <TotalTime>7</TotalTime>
  <ScaleCrop>false</ScaleCrop>
  <LinksUpToDate>false</LinksUpToDate>
  <CharactersWithSpaces>3377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2019-11-29T08:34:00Z</dcterms:created>
  <dc:creator>Hp</dc:creator>
  <cp:lastModifiedBy>Administrator</cp:lastModifiedBy>
  <dcterms:modified xsi:type="dcterms:W3CDTF">2023-03-03T03:20:41Z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