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beforeAutospacing="0" w:after="313" w:afterLines="100" w:line="592" w:lineRule="exact"/>
        <w:ind w:firstLine="0" w:firstLineChars="0"/>
        <w:textAlignment w:val="auto"/>
        <w:rPr>
          <w:rFonts w:hint="default" w:ascii="宋体" w:hAnsi="宋体" w:eastAsia="黑体" w:cs="黑体"/>
          <w:b w:val="0"/>
          <w:bCs w:val="0"/>
          <w:color w:val="auto"/>
          <w:sz w:val="32"/>
          <w:szCs w:val="32"/>
          <w:highlight w:val="none"/>
          <w:lang w:val="en-US" w:eastAsia="zh-CN"/>
        </w:rPr>
      </w:pPr>
      <w:r>
        <w:rPr>
          <w:rFonts w:hint="eastAsia" w:ascii="宋体" w:hAnsi="宋体" w:eastAsia="黑体" w:cs="黑体"/>
          <w:b w:val="0"/>
          <w:bCs w:val="0"/>
          <w:color w:val="auto"/>
          <w:sz w:val="32"/>
          <w:szCs w:val="32"/>
          <w:highlight w:val="none"/>
          <w:lang w:val="en-US" w:eastAsia="zh-CN"/>
        </w:rPr>
        <w:t>附件1-2</w:t>
      </w:r>
    </w:p>
    <w:p>
      <w:pPr>
        <w:keepNext w:val="0"/>
        <w:keepLines w:val="0"/>
        <w:pageBreakBefore w:val="0"/>
        <w:widowControl w:val="0"/>
        <w:kinsoku/>
        <w:wordWrap/>
        <w:overflowPunct/>
        <w:topLinePunct w:val="0"/>
        <w:autoSpaceDE/>
        <w:autoSpaceDN/>
        <w:bidi w:val="0"/>
        <w:adjustRightInd w:val="0"/>
        <w:snapToGrid w:val="0"/>
        <w:spacing w:after="313" w:afterLines="100" w:line="592" w:lineRule="exact"/>
        <w:jc w:val="center"/>
        <w:textAlignment w:val="auto"/>
        <w:rPr>
          <w:rFonts w:hint="eastAsia" w:ascii="宋体" w:hAnsi="宋体" w:eastAsia="方正小标宋简体" w:cs="Times New Roman"/>
          <w:b w:val="0"/>
          <w:bCs w:val="0"/>
          <w:snapToGrid/>
          <w:color w:val="auto"/>
          <w:kern w:val="2"/>
          <w:sz w:val="44"/>
          <w:szCs w:val="44"/>
          <w:highlight w:val="none"/>
          <w:lang w:val="en-US" w:eastAsia="zh-CN"/>
        </w:rPr>
      </w:pPr>
      <w:r>
        <w:rPr>
          <w:rFonts w:hint="eastAsia" w:ascii="宋体" w:hAnsi="宋体" w:eastAsia="方正小标宋_GBK" w:cs="Times New Roman"/>
          <w:b w:val="0"/>
          <w:bCs w:val="0"/>
          <w:snapToGrid/>
          <w:color w:val="auto"/>
          <w:kern w:val="2"/>
          <w:sz w:val="44"/>
          <w:szCs w:val="44"/>
          <w:highlight w:val="none"/>
          <w:u w:val="none" w:color="00B0F0"/>
          <w:shd w:val="clear" w:color="auto" w:fill="auto"/>
          <w:lang w:val="en-US" w:eastAsia="zh-CN"/>
        </w:rPr>
        <w:t>芒市农业农村局2025</w:t>
      </w:r>
      <w:r>
        <w:rPr>
          <w:rFonts w:hint="eastAsia" w:ascii="宋体" w:hAnsi="宋体" w:eastAsia="方正小标宋_GBK" w:cs="Times New Roman"/>
          <w:b w:val="0"/>
          <w:bCs w:val="0"/>
          <w:snapToGrid/>
          <w:color w:val="auto"/>
          <w:kern w:val="2"/>
          <w:sz w:val="44"/>
          <w:szCs w:val="44"/>
          <w:highlight w:val="none"/>
          <w:lang w:val="en-US" w:eastAsia="zh-CN"/>
        </w:rPr>
        <w:t>年度涉企行政检查计划</w:t>
      </w:r>
    </w:p>
    <w:tbl>
      <w:tblPr>
        <w:tblStyle w:val="4"/>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75"/>
        <w:gridCol w:w="960"/>
        <w:gridCol w:w="1185"/>
        <w:gridCol w:w="2265"/>
        <w:gridCol w:w="1665"/>
        <w:gridCol w:w="1305"/>
        <w:gridCol w:w="1140"/>
        <w:gridCol w:w="1305"/>
        <w:gridCol w:w="1080"/>
        <w:gridCol w:w="1695"/>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468" w:hRule="atLeast"/>
          <w:jc w:val="center"/>
        </w:trPr>
        <w:tc>
          <w:tcPr>
            <w:tcW w:w="67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序号</w:t>
            </w:r>
          </w:p>
        </w:tc>
        <w:tc>
          <w:tcPr>
            <w:tcW w:w="96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检查</w:t>
            </w:r>
          </w:p>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主体</w:t>
            </w:r>
          </w:p>
        </w:tc>
        <w:tc>
          <w:tcPr>
            <w:tcW w:w="118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事项</w:t>
            </w:r>
          </w:p>
        </w:tc>
        <w:tc>
          <w:tcPr>
            <w:tcW w:w="226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rPr>
              <w:t>依据</w:t>
            </w:r>
          </w:p>
        </w:tc>
        <w:tc>
          <w:tcPr>
            <w:tcW w:w="166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对象</w:t>
            </w:r>
          </w:p>
        </w:tc>
        <w:tc>
          <w:tcPr>
            <w:tcW w:w="130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pPr>
              <w:suppressAutoHyphens/>
              <w:kinsoku w:val="0"/>
              <w:overflowPunct w:val="0"/>
              <w:topLinePunct/>
              <w:spacing w:line="400" w:lineRule="exact"/>
              <w:jc w:val="center"/>
              <w:rPr>
                <w:rFonts w:hint="default" w:ascii="宋体" w:hAnsi="宋体" w:eastAsia="黑体" w:cs="方正仿宋_GBK"/>
                <w:b w:val="0"/>
                <w:bCs w:val="0"/>
                <w:color w:val="auto"/>
                <w:kern w:val="0"/>
                <w:sz w:val="24"/>
                <w:szCs w:val="24"/>
                <w:highlight w:val="none"/>
                <w:lang w:val="en-US" w:eastAsia="zh-CN"/>
              </w:rPr>
            </w:pPr>
            <w:r>
              <w:rPr>
                <w:rFonts w:hint="eastAsia" w:ascii="宋体" w:hAnsi="宋体" w:eastAsia="黑体" w:cs="方正仿宋_GBK"/>
                <w:b w:val="0"/>
                <w:bCs w:val="0"/>
                <w:color w:val="auto"/>
                <w:kern w:val="0"/>
                <w:sz w:val="24"/>
                <w:szCs w:val="24"/>
                <w:highlight w:val="none"/>
                <w:lang w:eastAsia="zh-CN"/>
              </w:rPr>
              <w:t>比例</w:t>
            </w:r>
            <w:r>
              <w:rPr>
                <w:rFonts w:hint="eastAsia" w:ascii="宋体" w:hAnsi="宋体" w:eastAsia="黑体" w:cs="方正仿宋_GBK"/>
                <w:b w:val="0"/>
                <w:bCs w:val="0"/>
                <w:color w:val="auto"/>
                <w:kern w:val="0"/>
                <w:sz w:val="24"/>
                <w:szCs w:val="24"/>
                <w:highlight w:val="none"/>
                <w:lang w:val="en-US" w:eastAsia="zh-CN"/>
              </w:rPr>
              <w:t>/数量</w:t>
            </w:r>
          </w:p>
        </w:tc>
        <w:tc>
          <w:tcPr>
            <w:tcW w:w="114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检查频次/频次上限</w:t>
            </w:r>
          </w:p>
        </w:tc>
        <w:tc>
          <w:tcPr>
            <w:tcW w:w="130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检查方式</w:t>
            </w:r>
          </w:p>
        </w:tc>
        <w:tc>
          <w:tcPr>
            <w:tcW w:w="108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时间</w:t>
            </w:r>
          </w:p>
        </w:tc>
        <w:tc>
          <w:tcPr>
            <w:tcW w:w="169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合并或者联合建议</w:t>
            </w:r>
          </w:p>
        </w:tc>
        <w:tc>
          <w:tcPr>
            <w:tcW w:w="599"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68" w:hRule="atLeast"/>
          <w:jc w:val="center"/>
        </w:trPr>
        <w:tc>
          <w:tcPr>
            <w:tcW w:w="67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兽药监督检查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《兽药管理条例》第三条第二款、第四十四条第一款、第四十六条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本行政区域内兽药生产、经营主体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兽药生产企业检查比例 10%，经营主体检查 15 家</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现场检查、抽样检测、查阅资料</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5 - 7 月</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可与饲料和饲料添加剂监督检查联合开展，共同对养殖投入品市场进行监管</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7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2</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生猪屠宰监督检查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《生猪屠宰管理条例》第二十六条、第二十七条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 xml:space="preserve">本行政区域内生猪屠宰厂 </w:t>
            </w:r>
            <w:r>
              <w:rPr>
                <w:rFonts w:hint="eastAsia"/>
                <w:lang w:eastAsia="zh-CN"/>
              </w:rPr>
              <w:t>（</w:t>
            </w:r>
            <w:r>
              <w:t>场</w:t>
            </w:r>
            <w:r>
              <w:rPr>
                <w:rFonts w:hint="eastAsia"/>
                <w:lang w:eastAsia="zh-CN"/>
              </w:rPr>
              <w:t>）</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按实际情况确定（日常巡查和专项检查结合）</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日常巡查 + 专项检</w:t>
            </w:r>
            <w:bookmarkStart w:id="1" w:name="_GoBack"/>
            <w:bookmarkEnd w:id="1"/>
            <w:r>
              <w:t>查（专项检查 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现场检查、查阅记录、询问相关人员</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全年（日常巡查）；11 - 12 月（专项检查，临近年关屠宰高峰）</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可与公安部门联合打击私屠滥宰行为（专项行动时）；与市场监管部门联合检查猪肉市场（涉及食品安全检查时）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1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3</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病原微生物实验室监督检查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《病原微生物实验室生物安全管理条例》第三条第四款、第四十九条、第五十条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本行政区域内病原微生物实验室</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根据风险评估确定重点检查对象</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现场检查、查阅档案记录、与工作人员交流</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全年随机，重点在春秋季（微生物活动相对活跃期）</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可与卫生部门联合检查，共同保障公共卫生安全</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1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4</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饲料和饲料添加剂监督检查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《饲料和饲料添加剂管理条例》第三十四条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本行政区域内饲料和饲料添加剂生产、经营主体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饲料生产企业检查 10 家，经营主体检查比例 15%</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现场检查、抽样检测、查阅合同账簿</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7 - 9 月</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C00000"/>
                <w:kern w:val="0"/>
                <w:sz w:val="28"/>
                <w:szCs w:val="28"/>
                <w:highlight w:val="none"/>
              </w:rPr>
            </w:pPr>
            <w:r>
              <w:t>可与兽药监督检查联合开展，对养殖投入品进行综合监管</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45" w:hRule="atLeast"/>
          <w:jc w:val="center"/>
        </w:trPr>
        <w:tc>
          <w:tcPr>
            <w:tcW w:w="675" w:type="dxa"/>
            <w:noWrap w:val="0"/>
            <w:tcMar>
              <w:top w:w="52" w:type="dxa"/>
              <w:left w:w="52" w:type="dxa"/>
              <w:bottom w:w="52" w:type="dxa"/>
              <w:right w:w="52" w:type="dxa"/>
            </w:tcMar>
            <w:vAlign w:val="top"/>
          </w:tcPr>
          <w:p>
            <w:pPr>
              <w:pStyle w:val="5"/>
              <w:ind w:left="0" w:leftChars="0"/>
              <w:rPr>
                <w:rFonts w:hint="default"/>
                <w:lang w:val="en-US" w:eastAsia="zh-CN"/>
              </w:rPr>
            </w:pPr>
            <w:r>
              <w:t>5</w:t>
            </w:r>
          </w:p>
        </w:tc>
        <w:tc>
          <w:tcPr>
            <w:tcW w:w="960" w:type="dxa"/>
            <w:noWrap w:val="0"/>
            <w:tcMar>
              <w:top w:w="52" w:type="dxa"/>
              <w:left w:w="52" w:type="dxa"/>
              <w:bottom w:w="52" w:type="dxa"/>
              <w:right w:w="52" w:type="dxa"/>
            </w:tcMar>
            <w:vAlign w:val="center"/>
          </w:tcPr>
          <w:p>
            <w:pPr>
              <w:pStyle w:val="5"/>
              <w:ind w:left="0" w:leftChars="0"/>
              <w:rPr>
                <w:rFonts w:hint="eastAsia"/>
              </w:rPr>
            </w:pPr>
            <w:r>
              <w:t>芒市农业农村局</w:t>
            </w:r>
          </w:p>
        </w:tc>
        <w:tc>
          <w:tcPr>
            <w:tcW w:w="1185" w:type="dxa"/>
            <w:noWrap w:val="0"/>
            <w:tcMar>
              <w:top w:w="52" w:type="dxa"/>
              <w:left w:w="52" w:type="dxa"/>
              <w:bottom w:w="52" w:type="dxa"/>
              <w:right w:w="52" w:type="dxa"/>
            </w:tcMar>
            <w:vAlign w:val="center"/>
          </w:tcPr>
          <w:p>
            <w:pPr>
              <w:pStyle w:val="5"/>
              <w:ind w:left="0" w:leftChars="0"/>
              <w:rPr>
                <w:rFonts w:hint="eastAsia"/>
              </w:rPr>
            </w:pPr>
            <w:r>
              <w:rPr>
                <w:rFonts w:hint="eastAsia"/>
                <w:lang w:val="en-US" w:eastAsia="zh-CN"/>
              </w:rPr>
              <w:t>动物诊疗监督检查</w:t>
            </w:r>
          </w:p>
        </w:tc>
        <w:tc>
          <w:tcPr>
            <w:tcW w:w="2265" w:type="dxa"/>
            <w:noWrap w:val="0"/>
            <w:tcMar>
              <w:top w:w="52" w:type="dxa"/>
              <w:left w:w="52" w:type="dxa"/>
              <w:bottom w:w="52" w:type="dxa"/>
              <w:right w:w="52" w:type="dxa"/>
            </w:tcMar>
            <w:vAlign w:val="center"/>
          </w:tcPr>
          <w:p>
            <w:pPr>
              <w:pStyle w:val="5"/>
              <w:ind w:left="0" w:leftChars="0"/>
              <w:rPr>
                <w:rFonts w:hint="eastAsia"/>
              </w:rPr>
            </w:pPr>
            <w:r>
              <w:rPr>
                <w:rFonts w:hint="eastAsia"/>
                <w:lang w:val="en-US" w:eastAsia="zh-CN"/>
              </w:rPr>
              <w:t xml:space="preserve">《中华人民共和国动物防疫法》第六十九条 《执业兽医管理办法》第四条第二条、第三款 《动物诊疗机构管理办法》第三条第二款和 第三十一条 </w:t>
            </w:r>
          </w:p>
        </w:tc>
        <w:tc>
          <w:tcPr>
            <w:tcW w:w="1665" w:type="dxa"/>
            <w:noWrap w:val="0"/>
            <w:tcMar>
              <w:top w:w="52" w:type="dxa"/>
              <w:left w:w="52" w:type="dxa"/>
              <w:bottom w:w="52" w:type="dxa"/>
              <w:right w:w="52" w:type="dxa"/>
            </w:tcMar>
            <w:vAlign w:val="center"/>
          </w:tcPr>
          <w:p>
            <w:pPr>
              <w:pStyle w:val="5"/>
              <w:ind w:left="0" w:leftChars="0"/>
              <w:rPr>
                <w:rFonts w:hint="eastAsia"/>
              </w:rPr>
            </w:pPr>
            <w:r>
              <w:rPr>
                <w:rFonts w:hint="eastAsia"/>
                <w:lang w:val="en-US" w:eastAsia="zh-CN"/>
              </w:rPr>
              <w:t>动物诊疗机构</w:t>
            </w:r>
          </w:p>
        </w:tc>
        <w:tc>
          <w:tcPr>
            <w:tcW w:w="1305" w:type="dxa"/>
            <w:noWrap w:val="0"/>
            <w:tcMar>
              <w:top w:w="52" w:type="dxa"/>
              <w:left w:w="52" w:type="dxa"/>
              <w:bottom w:w="52" w:type="dxa"/>
              <w:right w:w="52" w:type="dxa"/>
            </w:tcMar>
            <w:vAlign w:val="center"/>
          </w:tcPr>
          <w:p>
            <w:pPr>
              <w:pStyle w:val="5"/>
              <w:ind w:left="0" w:leftChars="0"/>
              <w:rPr>
                <w:rFonts w:hint="eastAsia"/>
              </w:rPr>
            </w:pPr>
            <w:r>
              <w:t xml:space="preserve">检查比例 </w:t>
            </w:r>
            <w:r>
              <w:rPr>
                <w:rFonts w:hint="eastAsia"/>
                <w:lang w:val="en-US" w:eastAsia="zh-CN"/>
              </w:rPr>
              <w:t>50</w:t>
            </w:r>
            <w:r>
              <w:t>%</w:t>
            </w:r>
            <w:r>
              <w:rPr>
                <w:rFonts w:hint="eastAsia"/>
                <w:lang w:val="en-US" w:eastAsia="zh-CN"/>
              </w:rPr>
              <w:t>以上</w:t>
            </w:r>
          </w:p>
        </w:tc>
        <w:tc>
          <w:tcPr>
            <w:tcW w:w="1140" w:type="dxa"/>
            <w:noWrap w:val="0"/>
            <w:tcMar>
              <w:top w:w="52" w:type="dxa"/>
              <w:left w:w="52" w:type="dxa"/>
              <w:bottom w:w="52" w:type="dxa"/>
              <w:right w:w="52" w:type="dxa"/>
            </w:tcMar>
            <w:vAlign w:val="center"/>
          </w:tcPr>
          <w:p>
            <w:pPr>
              <w:pStyle w:val="5"/>
              <w:ind w:left="0" w:leftChars="0"/>
              <w:rPr>
                <w:rFonts w:hint="eastAsia"/>
              </w:rPr>
            </w:pPr>
            <w:r>
              <w:t>1 次 / 年</w:t>
            </w:r>
          </w:p>
        </w:tc>
        <w:tc>
          <w:tcPr>
            <w:tcW w:w="1305" w:type="dxa"/>
            <w:noWrap w:val="0"/>
            <w:tcMar>
              <w:top w:w="52" w:type="dxa"/>
              <w:left w:w="52" w:type="dxa"/>
              <w:bottom w:w="52" w:type="dxa"/>
              <w:right w:w="52" w:type="dxa"/>
            </w:tcMar>
            <w:vAlign w:val="center"/>
          </w:tcPr>
          <w:p>
            <w:pPr>
              <w:pStyle w:val="5"/>
              <w:ind w:left="0" w:leftChars="0"/>
              <w:rPr>
                <w:rFonts w:hint="eastAsia"/>
              </w:rPr>
            </w:pPr>
            <w:r>
              <w:t>现场检查、查阅记录、询问相关人员</w:t>
            </w:r>
          </w:p>
        </w:tc>
        <w:tc>
          <w:tcPr>
            <w:tcW w:w="1080" w:type="dxa"/>
            <w:noWrap w:val="0"/>
            <w:tcMar>
              <w:top w:w="52" w:type="dxa"/>
              <w:left w:w="52" w:type="dxa"/>
              <w:bottom w:w="52" w:type="dxa"/>
              <w:right w:w="52" w:type="dxa"/>
            </w:tcMar>
            <w:vAlign w:val="center"/>
          </w:tcPr>
          <w:p>
            <w:pPr>
              <w:pStyle w:val="5"/>
              <w:ind w:left="0" w:leftChars="0"/>
              <w:rPr>
                <w:rFonts w:hint="eastAsia"/>
              </w:rPr>
            </w:pPr>
            <w:r>
              <w:rPr>
                <w:rFonts w:hint="eastAsia"/>
                <w:lang w:val="en-US" w:eastAsia="zh-CN"/>
              </w:rPr>
              <w:t>3</w:t>
            </w:r>
            <w:r>
              <w:t xml:space="preserve"> - 9 月</w:t>
            </w:r>
          </w:p>
        </w:tc>
        <w:tc>
          <w:tcPr>
            <w:tcW w:w="1695" w:type="dxa"/>
            <w:noWrap w:val="0"/>
            <w:tcMar>
              <w:top w:w="52" w:type="dxa"/>
              <w:left w:w="52" w:type="dxa"/>
              <w:bottom w:w="52" w:type="dxa"/>
              <w:right w:w="52" w:type="dxa"/>
            </w:tcMar>
            <w:vAlign w:val="center"/>
          </w:tcPr>
          <w:p>
            <w:pPr>
              <w:pStyle w:val="5"/>
              <w:ind w:left="0" w:leftChars="0"/>
              <w:rPr>
                <w:rFonts w:hint="eastAsia"/>
              </w:rPr>
            </w:pPr>
            <w:r>
              <w:t>可与安全生产监督管理部门联合检查，强化</w:t>
            </w:r>
            <w:r>
              <w:rPr>
                <w:rFonts w:hint="eastAsia"/>
                <w:lang w:val="en-US" w:eastAsia="zh-CN"/>
              </w:rPr>
              <w:t>动物诊疗机构</w:t>
            </w:r>
            <w:r>
              <w:t>安全监管</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4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6</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农作物种子监督检查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《中华人民共和国种子法》第四十六条第一款</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本行政区域内农作物种子生产、经营主体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检查比例 15%</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现场检查、抽样检测、查阅生产经营记录</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3 - 5 月（春耕备耕期间）</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可与农药监管检查联合，开展农资市场综合检查</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7</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农药监管检查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《农药管理条例》第四十一条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本行政区域内农药生产、经营主体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农药生产企业检查比例 10%，经营主体检查 20 家</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现场检查、抽样检测、查阅合同票据</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rPr>
                <w:rFonts w:hint="eastAsia"/>
                <w:lang w:val="en-US" w:eastAsia="zh-CN"/>
              </w:rPr>
              <w:t>3</w:t>
            </w:r>
            <w:r>
              <w:t xml:space="preserve">- </w:t>
            </w:r>
            <w:r>
              <w:rPr>
                <w:rFonts w:hint="eastAsia"/>
                <w:lang w:val="en-US" w:eastAsia="zh-CN"/>
              </w:rPr>
              <w:t>10</w:t>
            </w:r>
            <w:r>
              <w:t xml:space="preserve"> 月（</w:t>
            </w:r>
            <w:r>
              <w:rPr>
                <w:rFonts w:hint="eastAsia"/>
                <w:lang w:val="en-US" w:eastAsia="zh-CN"/>
              </w:rPr>
              <w:t>春耕备耕</w:t>
            </w:r>
            <w:bookmarkStart w:id="0" w:name="OLE_LINK1"/>
            <w:r>
              <w:rPr>
                <w:rFonts w:hint="eastAsia"/>
                <w:lang w:val="en-US" w:eastAsia="zh-CN"/>
              </w:rPr>
              <w:t>和</w:t>
            </w:r>
            <w:r>
              <w:t>用药</w:t>
            </w:r>
            <w:bookmarkEnd w:id="0"/>
            <w:r>
              <w:rPr>
                <w:rFonts w:hint="eastAsia"/>
                <w:lang w:val="en-US" w:eastAsia="zh-CN"/>
              </w:rPr>
              <w:t>旺季</w:t>
            </w:r>
            <w:r>
              <w:t>）</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可与农作物种子监督检查联合，进行农资市场专项整治</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8</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农业机械监督检查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《中华人民共和国农业机械化促进法》第三十三条；《农业机械安全监督管理条例》第二十五条、第四十条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本行政区域内农机生产、经营主体、使用主体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农机生产、经营主体检查比例 10%，使用主体检查 20 家</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现场检查、查验证件、检查机械安全状况</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农忙前（如 3 - 4 月春耕前、8 - 9 月秋收前）</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可与安全生产监督管理部门联合检查，强化农机安全生产监管</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8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9</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植物检疫监督检查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《植物检疫条例》第三条、第五条第三款、第十四条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本行政区域内植物检疫活动</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根据疫情监测和植物调运情况确定检查数量</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根据疫情监测情况（有疫情随时检查）</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现场检查、查阅检疫记录</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全年随机，重点关注疫情发生时段和植物调运频繁时期</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可与交通、林业等部门联合检查（涉及疫情防控和植物运输检疫时）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1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10</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肥料监督检查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《中华人民共和国农业法》第八十八条；《肥料登记管理办法》第六条第三款</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本行政区域内肥料生产、加工、经营、使用主体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肥料生产企业检查比例 10%，经营、使用主体检查 15 家</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现场检查、抽样检测、查阅相关资料</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3 -</w:t>
            </w:r>
            <w:r>
              <w:rPr>
                <w:rFonts w:hint="eastAsia"/>
                <w:lang w:val="en-US" w:eastAsia="zh-CN"/>
              </w:rPr>
              <w:t>10</w:t>
            </w:r>
            <w:r>
              <w:t xml:space="preserve"> 月（春耕备耕和用肥旺季）</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可与农作物种子、农药监管检查联合，开展农资市场综合执法</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5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11</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种畜禽监督检查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《中华人民共和国畜牧法》第五条、第七十三条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本行政区域内从事种畜禽生产、经营活动主体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检查比例 10%</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现场检查、抽样检测、查阅生产经营档案</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全年随机，重点在种畜禽配种、销售旺季（如春季和秋季）</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可与动物防疫监督检查联合，保障种畜禽质量安全和防疫安全</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1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12</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动物防疫监督检查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《中华人民共和国动物防疫法》第七十四条、第七十六条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从事动物饲养、屠宰、经营、隔离、运输以及动物产品生产、经营、加工、贮藏等活动的单位和个人</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按养殖、经营规模分层抽样，抽取 10%（采样、留验、抽检等部分）；其他根据实际情况确定（如动物防疫条件等检查）</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全年随机，重点在动物疫病高发期（春秋季）</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现场检查、采样检测、查阅防疫记录</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春秋季动物疫病高发期（3 - 5 月、9 - 11 月）；根据疫情情况随时检查</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可与卫生防疫部门联合检查（涉及公共卫生安全时）；与市场监管部门联合检查动物及动物产品市场（涉及食品安全时）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0"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13</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渔业渔政检查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《中华人民共和国渔业法》第六条；《中华人民共和国长江保护法》第七十九</w:t>
            </w:r>
            <w:r>
              <w:rPr>
                <w:rFonts w:hint="eastAsia"/>
                <w:lang w:eastAsia="zh-CN"/>
              </w:rPr>
              <w:t>条第</w:t>
            </w:r>
            <w:r>
              <w:t>一款；《中华人民共和国渔业法实施细则》第七条第一款；《中华人民共和国水生野生动物保护实施条例》第三条第二款、第五条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w:t>
            </w:r>
            <w:r>
              <w:rPr>
                <w:rFonts w:hint="eastAsia"/>
                <w:lang w:eastAsia="zh-CN"/>
              </w:rPr>
              <w:t>从事</w:t>
            </w:r>
            <w:r>
              <w:t>渔</w:t>
            </w:r>
            <w:r>
              <w:rPr>
                <w:rFonts w:hint="eastAsia"/>
                <w:lang w:eastAsia="zh-CN"/>
              </w:rPr>
              <w:t>业养</w:t>
            </w:r>
            <w:r>
              <w:t>殖、捕捞、加工等活动的主体</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渔业养殖主体检查比例 15%，捕捞、加工主体检查 10 家</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现场检查、登船检查、查阅渔业证件和生产记录</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5 - 9 月（渔业生产旺季）</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可与市场监管部门联合检查水产品市场（涉及食品安全时）；与生态环境部门联合检查渔业水域环境（涉及生态保护时）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85"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14</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野生植物监督检查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《中华人民共和国野生植物保护条例》第十七条第二款；《农业野生植物保护办法》第三条第三款</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本行政区域内采集国家重点保护野生植物的活动</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根据审批采集情况和日常监管线索确定检查数量</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根据采集活动情况和线索（有线索随时检查）</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现场检查、查阅采集审批文件</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全年随机，重点在野生植物生长和采集季节</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可与林业部门联合检查，加强对野生植物保护的监管力度</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978" w:hRule="atLeast"/>
          <w:jc w:val="center"/>
        </w:trPr>
        <w:tc>
          <w:tcPr>
            <w:tcW w:w="675" w:type="dxa"/>
            <w:noWrap w:val="0"/>
            <w:tcMar>
              <w:top w:w="52" w:type="dxa"/>
              <w:left w:w="52" w:type="dxa"/>
              <w:bottom w:w="52" w:type="dxa"/>
              <w:right w:w="52" w:type="dxa"/>
            </w:tcMar>
            <w:vAlign w:val="top"/>
          </w:tcPr>
          <w:p>
            <w:pPr>
              <w:pStyle w:val="5"/>
              <w:ind w:left="0" w:leftChars="0"/>
              <w:rPr>
                <w:rFonts w:hint="default" w:ascii="Segoe UI" w:hAnsi="Segoe UI" w:eastAsia="Segoe UI" w:cs="Segoe UI"/>
                <w:i w:val="0"/>
                <w:iCs w:val="0"/>
                <w:caps w:val="0"/>
                <w:color w:val="000000"/>
                <w:spacing w:val="0"/>
                <w:kern w:val="0"/>
                <w:sz w:val="24"/>
                <w:szCs w:val="24"/>
                <w:lang w:val="en-US" w:eastAsia="zh-CN" w:bidi="ar"/>
              </w:rPr>
            </w:pPr>
            <w:r>
              <w:t>15</w:t>
            </w:r>
          </w:p>
        </w:tc>
        <w:tc>
          <w:tcPr>
            <w:tcW w:w="96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芒市农业农村局</w:t>
            </w:r>
          </w:p>
        </w:tc>
        <w:tc>
          <w:tcPr>
            <w:tcW w:w="118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农业转基因生物安全监督检查</w:t>
            </w:r>
          </w:p>
        </w:tc>
        <w:tc>
          <w:tcPr>
            <w:tcW w:w="22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《农业转基因生物安全管理条例》第三十八条</w:t>
            </w:r>
          </w:p>
        </w:tc>
        <w:tc>
          <w:tcPr>
            <w:tcW w:w="166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本行政区域内农业转基因生物研究、试验、生产、加工、经营或者进口、出口的单位</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根据风险评估确定检查对象</w:t>
            </w:r>
          </w:p>
        </w:tc>
        <w:tc>
          <w:tcPr>
            <w:tcW w:w="114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1 次 / 年</w:t>
            </w:r>
          </w:p>
        </w:tc>
        <w:tc>
          <w:tcPr>
            <w:tcW w:w="130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现场检查、查阅研究试验资料、询问相关人员</w:t>
            </w:r>
          </w:p>
        </w:tc>
        <w:tc>
          <w:tcPr>
            <w:tcW w:w="1080"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全年随机，重点在转基因生物种植、生产加工关键时期</w:t>
            </w:r>
          </w:p>
        </w:tc>
        <w:tc>
          <w:tcPr>
            <w:tcW w:w="1695" w:type="dxa"/>
            <w:noWrap w:val="0"/>
            <w:tcMar>
              <w:top w:w="52" w:type="dxa"/>
              <w:left w:w="52" w:type="dxa"/>
              <w:bottom w:w="52" w:type="dxa"/>
              <w:right w:w="52" w:type="dxa"/>
            </w:tcMar>
            <w:vAlign w:val="top"/>
          </w:tcPr>
          <w:p>
            <w:pPr>
              <w:pStyle w:val="5"/>
              <w:ind w:left="0" w:leftChars="0"/>
              <w:rPr>
                <w:rFonts w:hint="eastAsia" w:ascii="宋体" w:hAnsi="宋体" w:eastAsia="黑体" w:cs="方正仿宋_GBK"/>
                <w:b w:val="0"/>
                <w:bCs w:val="0"/>
                <w:color w:val="auto"/>
                <w:kern w:val="0"/>
                <w:sz w:val="28"/>
                <w:szCs w:val="28"/>
                <w:highlight w:val="none"/>
              </w:rPr>
            </w:pPr>
            <w:r>
              <w:t>可与科技、海关等部门联合检查（涉及科研监管和进出口管理时）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2" w:hRule="atLeast"/>
          <w:jc w:val="center"/>
        </w:trPr>
        <w:tc>
          <w:tcPr>
            <w:tcW w:w="675" w:type="dxa"/>
            <w:noWrap w:val="0"/>
            <w:tcMar>
              <w:top w:w="52" w:type="dxa"/>
              <w:left w:w="52" w:type="dxa"/>
              <w:bottom w:w="52" w:type="dxa"/>
              <w:right w:w="52" w:type="dxa"/>
            </w:tcMar>
            <w:vAlign w:val="top"/>
          </w:tcPr>
          <w:p>
            <w:pPr>
              <w:pStyle w:val="5"/>
              <w:ind w:left="0" w:leftChars="0"/>
            </w:pPr>
            <w:r>
              <w:t>16</w:t>
            </w:r>
          </w:p>
        </w:tc>
        <w:tc>
          <w:tcPr>
            <w:tcW w:w="960" w:type="dxa"/>
            <w:noWrap w:val="0"/>
            <w:tcMar>
              <w:top w:w="52" w:type="dxa"/>
              <w:left w:w="52" w:type="dxa"/>
              <w:bottom w:w="52" w:type="dxa"/>
              <w:right w:w="52" w:type="dxa"/>
            </w:tcMar>
            <w:vAlign w:val="top"/>
          </w:tcPr>
          <w:p>
            <w:pPr>
              <w:pStyle w:val="5"/>
              <w:ind w:left="0" w:leftChars="0"/>
            </w:pPr>
            <w:r>
              <w:t>芒市农业农村局</w:t>
            </w:r>
          </w:p>
        </w:tc>
        <w:tc>
          <w:tcPr>
            <w:tcW w:w="1185" w:type="dxa"/>
            <w:noWrap w:val="0"/>
            <w:tcMar>
              <w:top w:w="52" w:type="dxa"/>
              <w:left w:w="52" w:type="dxa"/>
              <w:bottom w:w="52" w:type="dxa"/>
              <w:right w:w="52" w:type="dxa"/>
            </w:tcMar>
            <w:vAlign w:val="top"/>
          </w:tcPr>
          <w:p>
            <w:pPr>
              <w:pStyle w:val="5"/>
              <w:ind w:left="0" w:leftChars="0"/>
            </w:pPr>
            <w:r>
              <w:t>农产品质量监督检查</w:t>
            </w:r>
          </w:p>
        </w:tc>
        <w:tc>
          <w:tcPr>
            <w:tcW w:w="2265" w:type="dxa"/>
            <w:noWrap w:val="0"/>
            <w:tcMar>
              <w:top w:w="52" w:type="dxa"/>
              <w:left w:w="52" w:type="dxa"/>
              <w:bottom w:w="52" w:type="dxa"/>
              <w:right w:w="52" w:type="dxa"/>
            </w:tcMar>
            <w:vAlign w:val="top"/>
          </w:tcPr>
          <w:p>
            <w:pPr>
              <w:pStyle w:val="5"/>
              <w:ind w:left="0" w:leftChars="0"/>
            </w:pPr>
            <w:r>
              <w:t>《中华人民共和国农产品质量安全法》第五十二条、第五十三条</w:t>
            </w:r>
          </w:p>
        </w:tc>
        <w:tc>
          <w:tcPr>
            <w:tcW w:w="1665" w:type="dxa"/>
            <w:noWrap w:val="0"/>
            <w:tcMar>
              <w:top w:w="52" w:type="dxa"/>
              <w:left w:w="52" w:type="dxa"/>
              <w:bottom w:w="52" w:type="dxa"/>
              <w:right w:w="52" w:type="dxa"/>
            </w:tcMar>
            <w:vAlign w:val="top"/>
          </w:tcPr>
          <w:p>
            <w:pPr>
              <w:pStyle w:val="5"/>
              <w:ind w:left="0" w:leftChars="0"/>
            </w:pPr>
            <w:r>
              <w:t>本行政区域内农产品生产主体</w:t>
            </w:r>
          </w:p>
        </w:tc>
        <w:tc>
          <w:tcPr>
            <w:tcW w:w="1305" w:type="dxa"/>
            <w:noWrap w:val="0"/>
            <w:tcMar>
              <w:top w:w="52" w:type="dxa"/>
              <w:left w:w="52" w:type="dxa"/>
              <w:bottom w:w="52" w:type="dxa"/>
              <w:right w:w="52" w:type="dxa"/>
            </w:tcMar>
            <w:vAlign w:val="top"/>
          </w:tcPr>
          <w:p>
            <w:pPr>
              <w:pStyle w:val="5"/>
              <w:ind w:left="0" w:leftChars="0"/>
            </w:pPr>
            <w:r>
              <w:t>检查 20 家</w:t>
            </w:r>
          </w:p>
        </w:tc>
        <w:tc>
          <w:tcPr>
            <w:tcW w:w="1140" w:type="dxa"/>
            <w:noWrap w:val="0"/>
            <w:tcMar>
              <w:top w:w="52" w:type="dxa"/>
              <w:left w:w="52" w:type="dxa"/>
              <w:bottom w:w="52" w:type="dxa"/>
              <w:right w:w="52" w:type="dxa"/>
            </w:tcMar>
            <w:vAlign w:val="top"/>
          </w:tcPr>
          <w:p>
            <w:pPr>
              <w:pStyle w:val="5"/>
              <w:ind w:left="0" w:leftChars="0"/>
            </w:pPr>
            <w:r>
              <w:t>2 次 / 年（生产旺季和销售旺季各 1 次）</w:t>
            </w:r>
          </w:p>
        </w:tc>
        <w:tc>
          <w:tcPr>
            <w:tcW w:w="1305" w:type="dxa"/>
            <w:noWrap w:val="0"/>
            <w:tcMar>
              <w:top w:w="52" w:type="dxa"/>
              <w:left w:w="52" w:type="dxa"/>
              <w:bottom w:w="52" w:type="dxa"/>
              <w:right w:w="52" w:type="dxa"/>
            </w:tcMar>
            <w:vAlign w:val="top"/>
          </w:tcPr>
          <w:p>
            <w:pPr>
              <w:pStyle w:val="5"/>
              <w:ind w:left="0" w:leftChars="0"/>
            </w:pPr>
            <w:r>
              <w:t>现场检查、抽样检测、查阅生产记录</w:t>
            </w:r>
          </w:p>
        </w:tc>
        <w:tc>
          <w:tcPr>
            <w:tcW w:w="1080" w:type="dxa"/>
            <w:noWrap w:val="0"/>
            <w:tcMar>
              <w:top w:w="52" w:type="dxa"/>
              <w:left w:w="52" w:type="dxa"/>
              <w:bottom w:w="52" w:type="dxa"/>
              <w:right w:w="52" w:type="dxa"/>
            </w:tcMar>
            <w:vAlign w:val="top"/>
          </w:tcPr>
          <w:p>
            <w:pPr>
              <w:pStyle w:val="5"/>
              <w:ind w:left="0" w:leftChars="0"/>
            </w:pPr>
            <w:r>
              <w:t>生产旺季（7 - 8 月）、销售旺季（11 - 12 月）</w:t>
            </w:r>
          </w:p>
        </w:tc>
        <w:tc>
          <w:tcPr>
            <w:tcW w:w="1695" w:type="dxa"/>
            <w:noWrap w:val="0"/>
            <w:tcMar>
              <w:top w:w="52" w:type="dxa"/>
              <w:left w:w="52" w:type="dxa"/>
              <w:bottom w:w="52" w:type="dxa"/>
              <w:right w:w="52" w:type="dxa"/>
            </w:tcMar>
            <w:vAlign w:val="top"/>
          </w:tcPr>
          <w:p>
            <w:pPr>
              <w:pStyle w:val="5"/>
              <w:ind w:left="0" w:leftChars="0"/>
            </w:pPr>
            <w:r>
              <w:t>可与市场监管部门联合检查农产品市场（涉及食品安全时）</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12" w:hRule="atLeast"/>
          <w:jc w:val="center"/>
        </w:trPr>
        <w:tc>
          <w:tcPr>
            <w:tcW w:w="675" w:type="dxa"/>
            <w:noWrap w:val="0"/>
            <w:tcMar>
              <w:top w:w="52" w:type="dxa"/>
              <w:left w:w="52" w:type="dxa"/>
              <w:bottom w:w="52" w:type="dxa"/>
              <w:right w:w="52" w:type="dxa"/>
            </w:tcMar>
            <w:vAlign w:val="top"/>
          </w:tcPr>
          <w:p>
            <w:pPr>
              <w:pStyle w:val="5"/>
              <w:ind w:left="0" w:leftChars="0"/>
            </w:pPr>
            <w:r>
              <w:t>17</w:t>
            </w:r>
          </w:p>
        </w:tc>
        <w:tc>
          <w:tcPr>
            <w:tcW w:w="960" w:type="dxa"/>
            <w:noWrap w:val="0"/>
            <w:tcMar>
              <w:top w:w="52" w:type="dxa"/>
              <w:left w:w="52" w:type="dxa"/>
              <w:bottom w:w="52" w:type="dxa"/>
              <w:right w:w="52" w:type="dxa"/>
            </w:tcMar>
            <w:vAlign w:val="top"/>
          </w:tcPr>
          <w:p>
            <w:pPr>
              <w:pStyle w:val="5"/>
              <w:ind w:left="0" w:leftChars="0"/>
            </w:pPr>
            <w:r>
              <w:t>芒市农业农村局</w:t>
            </w:r>
          </w:p>
        </w:tc>
        <w:tc>
          <w:tcPr>
            <w:tcW w:w="1185" w:type="dxa"/>
            <w:noWrap w:val="0"/>
            <w:tcMar>
              <w:top w:w="52" w:type="dxa"/>
              <w:left w:w="52" w:type="dxa"/>
              <w:bottom w:w="52" w:type="dxa"/>
              <w:right w:w="52" w:type="dxa"/>
            </w:tcMar>
            <w:vAlign w:val="top"/>
          </w:tcPr>
          <w:p>
            <w:pPr>
              <w:pStyle w:val="5"/>
              <w:ind w:left="0" w:leftChars="0"/>
            </w:pPr>
            <w:r>
              <w:t>对农用薄膜回收的行政检查</w:t>
            </w:r>
          </w:p>
        </w:tc>
        <w:tc>
          <w:tcPr>
            <w:tcW w:w="2265" w:type="dxa"/>
            <w:noWrap w:val="0"/>
            <w:tcMar>
              <w:top w:w="52" w:type="dxa"/>
              <w:left w:w="52" w:type="dxa"/>
              <w:bottom w:w="52" w:type="dxa"/>
              <w:right w:w="52" w:type="dxa"/>
            </w:tcMar>
            <w:vAlign w:val="top"/>
          </w:tcPr>
          <w:p>
            <w:pPr>
              <w:pStyle w:val="5"/>
              <w:ind w:left="0" w:leftChars="0"/>
            </w:pPr>
            <w:r>
              <w:t>《</w:t>
            </w:r>
            <w:r>
              <w:rPr>
                <w:rFonts w:hint="eastAsia"/>
                <w:lang w:eastAsia="zh-CN"/>
              </w:rPr>
              <w:t>中华人民共和国土壤污染防治法</w:t>
            </w:r>
            <w:r>
              <w:t>》第七十七条；《农用薄膜管理办法》第五条第一款、第二十一条</w:t>
            </w:r>
          </w:p>
        </w:tc>
        <w:tc>
          <w:tcPr>
            <w:tcW w:w="1665" w:type="dxa"/>
            <w:noWrap w:val="0"/>
            <w:tcMar>
              <w:top w:w="52" w:type="dxa"/>
              <w:left w:w="52" w:type="dxa"/>
              <w:bottom w:w="52" w:type="dxa"/>
              <w:right w:w="52" w:type="dxa"/>
            </w:tcMar>
            <w:vAlign w:val="top"/>
          </w:tcPr>
          <w:p>
            <w:pPr>
              <w:pStyle w:val="5"/>
              <w:ind w:left="0" w:leftChars="0"/>
            </w:pPr>
            <w:r>
              <w:t>农业薄膜生产、销售使用主体</w:t>
            </w:r>
          </w:p>
        </w:tc>
        <w:tc>
          <w:tcPr>
            <w:tcW w:w="1305" w:type="dxa"/>
            <w:noWrap w:val="0"/>
            <w:tcMar>
              <w:top w:w="52" w:type="dxa"/>
              <w:left w:w="52" w:type="dxa"/>
              <w:bottom w:w="52" w:type="dxa"/>
              <w:right w:w="52" w:type="dxa"/>
            </w:tcMar>
            <w:vAlign w:val="top"/>
          </w:tcPr>
          <w:p>
            <w:pPr>
              <w:pStyle w:val="5"/>
              <w:ind w:left="0" w:leftChars="0"/>
            </w:pPr>
            <w:r>
              <w:t>销售、使用主体检查 15 家</w:t>
            </w:r>
          </w:p>
        </w:tc>
        <w:tc>
          <w:tcPr>
            <w:tcW w:w="1140" w:type="dxa"/>
            <w:noWrap w:val="0"/>
            <w:tcMar>
              <w:top w:w="52" w:type="dxa"/>
              <w:left w:w="52" w:type="dxa"/>
              <w:bottom w:w="52" w:type="dxa"/>
              <w:right w:w="52" w:type="dxa"/>
            </w:tcMar>
            <w:vAlign w:val="top"/>
          </w:tcPr>
          <w:p>
            <w:pPr>
              <w:pStyle w:val="5"/>
              <w:ind w:left="0" w:leftChars="0"/>
            </w:pPr>
            <w:r>
              <w:t>1 次 / 年</w:t>
            </w:r>
          </w:p>
        </w:tc>
        <w:tc>
          <w:tcPr>
            <w:tcW w:w="1305" w:type="dxa"/>
            <w:noWrap w:val="0"/>
            <w:tcMar>
              <w:top w:w="52" w:type="dxa"/>
              <w:left w:w="52" w:type="dxa"/>
              <w:bottom w:w="52" w:type="dxa"/>
              <w:right w:w="52" w:type="dxa"/>
            </w:tcMar>
            <w:vAlign w:val="top"/>
          </w:tcPr>
          <w:p>
            <w:pPr>
              <w:pStyle w:val="5"/>
              <w:ind w:left="0" w:leftChars="0"/>
            </w:pPr>
            <w:r>
              <w:t>现场检查、抽样检测、查阅销售使用记录</w:t>
            </w:r>
          </w:p>
        </w:tc>
        <w:tc>
          <w:tcPr>
            <w:tcW w:w="1080" w:type="dxa"/>
            <w:noWrap w:val="0"/>
            <w:tcMar>
              <w:top w:w="52" w:type="dxa"/>
              <w:left w:w="52" w:type="dxa"/>
              <w:bottom w:w="52" w:type="dxa"/>
              <w:right w:w="52" w:type="dxa"/>
            </w:tcMar>
            <w:vAlign w:val="top"/>
          </w:tcPr>
          <w:p>
            <w:pPr>
              <w:pStyle w:val="5"/>
              <w:ind w:left="0" w:leftChars="0"/>
            </w:pPr>
            <w:r>
              <w:t>秋收后（10 - 11 月，薄膜使用集中期后）</w:t>
            </w:r>
          </w:p>
        </w:tc>
        <w:tc>
          <w:tcPr>
            <w:tcW w:w="1695" w:type="dxa"/>
            <w:noWrap w:val="0"/>
            <w:tcMar>
              <w:top w:w="52" w:type="dxa"/>
              <w:left w:w="52" w:type="dxa"/>
              <w:bottom w:w="52" w:type="dxa"/>
              <w:right w:w="52" w:type="dxa"/>
            </w:tcMar>
            <w:vAlign w:val="top"/>
          </w:tcPr>
          <w:p>
            <w:pPr>
              <w:pStyle w:val="5"/>
              <w:ind w:left="0" w:leftChars="0"/>
            </w:pPr>
            <w:r>
              <w:t>可与生态环境部门联合检查，共同推进土壤污染防治工作</w:t>
            </w:r>
          </w:p>
        </w:tc>
        <w:tc>
          <w:tcPr>
            <w:tcW w:w="599" w:type="dxa"/>
            <w:noWrap w:val="0"/>
            <w:tcMar>
              <w:top w:w="52" w:type="dxa"/>
              <w:left w:w="52" w:type="dxa"/>
              <w:bottom w:w="52" w:type="dxa"/>
              <w:right w:w="52" w:type="dxa"/>
            </w:tcMar>
            <w:vAlign w:val="center"/>
          </w:tcPr>
          <w:p>
            <w:pPr>
              <w:jc w:val="left"/>
              <w:rPr>
                <w:rFonts w:hint="eastAsia" w:ascii="宋体" w:hAnsi="宋体" w:eastAsia="黑体" w:cs="方正仿宋_GBK"/>
                <w:b w:val="0"/>
                <w:bCs w:val="0"/>
                <w:color w:val="auto"/>
                <w:kern w:val="0"/>
                <w:sz w:val="28"/>
                <w:szCs w:val="28"/>
                <w:highlight w:val="none"/>
              </w:rPr>
            </w:pPr>
          </w:p>
        </w:tc>
      </w:tr>
    </w:tbl>
    <w:p>
      <w:pPr>
        <w:spacing w:line="440" w:lineRule="exact"/>
        <w:ind w:left="0" w:firstLine="0" w:firstLineChars="0"/>
        <w:rPr>
          <w:rFonts w:hint="eastAsia" w:ascii="宋体" w:hAnsi="宋体" w:eastAsia="仿宋_GB2312"/>
          <w:b w:val="0"/>
          <w:bCs w:val="0"/>
          <w:color w:val="auto"/>
          <w:spacing w:val="0"/>
          <w:sz w:val="28"/>
          <w:szCs w:val="28"/>
          <w:highlight w:val="none"/>
          <w:lang w:eastAsia="zh-CN"/>
        </w:rPr>
      </w:pPr>
      <w:r>
        <w:rPr>
          <w:rFonts w:hint="eastAsia" w:ascii="宋体" w:hAnsi="宋体" w:eastAsia="仿宋_GB2312"/>
          <w:b w:val="0"/>
          <w:bCs w:val="0"/>
          <w:color w:val="auto"/>
          <w:spacing w:val="0"/>
          <w:sz w:val="28"/>
          <w:szCs w:val="28"/>
          <w:highlight w:val="none"/>
          <w:lang w:eastAsia="zh-CN"/>
        </w:rPr>
        <w:t>填表说明：</w:t>
      </w:r>
    </w:p>
    <w:p>
      <w:pPr>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1.本表填报行政执法部门年度内未纳入“双随机、一公开”监管的涉企行政检查事项的检查计划，</w:t>
      </w:r>
      <w:r>
        <w:rPr>
          <w:rFonts w:hint="eastAsia" w:ascii="宋体" w:hAnsi="宋体" w:eastAsia="仿宋_GB2312" w:cs="Times New Roman"/>
          <w:b w:val="0"/>
          <w:bCs w:val="0"/>
          <w:color w:val="auto"/>
          <w:sz w:val="28"/>
          <w:szCs w:val="28"/>
          <w:highlight w:val="none"/>
          <w:lang w:eastAsia="zh-CN"/>
        </w:rPr>
        <w:t>纳入“双随机、一公开”监管涉企行政检查事项的检查计划制定、报备工作</w:t>
      </w:r>
      <w:r>
        <w:rPr>
          <w:rFonts w:hint="eastAsia" w:ascii="宋体" w:hAnsi="宋体" w:eastAsia="仿宋_GB2312"/>
          <w:b w:val="0"/>
          <w:bCs w:val="0"/>
          <w:color w:val="auto"/>
          <w:sz w:val="28"/>
          <w:szCs w:val="28"/>
          <w:highlight w:val="none"/>
          <w:lang w:val="en-US" w:eastAsia="zh-CN"/>
        </w:rPr>
        <w:t>按照《云南省涉企行政检查计划备案管理办法（试行）》和“双随机、一公开”监管工作要求进行。</w:t>
      </w:r>
    </w:p>
    <w:p>
      <w:pPr>
        <w:wordWrap/>
        <w:overflowPunct/>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2.“检查主体”指计划实施行政检查的具体行政执法主体。</w:t>
      </w:r>
    </w:p>
    <w:p>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3.“检查对象”“检查事项”“检查依据”可以在部门</w:t>
      </w:r>
      <w:r>
        <w:rPr>
          <w:rFonts w:hint="eastAsia" w:ascii="宋体" w:hAnsi="宋体" w:eastAsia="仿宋_GB2312" w:cs="Times New Roman"/>
          <w:b w:val="0"/>
          <w:bCs w:val="0"/>
          <w:color w:val="auto"/>
          <w:sz w:val="28"/>
          <w:szCs w:val="28"/>
          <w:highlight w:val="none"/>
          <w:lang w:val="en-US" w:eastAsia="zh-CN"/>
        </w:rPr>
        <w:t>涉企行政检查事项清单基础上进一步明确。</w:t>
      </w:r>
    </w:p>
    <w:p>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4.“</w:t>
      </w:r>
      <w:r>
        <w:rPr>
          <w:rFonts w:hint="eastAsia" w:ascii="宋体" w:hAnsi="宋体" w:eastAsia="仿宋_GB2312" w:cs="Times New Roman"/>
          <w:b w:val="0"/>
          <w:bCs w:val="0"/>
          <w:color w:val="auto"/>
          <w:kern w:val="2"/>
          <w:sz w:val="28"/>
          <w:szCs w:val="28"/>
          <w:highlight w:val="none"/>
          <w:lang w:eastAsia="zh-CN"/>
        </w:rPr>
        <w:t>检查</w:t>
      </w:r>
      <w:r>
        <w:rPr>
          <w:rFonts w:hint="eastAsia" w:ascii="宋体" w:hAnsi="宋体" w:eastAsia="仿宋_GB2312" w:cs="Times New Roman"/>
          <w:b w:val="0"/>
          <w:bCs w:val="0"/>
          <w:color w:val="auto"/>
          <w:kern w:val="2"/>
          <w:sz w:val="28"/>
          <w:szCs w:val="28"/>
          <w:highlight w:val="none"/>
          <w:lang w:val="en-US" w:eastAsia="zh-CN"/>
        </w:rPr>
        <w:t>数量/比例</w:t>
      </w:r>
      <w:r>
        <w:rPr>
          <w:rFonts w:hint="eastAsia" w:ascii="宋体" w:hAnsi="宋体" w:eastAsia="仿宋_GB2312" w:cs="Times New Roman"/>
          <w:b w:val="0"/>
          <w:bCs w:val="0"/>
          <w:color w:val="auto"/>
          <w:sz w:val="28"/>
          <w:szCs w:val="28"/>
          <w:highlight w:val="none"/>
          <w:lang w:val="en-US" w:eastAsia="zh-CN"/>
        </w:rPr>
        <w:t>”指计划检查的具体户数或者检查数量占行政执法部门同类监管对象的比例。</w:t>
      </w:r>
    </w:p>
    <w:p>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5.“</w:t>
      </w:r>
      <w:r>
        <w:rPr>
          <w:rFonts w:hint="eastAsia" w:ascii="宋体" w:hAnsi="宋体" w:eastAsia="仿宋_GB2312" w:cs="Times New Roman"/>
          <w:b w:val="0"/>
          <w:bCs w:val="0"/>
          <w:color w:val="auto"/>
          <w:kern w:val="2"/>
          <w:sz w:val="28"/>
          <w:szCs w:val="28"/>
          <w:highlight w:val="none"/>
          <w:lang w:eastAsia="zh-CN"/>
        </w:rPr>
        <w:t>检查频次/频次上限</w:t>
      </w:r>
      <w:r>
        <w:rPr>
          <w:rFonts w:hint="eastAsia" w:ascii="宋体" w:hAnsi="宋体" w:eastAsia="仿宋_GB2312" w:cs="Times New Roman"/>
          <w:b w:val="0"/>
          <w:bCs w:val="0"/>
          <w:color w:val="auto"/>
          <w:sz w:val="28"/>
          <w:szCs w:val="28"/>
          <w:highlight w:val="none"/>
          <w:lang w:val="en-US" w:eastAsia="zh-CN"/>
        </w:rPr>
        <w:t>”一栏中应当明确年内检查次数，不能确定具体次数需要明确次数上限。</w:t>
      </w:r>
    </w:p>
    <w:p>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6.“</w:t>
      </w:r>
      <w:r>
        <w:rPr>
          <w:rFonts w:hint="eastAsia" w:ascii="宋体" w:hAnsi="宋体" w:eastAsia="仿宋_GB2312" w:cs="Times New Roman"/>
          <w:b w:val="0"/>
          <w:bCs w:val="0"/>
          <w:color w:val="auto"/>
          <w:kern w:val="2"/>
          <w:sz w:val="28"/>
          <w:szCs w:val="28"/>
          <w:highlight w:val="none"/>
          <w:lang w:eastAsia="zh-CN"/>
        </w:rPr>
        <w:t>检查方式</w:t>
      </w:r>
      <w:r>
        <w:rPr>
          <w:rFonts w:hint="eastAsia" w:ascii="宋体" w:hAnsi="宋体" w:eastAsia="仿宋_GB2312" w:cs="Times New Roman"/>
          <w:b w:val="0"/>
          <w:bCs w:val="0"/>
          <w:color w:val="auto"/>
          <w:sz w:val="28"/>
          <w:szCs w:val="28"/>
          <w:highlight w:val="none"/>
          <w:lang w:val="en-US" w:eastAsia="zh-CN"/>
        </w:rPr>
        <w:t>”包括现场检查、书面检查、网络监测等。</w:t>
      </w:r>
    </w:p>
    <w:p>
      <w:pPr>
        <w:wordWrap/>
        <w:overflowPunct/>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7.“</w:t>
      </w:r>
      <w:r>
        <w:rPr>
          <w:rFonts w:hint="eastAsia" w:ascii="宋体" w:hAnsi="宋体" w:eastAsia="仿宋_GB2312" w:cs="Times New Roman"/>
          <w:b w:val="0"/>
          <w:bCs w:val="0"/>
          <w:color w:val="auto"/>
          <w:kern w:val="2"/>
          <w:sz w:val="28"/>
          <w:szCs w:val="28"/>
          <w:highlight w:val="none"/>
          <w:lang w:eastAsia="zh-CN"/>
        </w:rPr>
        <w:t>合并或者联合检查建议</w:t>
      </w:r>
      <w:r>
        <w:rPr>
          <w:rFonts w:hint="eastAsia" w:ascii="宋体" w:hAnsi="宋体" w:eastAsia="仿宋_GB2312"/>
          <w:b w:val="0"/>
          <w:bCs w:val="0"/>
          <w:color w:val="auto"/>
          <w:sz w:val="28"/>
          <w:szCs w:val="28"/>
          <w:highlight w:val="none"/>
          <w:lang w:val="en-US" w:eastAsia="zh-CN"/>
        </w:rPr>
        <w:t>”一栏中填写与内部其他检查事项合并检查情况、与其他行政执法部门检查事项联合检查建议。</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DBhODA2OGIxMTE4OTgyNjJhZDM3MzQzYWRkNmYifQ=="/>
  </w:docVars>
  <w:rsids>
    <w:rsidRoot w:val="00000000"/>
    <w:rsid w:val="0D9B6932"/>
    <w:rsid w:val="1153340F"/>
    <w:rsid w:val="1E237A52"/>
    <w:rsid w:val="253D2738"/>
    <w:rsid w:val="259908F3"/>
    <w:rsid w:val="27D37989"/>
    <w:rsid w:val="2D3A4161"/>
    <w:rsid w:val="4598140B"/>
    <w:rsid w:val="45A12E15"/>
    <w:rsid w:val="49730C0B"/>
    <w:rsid w:val="4CDA0662"/>
    <w:rsid w:val="4F3208E9"/>
    <w:rsid w:val="5C4D712A"/>
    <w:rsid w:val="5F6B4558"/>
    <w:rsid w:val="6A5C6C04"/>
    <w:rsid w:val="6D811877"/>
    <w:rsid w:val="77B5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c_tb"/>
    <w:basedOn w:val="2"/>
    <w:qFormat/>
    <w:uiPriority w:val="0"/>
    <w:rPr>
      <w:rFonts w:ascii="Times New Roman" w:hAnsi="Times New Roman"/>
    </w:rPr>
    <w:tblPr>
      <w:tblCellMar>
        <w:top w:w="0" w:type="dxa"/>
        <w:left w:w="108" w:type="dxa"/>
        <w:bottom w:w="0" w:type="dxa"/>
        <w:right w:w="108" w:type="dxa"/>
      </w:tblCellMar>
    </w:tblPr>
  </w:style>
  <w:style w:type="paragraph" w:customStyle="1" w:styleId="5">
    <w:name w:val="_Style 13"/>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3157</Words>
  <Characters>3216</Characters>
  <Lines>0</Lines>
  <Paragraphs>0</Paragraphs>
  <TotalTime>1</TotalTime>
  <ScaleCrop>false</ScaleCrop>
  <LinksUpToDate>false</LinksUpToDate>
  <CharactersWithSpaces>3338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2024-03-11T09:30:00Z</dcterms:created>
  <dc:creator>Administrator</dc:creator>
  <cp:lastModifiedBy>杨根达</cp:lastModifiedBy>
  <dcterms:modified xsi:type="dcterms:W3CDTF">2025-05-13T01:44:51Z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C761469BFCA44BE38E3301FDBFCC4162</vt:lpwstr>
  </property>
</Properties>
</file>