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7" w:line="219" w:lineRule="auto"/>
        <w:ind w:left="4620"/>
        <w:rPr>
          <w:rFonts w:hint="eastAsia" w:ascii="宋体" w:hAnsi="宋体" w:eastAsia="宋体" w:cs="宋体"/>
          <w:b/>
          <w:bCs/>
          <w:spacing w:val="-5"/>
          <w:sz w:val="40"/>
          <w:szCs w:val="40"/>
          <w:lang w:val="en-US" w:eastAsia="zh-CN"/>
        </w:rPr>
      </w:pPr>
      <w:r>
        <w:rPr>
          <w:rFonts w:hint="eastAsia" w:ascii="宋体" w:hAnsi="宋体" w:eastAsia="宋体" w:cs="宋体"/>
          <w:b/>
          <w:bCs/>
          <w:spacing w:val="-5"/>
          <w:sz w:val="40"/>
          <w:szCs w:val="40"/>
          <w:lang w:val="en-US" w:eastAsia="zh-CN"/>
        </w:rPr>
        <w:t>芒市农业农村局涉企行政检查事项清单</w:t>
      </w:r>
    </w:p>
    <w:p>
      <w:pPr>
        <w:spacing w:before="281" w:line="224" w:lineRule="auto"/>
        <w:ind w:left="58"/>
        <w:rPr>
          <w:rFonts w:ascii="黑体" w:hAnsi="黑体" w:eastAsia="黑体" w:cs="黑体"/>
          <w:sz w:val="28"/>
          <w:szCs w:val="28"/>
        </w:rPr>
      </w:pPr>
    </w:p>
    <w:p>
      <w:pPr>
        <w:spacing w:line="132" w:lineRule="exact"/>
      </w:pPr>
    </w:p>
    <w:tbl>
      <w:tblPr>
        <w:tblStyle w:val="13"/>
        <w:tblW w:w="16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6"/>
        <w:gridCol w:w="1233"/>
        <w:gridCol w:w="1433"/>
        <w:gridCol w:w="10666"/>
        <w:gridCol w:w="1044"/>
        <w:gridCol w:w="915"/>
        <w:gridCol w:w="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0" w:type="auto"/>
            <w:vAlign w:val="top"/>
          </w:tcPr>
          <w:p>
            <w:pPr>
              <w:pStyle w:val="12"/>
              <w:spacing w:before="255" w:line="240" w:lineRule="auto"/>
              <w:ind w:left="114"/>
            </w:pPr>
            <w:r>
              <w:rPr>
                <w:spacing w:val="7"/>
              </w:rPr>
              <w:t>序号</w:t>
            </w:r>
          </w:p>
        </w:tc>
        <w:tc>
          <w:tcPr>
            <w:tcW w:w="1233" w:type="dxa"/>
            <w:vAlign w:val="top"/>
          </w:tcPr>
          <w:p>
            <w:pPr>
              <w:pStyle w:val="12"/>
              <w:spacing w:before="254" w:line="240" w:lineRule="auto"/>
              <w:ind w:left="219"/>
            </w:pPr>
            <w:r>
              <w:rPr>
                <w:spacing w:val="3"/>
              </w:rPr>
              <w:t>检查事项</w:t>
            </w:r>
          </w:p>
        </w:tc>
        <w:tc>
          <w:tcPr>
            <w:tcW w:w="1433" w:type="dxa"/>
            <w:vAlign w:val="top"/>
          </w:tcPr>
          <w:p>
            <w:pPr>
              <w:pStyle w:val="12"/>
              <w:spacing w:before="254" w:line="240" w:lineRule="auto"/>
              <w:ind w:left="340"/>
            </w:pPr>
            <w:r>
              <w:rPr>
                <w:spacing w:val="-2"/>
              </w:rPr>
              <w:t>检查对象</w:t>
            </w:r>
          </w:p>
        </w:tc>
        <w:tc>
          <w:tcPr>
            <w:tcW w:w="0" w:type="auto"/>
            <w:vAlign w:val="top"/>
          </w:tcPr>
          <w:p>
            <w:pPr>
              <w:pStyle w:val="12"/>
              <w:spacing w:before="249" w:line="240" w:lineRule="auto"/>
              <w:ind w:left="4255"/>
            </w:pPr>
            <w:r>
              <w:rPr>
                <w:b/>
                <w:bCs/>
                <w:spacing w:val="-5"/>
              </w:rPr>
              <w:t>检查依据</w:t>
            </w:r>
          </w:p>
        </w:tc>
        <w:tc>
          <w:tcPr>
            <w:tcW w:w="0" w:type="auto"/>
            <w:vAlign w:val="top"/>
          </w:tcPr>
          <w:p>
            <w:pPr>
              <w:pStyle w:val="12"/>
              <w:spacing w:before="135" w:line="240" w:lineRule="auto"/>
              <w:ind w:left="507" w:right="38" w:hanging="460"/>
            </w:pPr>
            <w:r>
              <w:rPr>
                <w:spacing w:val="2"/>
              </w:rPr>
              <w:t>法定实施主</w:t>
            </w:r>
            <w:r>
              <w:t>体</w:t>
            </w:r>
          </w:p>
        </w:tc>
        <w:tc>
          <w:tcPr>
            <w:tcW w:w="0" w:type="auto"/>
            <w:vAlign w:val="top"/>
          </w:tcPr>
          <w:p>
            <w:pPr>
              <w:pStyle w:val="12"/>
              <w:spacing w:before="125" w:line="240" w:lineRule="auto"/>
              <w:ind w:left="128"/>
            </w:pPr>
            <w:r>
              <w:rPr>
                <w:spacing w:val="3"/>
              </w:rPr>
              <w:t>法定行</w:t>
            </w:r>
          </w:p>
          <w:p>
            <w:pPr>
              <w:pStyle w:val="12"/>
              <w:spacing w:line="240" w:lineRule="auto"/>
              <w:ind w:left="128"/>
            </w:pPr>
            <w:r>
              <w:rPr>
                <w:spacing w:val="4"/>
              </w:rPr>
              <w:t>使层级</w:t>
            </w:r>
          </w:p>
        </w:tc>
        <w:tc>
          <w:tcPr>
            <w:tcW w:w="0" w:type="auto"/>
            <w:vAlign w:val="top"/>
          </w:tcPr>
          <w:p>
            <w:pPr>
              <w:pStyle w:val="12"/>
              <w:spacing w:before="252" w:line="240" w:lineRule="auto"/>
              <w:ind w:left="133"/>
            </w:pPr>
            <w:r>
              <w:rPr>
                <w:b/>
                <w:bCs/>
                <w:spacing w:val="-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trPr>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285"/>
            </w:pPr>
            <w:r>
              <w:t>1</w:t>
            </w:r>
          </w:p>
        </w:tc>
        <w:tc>
          <w:tcPr>
            <w:tcW w:w="1233"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4" w:line="240" w:lineRule="auto"/>
              <w:ind w:left="579" w:right="128" w:hanging="480"/>
            </w:pPr>
            <w:r>
              <w:rPr>
                <w:spacing w:val="-2"/>
              </w:rPr>
              <w:t>兽药监督检</w:t>
            </w:r>
            <w:r>
              <w:t xml:space="preserve"> 查</w:t>
            </w:r>
          </w:p>
        </w:tc>
        <w:tc>
          <w:tcPr>
            <w:tcW w:w="1433"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10"/>
            </w:pPr>
            <w:r>
              <w:rPr>
                <w:spacing w:val="-2"/>
              </w:rPr>
              <w:t>本行政区域内兽</w:t>
            </w:r>
            <w:r>
              <w:rPr>
                <w:spacing w:val="-1"/>
              </w:rPr>
              <w:t>药生产、经营主</w:t>
            </w:r>
            <w:r>
              <w:t>体</w:t>
            </w:r>
          </w:p>
        </w:tc>
        <w:tc>
          <w:tcPr>
            <w:tcW w:w="0" w:type="auto"/>
            <w:vAlign w:val="top"/>
          </w:tcPr>
          <w:p>
            <w:pPr>
              <w:pStyle w:val="12"/>
              <w:spacing w:before="288" w:line="240" w:lineRule="auto"/>
              <w:ind w:right="2"/>
            </w:pPr>
            <w:r>
              <w:rPr>
                <w:spacing w:val="-7"/>
              </w:rPr>
              <w:t>《兽药管理条例》第三条第二款县级以上地方人民政府兽医行政管理部门负责本行政区域内的兽</w:t>
            </w:r>
            <w:r>
              <w:rPr>
                <w:spacing w:val="-1"/>
              </w:rPr>
              <w:t>药监督管理工作。</w:t>
            </w:r>
          </w:p>
          <w:p>
            <w:pPr>
              <w:pStyle w:val="12"/>
              <w:spacing w:line="240" w:lineRule="auto"/>
              <w:ind w:left="2"/>
            </w:pPr>
            <w:r>
              <w:t>第四十四条第一款 县级以上人民政府兽医行政管理部门行使兽药监督管理权。</w:t>
            </w:r>
          </w:p>
          <w:p>
            <w:pPr>
              <w:pStyle w:val="12"/>
              <w:spacing w:before="8" w:line="240" w:lineRule="auto"/>
              <w:ind w:left="2" w:firstLine="9"/>
            </w:pPr>
            <w:r>
              <w:rPr>
                <w:spacing w:val="-7"/>
              </w:rPr>
              <w:t>第四十六条兽医行政管理部门依法进行监督检查时，对有证据证明可能是假、劣兽药</w:t>
            </w:r>
            <w:r>
              <w:rPr>
                <w:spacing w:val="-8"/>
              </w:rPr>
              <w:t>的，应当采</w:t>
            </w:r>
            <w:r>
              <w:t>取查封、扣押的行政强制措施，并自采取行政</w:t>
            </w:r>
            <w:r>
              <w:rPr>
                <w:spacing w:val="-1"/>
              </w:rPr>
              <w:t>强制措施之日起7个工作日内作出是否立案的决</w:t>
            </w:r>
            <w:r>
              <w:t xml:space="preserve"> 定</w:t>
            </w:r>
            <w:r>
              <w:rPr>
                <w:rFonts w:hint="eastAsia"/>
                <w:lang w:eastAsia="zh-CN"/>
              </w:rPr>
              <w:t>……</w:t>
            </w:r>
            <w:r>
              <w:t>。需要暂停经营、使用的，由县级以上人民政府兽医行政管理</w:t>
            </w:r>
            <w:r>
              <w:rPr>
                <w:spacing w:val="-1"/>
              </w:rPr>
              <w:t>部门按照权限作出决</w:t>
            </w:r>
            <w:r>
              <w:t xml:space="preserve">  </w:t>
            </w:r>
            <w:r>
              <w:rPr>
                <w:spacing w:val="-7"/>
              </w:rPr>
              <w:t>定。未经行政强制措施决定机关或者其上级机关批准，不得擅自转移、使用、销毁、销售被查封</w:t>
            </w:r>
            <w:r>
              <w:rPr>
                <w:spacing w:val="-1"/>
              </w:rPr>
              <w:t>或者扣押的兽药及有关材料。</w:t>
            </w:r>
          </w:p>
        </w:tc>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line="240" w:lineRule="auto"/>
              <w:ind w:left="277"/>
              <w:rPr>
                <w:rFonts w:hint="eastAsia" w:eastAsia="宋体"/>
                <w:lang w:eastAsia="zh-CN"/>
              </w:rPr>
            </w:pPr>
            <w:r>
              <w:rPr>
                <w:rFonts w:hint="eastAsia"/>
                <w:spacing w:val="1"/>
                <w:lang w:eastAsia="zh-CN"/>
              </w:rPr>
              <w:t>芒市农业农村局</w:t>
            </w:r>
          </w:p>
        </w:tc>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278" w:right="200" w:hanging="30"/>
            </w:pPr>
            <w:r>
              <w:rPr>
                <w:spacing w:val="7"/>
              </w:rPr>
              <w:t>县级</w:t>
            </w:r>
            <w:r>
              <w:t xml:space="preserve"> </w:t>
            </w:r>
            <w:r>
              <w:rPr>
                <w:spacing w:val="4"/>
              </w:rPr>
              <w:t>以上</w:t>
            </w:r>
          </w:p>
        </w:tc>
        <w:tc>
          <w:tcPr>
            <w:tcW w:w="0" w:type="auto"/>
            <w:vAlign w:val="top"/>
          </w:tcPr>
          <w:p>
            <w:pPr>
              <w:spacing w:line="240" w:lineRule="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4" w:line="240" w:lineRule="auto"/>
              <w:ind w:left="285"/>
            </w:pPr>
            <w:r>
              <w:t>2</w:t>
            </w:r>
          </w:p>
        </w:tc>
        <w:tc>
          <w:tcPr>
            <w:tcW w:w="1233"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369" w:right="109" w:hanging="270"/>
            </w:pPr>
            <w:r>
              <w:rPr>
                <w:spacing w:val="1"/>
              </w:rPr>
              <w:t>生猪屠宰监</w:t>
            </w:r>
            <w:r>
              <w:rPr>
                <w:spacing w:val="3"/>
              </w:rPr>
              <w:t xml:space="preserve"> 督检查</w:t>
            </w:r>
          </w:p>
        </w:tc>
        <w:tc>
          <w:tcPr>
            <w:tcW w:w="1433"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39" w:hanging="29"/>
            </w:pPr>
            <w:r>
              <w:rPr>
                <w:spacing w:val="-1"/>
              </w:rPr>
              <w:t>本行政区域内生</w:t>
            </w:r>
            <w:r>
              <w:rPr>
                <w:spacing w:val="5"/>
              </w:rPr>
              <w:t>猪屠宰厂</w:t>
            </w:r>
            <w:r>
              <w:rPr>
                <w:rFonts w:hint="eastAsia"/>
                <w:spacing w:val="5"/>
                <w:lang w:eastAsia="zh-CN"/>
              </w:rPr>
              <w:t>（</w:t>
            </w:r>
            <w:r>
              <w:rPr>
                <w:spacing w:val="5"/>
              </w:rPr>
              <w:t>场</w:t>
            </w:r>
            <w:r>
              <w:rPr>
                <w:rFonts w:hint="eastAsia"/>
                <w:spacing w:val="5"/>
                <w:lang w:eastAsia="zh-CN"/>
              </w:rPr>
              <w:t>）</w:t>
            </w:r>
          </w:p>
        </w:tc>
        <w:tc>
          <w:tcPr>
            <w:tcW w:w="0" w:type="auto"/>
            <w:vAlign w:val="top"/>
          </w:tcPr>
          <w:p>
            <w:pPr>
              <w:pStyle w:val="12"/>
              <w:spacing w:before="75" w:line="240" w:lineRule="auto"/>
            </w:pPr>
            <w:r>
              <w:rPr>
                <w:spacing w:val="-8"/>
              </w:rPr>
              <w:t>《生猪屠宰管理条例》第二十六条县级以上地方人民政府农业农村主管部门应当根据生猪屠宰质</w:t>
            </w:r>
            <w:r>
              <w:rPr>
                <w:spacing w:val="-1"/>
              </w:rPr>
              <w:t>量安全风险监测结果和国务院农业农村主管部门的规定</w:t>
            </w:r>
            <w:r>
              <w:rPr>
                <w:spacing w:val="-2"/>
              </w:rPr>
              <w:t>，加强对生猪定点屠宰厂</w:t>
            </w:r>
            <w:r>
              <w:rPr>
                <w:rFonts w:hint="eastAsia"/>
                <w:spacing w:val="-2"/>
                <w:lang w:eastAsia="zh-CN"/>
              </w:rPr>
              <w:t>（</w:t>
            </w:r>
            <w:r>
              <w:rPr>
                <w:spacing w:val="-2"/>
              </w:rPr>
              <w:t>场</w:t>
            </w:r>
            <w:r>
              <w:rPr>
                <w:rFonts w:hint="eastAsia"/>
                <w:spacing w:val="-2"/>
                <w:lang w:eastAsia="zh-CN"/>
              </w:rPr>
              <w:t>）</w:t>
            </w:r>
            <w:r>
              <w:rPr>
                <w:spacing w:val="-2"/>
              </w:rPr>
              <w:t>质量安全</w:t>
            </w:r>
            <w:r>
              <w:rPr>
                <w:spacing w:val="-1"/>
              </w:rPr>
              <w:t>管理状况的监督检查。</w:t>
            </w:r>
          </w:p>
          <w:p>
            <w:pPr>
              <w:pStyle w:val="12"/>
              <w:tabs>
                <w:tab w:val="left" w:pos="150"/>
              </w:tabs>
              <w:spacing w:line="240" w:lineRule="auto"/>
              <w:ind w:left="11" w:firstLine="9"/>
            </w:pPr>
            <w:r>
              <w:rPr>
                <w:spacing w:val="-10"/>
              </w:rPr>
              <w:t>第二十七条农业农村主管部门应当依照本条例的规定严格履行职责，加强对生猪屠宰活动的日常</w:t>
            </w:r>
            <w:r>
              <w:rPr>
                <w:spacing w:val="-7"/>
              </w:rPr>
              <w:t>监督检查，建立健全随机抽查机制。农业农村主管部门依法进行监督检查，可以采</w:t>
            </w:r>
            <w:r>
              <w:rPr>
                <w:spacing w:val="-8"/>
              </w:rPr>
              <w:t>取下列措施：</w:t>
            </w:r>
            <w:r>
              <w:t xml:space="preserve"> </w:t>
            </w:r>
          </w:p>
          <w:p>
            <w:pPr>
              <w:pStyle w:val="12"/>
              <w:tabs>
                <w:tab w:val="left" w:pos="150"/>
              </w:tabs>
              <w:spacing w:line="240" w:lineRule="auto"/>
              <w:ind w:left="11" w:firstLine="9"/>
            </w:pPr>
            <w:r>
              <w:tab/>
            </w:r>
            <w:r>
              <w:rPr>
                <w:rFonts w:hint="eastAsia"/>
                <w:lang w:eastAsia="zh-CN"/>
              </w:rPr>
              <w:t>（</w:t>
            </w:r>
            <w:r>
              <w:rPr>
                <w:spacing w:val="-2"/>
              </w:rPr>
              <w:t>一</w:t>
            </w:r>
            <w:r>
              <w:rPr>
                <w:rFonts w:hint="eastAsia"/>
                <w:spacing w:val="-2"/>
                <w:lang w:eastAsia="zh-CN"/>
              </w:rPr>
              <w:t>）</w:t>
            </w:r>
            <w:r>
              <w:rPr>
                <w:spacing w:val="-2"/>
              </w:rPr>
              <w:t>进入生猪屠宰等有关场所实施现场检查；</w:t>
            </w:r>
            <w:r>
              <w:rPr>
                <w:rFonts w:hint="eastAsia"/>
                <w:spacing w:val="-2"/>
                <w:lang w:eastAsia="zh-CN"/>
              </w:rPr>
              <w:t>（</w:t>
            </w:r>
            <w:r>
              <w:rPr>
                <w:spacing w:val="-2"/>
              </w:rPr>
              <w:t>二</w:t>
            </w:r>
            <w:r>
              <w:rPr>
                <w:rFonts w:hint="eastAsia"/>
                <w:spacing w:val="-2"/>
                <w:lang w:eastAsia="zh-CN"/>
              </w:rPr>
              <w:t>）</w:t>
            </w:r>
            <w:r>
              <w:rPr>
                <w:spacing w:val="-2"/>
              </w:rPr>
              <w:t>向有关单位和个人了解情况；</w:t>
            </w:r>
            <w:r>
              <w:rPr>
                <w:rFonts w:hint="eastAsia"/>
                <w:spacing w:val="-2"/>
                <w:lang w:eastAsia="zh-CN"/>
              </w:rPr>
              <w:t>（</w:t>
            </w:r>
            <w:r>
              <w:rPr>
                <w:spacing w:val="-2"/>
              </w:rPr>
              <w:t>三</w:t>
            </w:r>
            <w:r>
              <w:rPr>
                <w:rFonts w:hint="eastAsia"/>
                <w:spacing w:val="-2"/>
                <w:lang w:eastAsia="zh-CN"/>
              </w:rPr>
              <w:t>）</w:t>
            </w:r>
            <w:r>
              <w:rPr>
                <w:spacing w:val="-2"/>
              </w:rPr>
              <w:t>查阅</w:t>
            </w:r>
            <w:r>
              <w:rPr>
                <w:spacing w:val="-1"/>
              </w:rPr>
              <w:t>、复制有关记录、票据以及其他资料；</w:t>
            </w:r>
            <w:r>
              <w:rPr>
                <w:rFonts w:hint="eastAsia"/>
                <w:spacing w:val="-1"/>
                <w:lang w:eastAsia="zh-CN"/>
              </w:rPr>
              <w:t>（</w:t>
            </w:r>
            <w:r>
              <w:rPr>
                <w:spacing w:val="-1"/>
              </w:rPr>
              <w:t>四</w:t>
            </w:r>
            <w:r>
              <w:rPr>
                <w:rFonts w:hint="eastAsia"/>
                <w:spacing w:val="-1"/>
                <w:lang w:eastAsia="zh-CN"/>
              </w:rPr>
              <w:t>）</w:t>
            </w:r>
            <w:r>
              <w:rPr>
                <w:spacing w:val="-1"/>
              </w:rPr>
              <w:t>查封与违</w:t>
            </w:r>
            <w:r>
              <w:rPr>
                <w:spacing w:val="-2"/>
              </w:rPr>
              <w:t>法生猪屠宰活动有关的场所、设施，扣押</w:t>
            </w:r>
            <w:r>
              <w:rPr>
                <w:spacing w:val="-7"/>
              </w:rPr>
              <w:t>与违法生猪屠宰活动有关的生猪、生猪产品以及屠宰工具和设备。农业农村主管部门进行监</w:t>
            </w:r>
            <w:r>
              <w:rPr>
                <w:rFonts w:hint="eastAsia"/>
                <w:spacing w:val="-7"/>
                <w:lang w:eastAsia="zh-CN"/>
              </w:rPr>
              <w:t>督检</w:t>
            </w:r>
            <w:r>
              <w:rPr>
                <w:spacing w:val="-4"/>
              </w:rPr>
              <w:t>查时，监督检查人员不得少于2人，并应当出示执法证件。对农业农村主管</w:t>
            </w:r>
            <w:r>
              <w:rPr>
                <w:spacing w:val="-5"/>
              </w:rPr>
              <w:t>部门依法进行的监督</w:t>
            </w:r>
            <w:r>
              <w:rPr>
                <w:spacing w:val="-1"/>
              </w:rPr>
              <w:t>检查，有关单位和个人应当予以配合，不得拒绝、阻挠。</w:t>
            </w:r>
          </w:p>
        </w:tc>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line="240" w:lineRule="auto"/>
              <w:ind w:left="277"/>
              <w:rPr>
                <w:rFonts w:hint="eastAsia" w:eastAsia="宋体"/>
                <w:lang w:eastAsia="zh-CN"/>
              </w:rPr>
            </w:pPr>
            <w:r>
              <w:rPr>
                <w:rFonts w:hint="eastAsia"/>
                <w:spacing w:val="1"/>
                <w:lang w:eastAsia="zh-CN"/>
              </w:rPr>
              <w:t>芒市农业农村局</w:t>
            </w:r>
          </w:p>
        </w:tc>
        <w:tc>
          <w:tcPr>
            <w:tcW w:w="0" w:type="auto"/>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12"/>
              <w:spacing w:before="75" w:line="240" w:lineRule="auto"/>
              <w:ind w:left="248"/>
            </w:pPr>
            <w:r>
              <w:rPr>
                <w:spacing w:val="7"/>
              </w:rPr>
              <w:t>县级</w:t>
            </w:r>
          </w:p>
          <w:p>
            <w:pPr>
              <w:pStyle w:val="12"/>
              <w:spacing w:line="240" w:lineRule="auto"/>
              <w:ind w:left="248"/>
            </w:pPr>
            <w:r>
              <w:rPr>
                <w:spacing w:val="4"/>
              </w:rPr>
              <w:t>以上</w:t>
            </w:r>
          </w:p>
        </w:tc>
        <w:tc>
          <w:tcPr>
            <w:tcW w:w="0" w:type="auto"/>
            <w:vAlign w:val="top"/>
          </w:tcPr>
          <w:p>
            <w:pPr>
              <w:spacing w:line="240" w:lineRule="auto"/>
              <w:rPr>
                <w:rFonts w:ascii="Arial"/>
                <w:sz w:val="21"/>
              </w:rPr>
            </w:pPr>
          </w:p>
        </w:tc>
      </w:tr>
    </w:tbl>
    <w:p>
      <w:pPr>
        <w:rPr>
          <w:rFonts w:ascii="Arial"/>
          <w:sz w:val="21"/>
        </w:rPr>
      </w:pPr>
    </w:p>
    <w:p>
      <w:pPr>
        <w:rPr>
          <w:rFonts w:ascii="Arial" w:hAnsi="Arial" w:eastAsia="Arial" w:cs="Arial"/>
          <w:sz w:val="21"/>
          <w:szCs w:val="21"/>
        </w:rPr>
        <w:sectPr>
          <w:headerReference r:id="rId3" w:type="default"/>
          <w:footerReference r:id="rId4" w:type="default"/>
          <w:pgSz w:w="16920" w:h="11880"/>
          <w:pgMar w:top="1009" w:right="455" w:bottom="976" w:left="306" w:header="0" w:footer="397" w:gutter="0"/>
          <w:cols w:space="720" w:num="1"/>
        </w:sectPr>
      </w:pPr>
    </w:p>
    <w:p>
      <w:pPr>
        <w:spacing w:line="15" w:lineRule="exact"/>
      </w:pPr>
    </w:p>
    <w:tbl>
      <w:tblPr>
        <w:tblStyle w:val="13"/>
        <w:tblW w:w="16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369"/>
        <w:gridCol w:w="1629"/>
        <w:gridCol w:w="9384"/>
        <w:gridCol w:w="1279"/>
        <w:gridCol w:w="959"/>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5" w:type="dxa"/>
            <w:vAlign w:val="top"/>
          </w:tcPr>
          <w:p>
            <w:pPr>
              <w:pStyle w:val="12"/>
              <w:spacing w:before="275" w:line="221" w:lineRule="auto"/>
              <w:ind w:left="135"/>
              <w:rPr>
                <w:sz w:val="22"/>
                <w:szCs w:val="22"/>
              </w:rPr>
            </w:pPr>
            <w:r>
              <w:rPr>
                <w:spacing w:val="6"/>
                <w:sz w:val="22"/>
                <w:szCs w:val="22"/>
              </w:rPr>
              <w:t>序号</w:t>
            </w:r>
          </w:p>
        </w:tc>
        <w:tc>
          <w:tcPr>
            <w:tcW w:w="1369" w:type="dxa"/>
            <w:vAlign w:val="top"/>
          </w:tcPr>
          <w:p>
            <w:pPr>
              <w:pStyle w:val="12"/>
              <w:spacing w:before="271" w:line="219" w:lineRule="auto"/>
              <w:ind w:left="233"/>
              <w:rPr>
                <w:sz w:val="22"/>
                <w:szCs w:val="22"/>
              </w:rPr>
            </w:pPr>
            <w:r>
              <w:rPr>
                <w:b/>
                <w:bCs/>
                <w:spacing w:val="-4"/>
                <w:sz w:val="22"/>
                <w:szCs w:val="22"/>
              </w:rPr>
              <w:t>检查事项</w:t>
            </w:r>
          </w:p>
        </w:tc>
        <w:tc>
          <w:tcPr>
            <w:tcW w:w="1629" w:type="dxa"/>
            <w:vAlign w:val="top"/>
          </w:tcPr>
          <w:p>
            <w:pPr>
              <w:pStyle w:val="12"/>
              <w:spacing w:before="274" w:line="219" w:lineRule="auto"/>
              <w:ind w:left="360"/>
              <w:rPr>
                <w:sz w:val="22"/>
                <w:szCs w:val="22"/>
              </w:rPr>
            </w:pPr>
            <w:r>
              <w:rPr>
                <w:spacing w:val="-2"/>
                <w:sz w:val="22"/>
                <w:szCs w:val="22"/>
              </w:rPr>
              <w:t>检查对象</w:t>
            </w:r>
          </w:p>
        </w:tc>
        <w:tc>
          <w:tcPr>
            <w:tcW w:w="9384" w:type="dxa"/>
            <w:vAlign w:val="top"/>
          </w:tcPr>
          <w:p>
            <w:pPr>
              <w:pStyle w:val="12"/>
              <w:spacing w:before="269" w:line="219" w:lineRule="auto"/>
              <w:ind w:left="4245"/>
              <w:rPr>
                <w:sz w:val="22"/>
                <w:szCs w:val="22"/>
              </w:rPr>
            </w:pPr>
            <w:r>
              <w:rPr>
                <w:b/>
                <w:bCs/>
                <w:spacing w:val="-4"/>
                <w:sz w:val="22"/>
                <w:szCs w:val="22"/>
              </w:rPr>
              <w:t>检查依据</w:t>
            </w:r>
          </w:p>
        </w:tc>
        <w:tc>
          <w:tcPr>
            <w:tcW w:w="1279" w:type="dxa"/>
            <w:vAlign w:val="top"/>
          </w:tcPr>
          <w:p>
            <w:pPr>
              <w:pStyle w:val="12"/>
              <w:spacing w:before="133" w:line="239" w:lineRule="auto"/>
              <w:ind w:left="527" w:right="68" w:hanging="439"/>
              <w:rPr>
                <w:sz w:val="22"/>
                <w:szCs w:val="22"/>
              </w:rPr>
            </w:pPr>
            <w:r>
              <w:rPr>
                <w:spacing w:val="2"/>
                <w:sz w:val="22"/>
                <w:szCs w:val="22"/>
              </w:rPr>
              <w:t>法定实施主</w:t>
            </w:r>
            <w:r>
              <w:rPr>
                <w:spacing w:val="1"/>
                <w:sz w:val="22"/>
                <w:szCs w:val="22"/>
              </w:rPr>
              <w:t xml:space="preserve"> </w:t>
            </w:r>
            <w:r>
              <w:rPr>
                <w:sz w:val="22"/>
                <w:szCs w:val="22"/>
              </w:rPr>
              <w:t>体</w:t>
            </w:r>
          </w:p>
        </w:tc>
        <w:tc>
          <w:tcPr>
            <w:tcW w:w="959" w:type="dxa"/>
            <w:vAlign w:val="top"/>
          </w:tcPr>
          <w:p>
            <w:pPr>
              <w:pStyle w:val="12"/>
              <w:spacing w:before="134" w:line="220" w:lineRule="auto"/>
              <w:ind w:left="149"/>
              <w:rPr>
                <w:sz w:val="22"/>
                <w:szCs w:val="22"/>
              </w:rPr>
            </w:pPr>
            <w:r>
              <w:rPr>
                <w:spacing w:val="3"/>
                <w:sz w:val="22"/>
                <w:szCs w:val="22"/>
              </w:rPr>
              <w:t>法定行</w:t>
            </w:r>
          </w:p>
          <w:p>
            <w:pPr>
              <w:pStyle w:val="12"/>
              <w:spacing w:before="14" w:line="219" w:lineRule="auto"/>
              <w:ind w:left="152"/>
              <w:rPr>
                <w:sz w:val="22"/>
                <w:szCs w:val="22"/>
              </w:rPr>
            </w:pPr>
            <w:r>
              <w:rPr>
                <w:rFonts w:ascii="宋体" w:hAnsi="宋体" w:eastAsia="宋体" w:cs="宋体"/>
                <w:spacing w:val="3"/>
                <w:sz w:val="22"/>
                <w:szCs w:val="22"/>
              </w:rPr>
              <w:t>使层级</w:t>
            </w:r>
          </w:p>
        </w:tc>
        <w:tc>
          <w:tcPr>
            <w:tcW w:w="685" w:type="dxa"/>
            <w:vAlign w:val="top"/>
          </w:tcPr>
          <w:p>
            <w:pPr>
              <w:pStyle w:val="12"/>
              <w:spacing w:before="275" w:line="221" w:lineRule="auto"/>
              <w:ind w:left="130"/>
              <w:rPr>
                <w:sz w:val="22"/>
                <w:szCs w:val="22"/>
              </w:rPr>
            </w:pPr>
            <w:r>
              <w:rPr>
                <w:spacing w:val="5"/>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4" w:hRule="atLeast"/>
        </w:trPr>
        <w:tc>
          <w:tcPr>
            <w:tcW w:w="72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2"/>
              <w:spacing w:before="71"/>
              <w:ind w:left="294"/>
              <w:rPr>
                <w:sz w:val="22"/>
                <w:szCs w:val="22"/>
              </w:rPr>
            </w:pPr>
            <w:r>
              <w:rPr>
                <w:sz w:val="22"/>
                <w:szCs w:val="22"/>
              </w:rPr>
              <w:t>3</w:t>
            </w:r>
          </w:p>
        </w:tc>
        <w:tc>
          <w:tcPr>
            <w:tcW w:w="136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2"/>
              <w:spacing w:before="71" w:line="202" w:lineRule="auto"/>
              <w:ind w:left="120"/>
              <w:rPr>
                <w:sz w:val="22"/>
                <w:szCs w:val="22"/>
              </w:rPr>
            </w:pPr>
            <w:r>
              <w:rPr>
                <w:spacing w:val="-2"/>
                <w:sz w:val="22"/>
                <w:szCs w:val="22"/>
              </w:rPr>
              <w:t>病原微生物</w:t>
            </w:r>
          </w:p>
          <w:p>
            <w:pPr>
              <w:pStyle w:val="12"/>
              <w:spacing w:line="220" w:lineRule="auto"/>
              <w:ind w:left="140"/>
              <w:rPr>
                <w:sz w:val="22"/>
                <w:szCs w:val="22"/>
              </w:rPr>
            </w:pPr>
            <w:r>
              <w:rPr>
                <w:spacing w:val="2"/>
                <w:sz w:val="22"/>
                <w:szCs w:val="22"/>
              </w:rPr>
              <w:t>实验室监督</w:t>
            </w:r>
          </w:p>
          <w:p>
            <w:pPr>
              <w:pStyle w:val="12"/>
              <w:spacing w:before="17" w:line="219" w:lineRule="auto"/>
              <w:ind w:left="450"/>
              <w:rPr>
                <w:sz w:val="22"/>
                <w:szCs w:val="22"/>
              </w:rPr>
            </w:pPr>
            <w:r>
              <w:rPr>
                <w:spacing w:val="-3"/>
                <w:sz w:val="22"/>
                <w:szCs w:val="22"/>
              </w:rPr>
              <w:t>检查</w:t>
            </w:r>
          </w:p>
        </w:tc>
        <w:tc>
          <w:tcPr>
            <w:tcW w:w="162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2"/>
              <w:spacing w:before="72" w:line="211" w:lineRule="auto"/>
              <w:ind w:left="31" w:right="32"/>
              <w:rPr>
                <w:sz w:val="22"/>
                <w:szCs w:val="22"/>
              </w:rPr>
            </w:pPr>
            <w:r>
              <w:rPr>
                <w:spacing w:val="2"/>
                <w:sz w:val="22"/>
                <w:szCs w:val="22"/>
              </w:rPr>
              <w:t>本行政区域内病</w:t>
            </w:r>
            <w:r>
              <w:rPr>
                <w:sz w:val="22"/>
                <w:szCs w:val="22"/>
              </w:rPr>
              <w:t xml:space="preserve"> </w:t>
            </w:r>
            <w:r>
              <w:rPr>
                <w:spacing w:val="1"/>
                <w:sz w:val="22"/>
                <w:szCs w:val="22"/>
              </w:rPr>
              <w:t>原微生物实验室</w:t>
            </w:r>
          </w:p>
        </w:tc>
        <w:tc>
          <w:tcPr>
            <w:tcW w:w="9384" w:type="dxa"/>
            <w:vAlign w:val="top"/>
          </w:tcPr>
          <w:p>
            <w:pPr>
              <w:pStyle w:val="12"/>
              <w:spacing w:before="71" w:line="192" w:lineRule="auto"/>
              <w:rPr>
                <w:sz w:val="22"/>
                <w:szCs w:val="22"/>
              </w:rPr>
            </w:pPr>
            <w:r>
              <w:rPr>
                <w:spacing w:val="-1"/>
                <w:sz w:val="22"/>
                <w:szCs w:val="22"/>
              </w:rPr>
              <w:t>《病原微生物实验室生物安全管理条例》</w:t>
            </w:r>
          </w:p>
          <w:p>
            <w:pPr>
              <w:pStyle w:val="12"/>
              <w:spacing w:before="2" w:line="234" w:lineRule="auto"/>
              <w:ind w:left="11" w:right="350"/>
              <w:rPr>
                <w:sz w:val="22"/>
                <w:szCs w:val="22"/>
              </w:rPr>
            </w:pPr>
            <w:r>
              <w:rPr>
                <w:sz w:val="22"/>
                <w:szCs w:val="22"/>
              </w:rPr>
              <w:t>第三条第四款  县级以上地方人民政府及其有关部门在各自职责范围内</w:t>
            </w:r>
            <w:r>
              <w:rPr>
                <w:spacing w:val="-1"/>
                <w:sz w:val="22"/>
                <w:szCs w:val="22"/>
              </w:rPr>
              <w:t>负责实验室及其实验活</w:t>
            </w:r>
            <w:r>
              <w:rPr>
                <w:sz w:val="22"/>
                <w:szCs w:val="22"/>
              </w:rPr>
              <w:t xml:space="preserve"> 动的生物安全管理工作。</w:t>
            </w:r>
          </w:p>
          <w:p>
            <w:pPr>
              <w:pStyle w:val="12"/>
              <w:spacing w:before="2" w:line="219" w:lineRule="auto"/>
              <w:ind w:left="31" w:right="439" w:hanging="20"/>
              <w:rPr>
                <w:sz w:val="22"/>
                <w:szCs w:val="22"/>
              </w:rPr>
            </w:pPr>
            <w:r>
              <w:rPr>
                <w:sz w:val="22"/>
                <w:szCs w:val="22"/>
              </w:rPr>
              <w:t>第四十九条 县级以上地方人民政府卫生主管部门、兽医主管部门依照各自分工，履行下列职</w:t>
            </w:r>
            <w:r>
              <w:rPr>
                <w:spacing w:val="11"/>
                <w:sz w:val="22"/>
                <w:szCs w:val="22"/>
              </w:rPr>
              <w:t xml:space="preserve"> </w:t>
            </w:r>
            <w:r>
              <w:rPr>
                <w:sz w:val="22"/>
                <w:szCs w:val="22"/>
              </w:rPr>
              <w:t>责：</w:t>
            </w:r>
            <w:r>
              <w:rPr>
                <w:rFonts w:hint="eastAsia"/>
                <w:sz w:val="22"/>
                <w:szCs w:val="22"/>
                <w:lang w:eastAsia="zh-CN"/>
              </w:rPr>
              <w:t>（</w:t>
            </w:r>
            <w:r>
              <w:rPr>
                <w:sz w:val="22"/>
                <w:szCs w:val="22"/>
              </w:rPr>
              <w:t>一</w:t>
            </w:r>
            <w:r>
              <w:rPr>
                <w:rFonts w:hint="eastAsia"/>
                <w:sz w:val="22"/>
                <w:szCs w:val="22"/>
                <w:lang w:eastAsia="zh-CN"/>
              </w:rPr>
              <w:t>）</w:t>
            </w:r>
            <w:r>
              <w:rPr>
                <w:sz w:val="22"/>
                <w:szCs w:val="22"/>
              </w:rPr>
              <w:t>对病原微生物菌</w:t>
            </w:r>
            <w:r>
              <w:rPr>
                <w:rFonts w:hint="eastAsia"/>
                <w:sz w:val="22"/>
                <w:szCs w:val="22"/>
                <w:lang w:eastAsia="zh-CN"/>
              </w:rPr>
              <w:t>（</w:t>
            </w:r>
            <w:r>
              <w:rPr>
                <w:sz w:val="22"/>
                <w:szCs w:val="22"/>
              </w:rPr>
              <w:t>毒</w:t>
            </w:r>
            <w:r>
              <w:rPr>
                <w:rFonts w:hint="eastAsia"/>
                <w:sz w:val="22"/>
                <w:szCs w:val="22"/>
                <w:lang w:eastAsia="zh-CN"/>
              </w:rPr>
              <w:t>）</w:t>
            </w:r>
            <w:r>
              <w:rPr>
                <w:sz w:val="22"/>
                <w:szCs w:val="22"/>
              </w:rPr>
              <w:t>种、样本的采集、运输、储存进行监督检查；</w:t>
            </w:r>
            <w:r>
              <w:rPr>
                <w:rFonts w:hint="eastAsia"/>
                <w:sz w:val="22"/>
                <w:szCs w:val="22"/>
                <w:lang w:eastAsia="zh-CN"/>
              </w:rPr>
              <w:t>（</w:t>
            </w:r>
            <w:r>
              <w:rPr>
                <w:sz w:val="22"/>
                <w:szCs w:val="22"/>
              </w:rPr>
              <w:t>二</w:t>
            </w:r>
            <w:r>
              <w:rPr>
                <w:rFonts w:hint="eastAsia"/>
                <w:sz w:val="22"/>
                <w:szCs w:val="22"/>
                <w:lang w:eastAsia="zh-CN"/>
              </w:rPr>
              <w:t>）</w:t>
            </w:r>
            <w:r>
              <w:rPr>
                <w:sz w:val="22"/>
                <w:szCs w:val="22"/>
              </w:rPr>
              <w:t>对从事高</w:t>
            </w:r>
          </w:p>
          <w:p>
            <w:pPr>
              <w:pStyle w:val="12"/>
              <w:spacing w:before="35" w:line="219" w:lineRule="auto"/>
              <w:ind w:left="42"/>
              <w:rPr>
                <w:sz w:val="22"/>
                <w:szCs w:val="22"/>
              </w:rPr>
            </w:pPr>
            <w:r>
              <w:rPr>
                <w:sz w:val="22"/>
                <w:szCs w:val="22"/>
              </w:rPr>
              <w:t>致病性病原微生物相关实验活动的实验室是否符合本条例规定的条件进行</w:t>
            </w:r>
            <w:r>
              <w:rPr>
                <w:spacing w:val="-1"/>
                <w:sz w:val="22"/>
                <w:szCs w:val="22"/>
              </w:rPr>
              <w:t>监督检查；</w:t>
            </w:r>
            <w:r>
              <w:rPr>
                <w:rFonts w:hint="eastAsia"/>
                <w:spacing w:val="-1"/>
                <w:sz w:val="22"/>
                <w:szCs w:val="22"/>
                <w:lang w:eastAsia="zh-CN"/>
              </w:rPr>
              <w:t>（</w:t>
            </w:r>
            <w:r>
              <w:rPr>
                <w:spacing w:val="-1"/>
                <w:sz w:val="22"/>
                <w:szCs w:val="22"/>
              </w:rPr>
              <w:t>三</w:t>
            </w:r>
            <w:r>
              <w:rPr>
                <w:rFonts w:hint="eastAsia"/>
                <w:spacing w:val="-1"/>
                <w:sz w:val="22"/>
                <w:szCs w:val="22"/>
                <w:lang w:eastAsia="zh-CN"/>
              </w:rPr>
              <w:t>）</w:t>
            </w:r>
            <w:r>
              <w:rPr>
                <w:spacing w:val="-1"/>
                <w:sz w:val="22"/>
                <w:szCs w:val="22"/>
              </w:rPr>
              <w:t>对实</w:t>
            </w:r>
          </w:p>
          <w:p>
            <w:pPr>
              <w:pStyle w:val="12"/>
              <w:spacing w:line="218" w:lineRule="auto"/>
              <w:ind w:left="32"/>
              <w:rPr>
                <w:sz w:val="22"/>
                <w:szCs w:val="22"/>
              </w:rPr>
            </w:pPr>
            <w:r>
              <w:rPr>
                <w:sz w:val="22"/>
                <w:szCs w:val="22"/>
              </w:rPr>
              <w:t>验室或者实验室的设立单位培训、考核其工作人员以及上岗人员的情况进行</w:t>
            </w:r>
            <w:r>
              <w:rPr>
                <w:spacing w:val="-1"/>
                <w:sz w:val="22"/>
                <w:szCs w:val="22"/>
              </w:rPr>
              <w:t>监督检查；</w:t>
            </w:r>
            <w:r>
              <w:rPr>
                <w:rFonts w:hint="eastAsia"/>
                <w:spacing w:val="-1"/>
                <w:sz w:val="22"/>
                <w:szCs w:val="22"/>
                <w:lang w:eastAsia="zh-CN"/>
              </w:rPr>
              <w:t>（</w:t>
            </w:r>
            <w:r>
              <w:rPr>
                <w:spacing w:val="-1"/>
                <w:sz w:val="22"/>
                <w:szCs w:val="22"/>
              </w:rPr>
              <w:t>四</w:t>
            </w:r>
            <w:r>
              <w:rPr>
                <w:rFonts w:hint="eastAsia"/>
                <w:spacing w:val="-1"/>
                <w:sz w:val="22"/>
                <w:szCs w:val="22"/>
                <w:lang w:eastAsia="zh-CN"/>
              </w:rPr>
              <w:t>）</w:t>
            </w:r>
            <w:r>
              <w:rPr>
                <w:spacing w:val="-1"/>
                <w:sz w:val="22"/>
                <w:szCs w:val="22"/>
              </w:rPr>
              <w:t>对</w:t>
            </w:r>
          </w:p>
          <w:p>
            <w:pPr>
              <w:pStyle w:val="12"/>
              <w:spacing w:line="219" w:lineRule="auto"/>
              <w:ind w:left="62"/>
              <w:rPr>
                <w:sz w:val="22"/>
                <w:szCs w:val="22"/>
              </w:rPr>
            </w:pPr>
            <w:r>
              <w:rPr>
                <w:sz w:val="22"/>
                <w:szCs w:val="22"/>
              </w:rPr>
              <w:t>实验室是否按照有关国家标准、技术规范和操作规程从事病原微生物相关实验活动进行监督检查</w:t>
            </w:r>
          </w:p>
          <w:p>
            <w:pPr>
              <w:pStyle w:val="12"/>
              <w:spacing w:before="255" w:line="231" w:lineRule="auto"/>
              <w:ind w:left="11" w:right="60" w:firstLine="50"/>
              <w:jc w:val="both"/>
              <w:rPr>
                <w:sz w:val="22"/>
                <w:szCs w:val="22"/>
              </w:rPr>
            </w:pPr>
            <w:r>
              <w:rPr>
                <w:sz w:val="22"/>
                <w:szCs w:val="22"/>
              </w:rPr>
              <w:t>县级以上地方人民政府卫生主管部门、兽医主管部门，应当主要通过检查反映实验室执行国家有</w:t>
            </w:r>
            <w:r>
              <w:rPr>
                <w:spacing w:val="10"/>
                <w:sz w:val="22"/>
                <w:szCs w:val="22"/>
              </w:rPr>
              <w:t xml:space="preserve"> </w:t>
            </w:r>
            <w:r>
              <w:rPr>
                <w:spacing w:val="1"/>
                <w:sz w:val="22"/>
                <w:szCs w:val="22"/>
              </w:rPr>
              <w:t>关法律、行政法规以及国家标准和要求的记录、档案、报告，切实履行监督管理职责。</w:t>
            </w:r>
            <w:r>
              <w:rPr>
                <w:sz w:val="22"/>
                <w:szCs w:val="22"/>
              </w:rPr>
              <w:t xml:space="preserve">第五十条 </w:t>
            </w:r>
            <w:r>
              <w:rPr>
                <w:spacing w:val="1"/>
                <w:sz w:val="22"/>
                <w:szCs w:val="22"/>
              </w:rPr>
              <w:t>县级以上人民政府卫生主管部门、兽医主管部门、环境保护主管部门在履行监督检查职责时，有</w:t>
            </w:r>
            <w:r>
              <w:rPr>
                <w:spacing w:val="8"/>
                <w:sz w:val="22"/>
                <w:szCs w:val="22"/>
              </w:rPr>
              <w:t xml:space="preserve"> </w:t>
            </w:r>
            <w:r>
              <w:rPr>
                <w:sz w:val="22"/>
                <w:szCs w:val="22"/>
              </w:rPr>
              <w:t>权进入被检查单位和病原微生物泄漏或者扩散现场调查取证、采集样品，查阅复制有关资料。需</w:t>
            </w:r>
            <w:r>
              <w:rPr>
                <w:spacing w:val="12"/>
                <w:sz w:val="22"/>
                <w:szCs w:val="22"/>
              </w:rPr>
              <w:t xml:space="preserve"> </w:t>
            </w:r>
            <w:r>
              <w:rPr>
                <w:spacing w:val="1"/>
                <w:sz w:val="22"/>
                <w:szCs w:val="22"/>
              </w:rPr>
              <w:t>要进入从事高致病性病原微生物相关实验活动的实验室调查取证、采集样品的，应当指定</w:t>
            </w:r>
            <w:r>
              <w:rPr>
                <w:sz w:val="22"/>
                <w:szCs w:val="22"/>
              </w:rPr>
              <w:t>或者委 托专业机构实施。被检查单位应当予以配合，不得拒绝、阻挠。</w:t>
            </w:r>
          </w:p>
        </w:tc>
        <w:tc>
          <w:tcPr>
            <w:tcW w:w="127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2"/>
              <w:spacing w:line="218" w:lineRule="auto"/>
              <w:ind w:left="308"/>
              <w:rPr>
                <w:rFonts w:hint="eastAsia" w:eastAsia="宋体"/>
                <w:sz w:val="22"/>
                <w:szCs w:val="22"/>
                <w:lang w:eastAsia="zh-CN"/>
              </w:rPr>
            </w:pPr>
            <w:r>
              <w:rPr>
                <w:rFonts w:hint="eastAsia"/>
                <w:spacing w:val="1"/>
                <w:sz w:val="22"/>
                <w:szCs w:val="22"/>
                <w:lang w:eastAsia="zh-CN"/>
              </w:rPr>
              <w:t>芒市农业农村局</w:t>
            </w:r>
          </w:p>
        </w:tc>
        <w:tc>
          <w:tcPr>
            <w:tcW w:w="95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2"/>
              <w:spacing w:before="72" w:line="221" w:lineRule="auto"/>
              <w:ind w:left="259"/>
              <w:rPr>
                <w:sz w:val="22"/>
                <w:szCs w:val="22"/>
              </w:rPr>
            </w:pPr>
            <w:r>
              <w:rPr>
                <w:spacing w:val="6"/>
                <w:sz w:val="22"/>
                <w:szCs w:val="22"/>
              </w:rPr>
              <w:t>县级</w:t>
            </w:r>
          </w:p>
          <w:p>
            <w:pPr>
              <w:pStyle w:val="12"/>
              <w:spacing w:before="17" w:line="222" w:lineRule="auto"/>
              <w:ind w:left="259"/>
              <w:rPr>
                <w:sz w:val="22"/>
                <w:szCs w:val="22"/>
              </w:rPr>
            </w:pPr>
            <w:r>
              <w:rPr>
                <w:spacing w:val="4"/>
                <w:sz w:val="22"/>
                <w:szCs w:val="22"/>
              </w:rPr>
              <w:t>以上</w:t>
            </w:r>
          </w:p>
        </w:tc>
        <w:tc>
          <w:tcPr>
            <w:tcW w:w="68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trPr>
        <w:tc>
          <w:tcPr>
            <w:tcW w:w="725"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12"/>
              <w:spacing w:before="72" w:line="241" w:lineRule="auto"/>
              <w:ind w:left="294"/>
              <w:rPr>
                <w:sz w:val="22"/>
                <w:szCs w:val="22"/>
              </w:rPr>
            </w:pPr>
            <w:r>
              <w:rPr>
                <w:sz w:val="22"/>
                <w:szCs w:val="22"/>
              </w:rPr>
              <w:t>4</w:t>
            </w:r>
          </w:p>
        </w:tc>
        <w:tc>
          <w:tcPr>
            <w:tcW w:w="136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2"/>
              <w:spacing w:before="71" w:line="220" w:lineRule="auto"/>
              <w:ind w:left="120"/>
              <w:rPr>
                <w:sz w:val="22"/>
                <w:szCs w:val="22"/>
              </w:rPr>
            </w:pPr>
            <w:r>
              <w:rPr>
                <w:spacing w:val="-2"/>
                <w:sz w:val="22"/>
                <w:szCs w:val="22"/>
              </w:rPr>
              <w:t>饲料和饲料</w:t>
            </w:r>
          </w:p>
          <w:p>
            <w:pPr>
              <w:pStyle w:val="12"/>
              <w:spacing w:before="35" w:line="219" w:lineRule="auto"/>
              <w:ind w:left="120"/>
              <w:rPr>
                <w:sz w:val="22"/>
                <w:szCs w:val="22"/>
              </w:rPr>
            </w:pPr>
            <w:r>
              <w:rPr>
                <w:spacing w:val="2"/>
                <w:sz w:val="22"/>
                <w:szCs w:val="22"/>
              </w:rPr>
              <w:t>添加剂监督</w:t>
            </w:r>
          </w:p>
          <w:p>
            <w:pPr>
              <w:pStyle w:val="12"/>
              <w:spacing w:line="219" w:lineRule="auto"/>
              <w:ind w:left="450"/>
              <w:rPr>
                <w:sz w:val="22"/>
                <w:szCs w:val="22"/>
              </w:rPr>
            </w:pPr>
            <w:r>
              <w:rPr>
                <w:spacing w:val="-3"/>
                <w:sz w:val="22"/>
                <w:szCs w:val="22"/>
              </w:rPr>
              <w:t>检查</w:t>
            </w:r>
          </w:p>
        </w:tc>
        <w:tc>
          <w:tcPr>
            <w:tcW w:w="162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12"/>
              <w:spacing w:before="71" w:line="228" w:lineRule="auto"/>
              <w:ind w:left="31" w:right="34"/>
              <w:jc w:val="both"/>
              <w:rPr>
                <w:sz w:val="22"/>
                <w:szCs w:val="22"/>
              </w:rPr>
            </w:pPr>
            <w:r>
              <w:rPr>
                <w:spacing w:val="1"/>
                <w:sz w:val="22"/>
                <w:szCs w:val="22"/>
              </w:rPr>
              <w:t>本行政区域内饲</w:t>
            </w:r>
            <w:r>
              <w:rPr>
                <w:spacing w:val="4"/>
                <w:sz w:val="22"/>
                <w:szCs w:val="22"/>
              </w:rPr>
              <w:t xml:space="preserve"> </w:t>
            </w:r>
            <w:r>
              <w:rPr>
                <w:spacing w:val="1"/>
                <w:sz w:val="22"/>
                <w:szCs w:val="22"/>
              </w:rPr>
              <w:t>料和饲料添加剂</w:t>
            </w:r>
            <w:r>
              <w:rPr>
                <w:spacing w:val="5"/>
                <w:sz w:val="22"/>
                <w:szCs w:val="22"/>
              </w:rPr>
              <w:t xml:space="preserve"> </w:t>
            </w:r>
            <w:r>
              <w:rPr>
                <w:spacing w:val="-2"/>
                <w:sz w:val="22"/>
                <w:szCs w:val="22"/>
              </w:rPr>
              <w:t>生产、经营主体</w:t>
            </w:r>
          </w:p>
        </w:tc>
        <w:tc>
          <w:tcPr>
            <w:tcW w:w="9384" w:type="dxa"/>
            <w:vAlign w:val="top"/>
          </w:tcPr>
          <w:p>
            <w:pPr>
              <w:pStyle w:val="12"/>
              <w:spacing w:before="72" w:line="229" w:lineRule="auto"/>
              <w:ind w:right="58"/>
              <w:jc w:val="both"/>
              <w:rPr>
                <w:sz w:val="22"/>
                <w:szCs w:val="22"/>
              </w:rPr>
            </w:pPr>
            <w:r>
              <w:rPr>
                <w:spacing w:val="-1"/>
                <w:sz w:val="22"/>
                <w:szCs w:val="22"/>
              </w:rPr>
              <w:t>《饲料和饲料添加剂管理条例》第三十四条</w:t>
            </w:r>
            <w:r>
              <w:rPr>
                <w:spacing w:val="40"/>
                <w:sz w:val="22"/>
                <w:szCs w:val="22"/>
              </w:rPr>
              <w:t xml:space="preserve"> </w:t>
            </w:r>
            <w:r>
              <w:rPr>
                <w:spacing w:val="-1"/>
                <w:sz w:val="22"/>
                <w:szCs w:val="22"/>
              </w:rPr>
              <w:t>国务院农业行政主管部门和</w:t>
            </w:r>
            <w:r>
              <w:rPr>
                <w:spacing w:val="-2"/>
                <w:sz w:val="22"/>
                <w:szCs w:val="22"/>
              </w:rPr>
              <w:t>县级以上地方人民政府</w:t>
            </w:r>
            <w:r>
              <w:rPr>
                <w:sz w:val="22"/>
                <w:szCs w:val="22"/>
              </w:rPr>
              <w:t xml:space="preserve">  </w:t>
            </w:r>
            <w:r>
              <w:rPr>
                <w:spacing w:val="1"/>
                <w:sz w:val="22"/>
                <w:szCs w:val="22"/>
              </w:rPr>
              <w:t>饲料管理部门在监督检查中可以采取下列措施：</w:t>
            </w:r>
            <w:r>
              <w:rPr>
                <w:rFonts w:hint="eastAsia"/>
                <w:spacing w:val="1"/>
                <w:sz w:val="22"/>
                <w:szCs w:val="22"/>
                <w:lang w:eastAsia="zh-CN"/>
              </w:rPr>
              <w:t>（</w:t>
            </w:r>
            <w:r>
              <w:rPr>
                <w:spacing w:val="1"/>
                <w:sz w:val="22"/>
                <w:szCs w:val="22"/>
              </w:rPr>
              <w:t>一</w:t>
            </w:r>
            <w:r>
              <w:rPr>
                <w:rFonts w:hint="eastAsia"/>
                <w:spacing w:val="1"/>
                <w:sz w:val="22"/>
                <w:szCs w:val="22"/>
                <w:lang w:eastAsia="zh-CN"/>
              </w:rPr>
              <w:t>）</w:t>
            </w:r>
            <w:r>
              <w:rPr>
                <w:spacing w:val="1"/>
                <w:sz w:val="22"/>
                <w:szCs w:val="22"/>
              </w:rPr>
              <w:t>对饲料、饲料添</w:t>
            </w:r>
            <w:r>
              <w:rPr>
                <w:sz w:val="22"/>
                <w:szCs w:val="22"/>
              </w:rPr>
              <w:t xml:space="preserve">加剂生产、经营、使用场所 </w:t>
            </w:r>
            <w:r>
              <w:rPr>
                <w:spacing w:val="1"/>
                <w:sz w:val="22"/>
                <w:szCs w:val="22"/>
              </w:rPr>
              <w:t>实施现场检查；</w:t>
            </w:r>
            <w:r>
              <w:rPr>
                <w:rFonts w:hint="eastAsia"/>
                <w:spacing w:val="1"/>
                <w:sz w:val="22"/>
                <w:szCs w:val="22"/>
                <w:lang w:eastAsia="zh-CN"/>
              </w:rPr>
              <w:t>（</w:t>
            </w:r>
            <w:r>
              <w:rPr>
                <w:spacing w:val="1"/>
                <w:sz w:val="22"/>
                <w:szCs w:val="22"/>
              </w:rPr>
              <w:t>二</w:t>
            </w:r>
            <w:r>
              <w:rPr>
                <w:rFonts w:hint="eastAsia"/>
                <w:spacing w:val="1"/>
                <w:sz w:val="22"/>
                <w:szCs w:val="22"/>
                <w:lang w:eastAsia="zh-CN"/>
              </w:rPr>
              <w:t>）</w:t>
            </w:r>
            <w:r>
              <w:rPr>
                <w:spacing w:val="1"/>
                <w:sz w:val="22"/>
                <w:szCs w:val="22"/>
              </w:rPr>
              <w:t>查阅、复制有关合同、票据、账簿和其他相关资</w:t>
            </w:r>
            <w:r>
              <w:rPr>
                <w:sz w:val="22"/>
                <w:szCs w:val="22"/>
              </w:rPr>
              <w:t>料；</w:t>
            </w:r>
            <w:r>
              <w:rPr>
                <w:rFonts w:hint="eastAsia"/>
                <w:sz w:val="22"/>
                <w:szCs w:val="22"/>
                <w:lang w:eastAsia="zh-CN"/>
              </w:rPr>
              <w:t>（</w:t>
            </w:r>
            <w:r>
              <w:rPr>
                <w:sz w:val="22"/>
                <w:szCs w:val="22"/>
              </w:rPr>
              <w:t>三</w:t>
            </w:r>
            <w:r>
              <w:rPr>
                <w:rFonts w:hint="eastAsia"/>
                <w:sz w:val="22"/>
                <w:szCs w:val="22"/>
                <w:lang w:eastAsia="zh-CN"/>
              </w:rPr>
              <w:t>）</w:t>
            </w:r>
            <w:r>
              <w:rPr>
                <w:sz w:val="22"/>
                <w:szCs w:val="22"/>
              </w:rPr>
              <w:t xml:space="preserve">查封、扣押有证据 </w:t>
            </w:r>
            <w:r>
              <w:rPr>
                <w:spacing w:val="1"/>
                <w:sz w:val="22"/>
                <w:szCs w:val="22"/>
              </w:rPr>
              <w:t>证明用于违法生产饲料的饲料原料、单一饲料、饲料添加剂、药物饲料</w:t>
            </w:r>
            <w:r>
              <w:rPr>
                <w:sz w:val="22"/>
                <w:szCs w:val="22"/>
              </w:rPr>
              <w:t xml:space="preserve">添加剂、添加剂预混合饲 </w:t>
            </w:r>
            <w:r>
              <w:rPr>
                <w:spacing w:val="1"/>
                <w:sz w:val="22"/>
                <w:szCs w:val="22"/>
              </w:rPr>
              <w:t>料，用于违法生产饲料添加剂的原料，用于违法生产饲料、饲料添加剂的工具、设施，违法生产</w:t>
            </w:r>
            <w:r>
              <w:rPr>
                <w:sz w:val="22"/>
                <w:szCs w:val="22"/>
              </w:rPr>
              <w:t>、经营、使用的饲料、饲料添加剂；</w:t>
            </w:r>
            <w:r>
              <w:rPr>
                <w:rFonts w:hint="eastAsia"/>
                <w:sz w:val="22"/>
                <w:szCs w:val="22"/>
                <w:lang w:eastAsia="zh-CN"/>
              </w:rPr>
              <w:t>（</w:t>
            </w:r>
            <w:r>
              <w:rPr>
                <w:sz w:val="22"/>
                <w:szCs w:val="22"/>
              </w:rPr>
              <w:t>四</w:t>
            </w:r>
            <w:r>
              <w:rPr>
                <w:rFonts w:hint="eastAsia"/>
                <w:sz w:val="22"/>
                <w:szCs w:val="22"/>
                <w:lang w:eastAsia="zh-CN"/>
              </w:rPr>
              <w:t>）</w:t>
            </w:r>
            <w:r>
              <w:rPr>
                <w:sz w:val="22"/>
                <w:szCs w:val="22"/>
              </w:rPr>
              <w:t>查封违法生产、经营饲料、饲料添加剂的场所。</w:t>
            </w:r>
          </w:p>
        </w:tc>
        <w:tc>
          <w:tcPr>
            <w:tcW w:w="127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12"/>
              <w:spacing w:line="218" w:lineRule="auto"/>
              <w:ind w:left="308"/>
              <w:rPr>
                <w:rFonts w:hint="eastAsia" w:eastAsia="宋体"/>
                <w:sz w:val="22"/>
                <w:szCs w:val="22"/>
                <w:lang w:eastAsia="zh-CN"/>
              </w:rPr>
            </w:pPr>
            <w:r>
              <w:rPr>
                <w:rFonts w:hint="eastAsia"/>
                <w:spacing w:val="1"/>
                <w:sz w:val="22"/>
                <w:szCs w:val="22"/>
                <w:lang w:eastAsia="zh-CN"/>
              </w:rPr>
              <w:t>芒市农业农村局</w:t>
            </w:r>
          </w:p>
        </w:tc>
        <w:tc>
          <w:tcPr>
            <w:tcW w:w="959"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12"/>
              <w:spacing w:before="72" w:line="221" w:lineRule="auto"/>
              <w:ind w:left="259"/>
              <w:rPr>
                <w:sz w:val="22"/>
                <w:szCs w:val="22"/>
              </w:rPr>
            </w:pPr>
            <w:r>
              <w:rPr>
                <w:spacing w:val="6"/>
                <w:sz w:val="22"/>
                <w:szCs w:val="22"/>
              </w:rPr>
              <w:t>县级</w:t>
            </w:r>
          </w:p>
          <w:p>
            <w:pPr>
              <w:pStyle w:val="12"/>
              <w:spacing w:before="27" w:line="222" w:lineRule="auto"/>
              <w:ind w:left="259"/>
              <w:rPr>
                <w:sz w:val="22"/>
                <w:szCs w:val="22"/>
              </w:rPr>
            </w:pPr>
            <w:r>
              <w:rPr>
                <w:spacing w:val="4"/>
                <w:sz w:val="22"/>
                <w:szCs w:val="22"/>
              </w:rPr>
              <w:t>以上</w:t>
            </w:r>
          </w:p>
        </w:tc>
        <w:tc>
          <w:tcPr>
            <w:tcW w:w="68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920" w:h="11880"/>
          <w:pgMar w:top="1009" w:right="455" w:bottom="946" w:left="424" w:header="0" w:footer="634" w:gutter="0"/>
          <w:cols w:space="720" w:num="1"/>
        </w:sectPr>
      </w:pPr>
    </w:p>
    <w:p>
      <w:pPr>
        <w:spacing w:line="33" w:lineRule="exact"/>
      </w:pPr>
    </w:p>
    <w:tbl>
      <w:tblPr>
        <w:tblStyle w:val="13"/>
        <w:tblW w:w="16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379"/>
        <w:gridCol w:w="1619"/>
        <w:gridCol w:w="9394"/>
        <w:gridCol w:w="1269"/>
        <w:gridCol w:w="949"/>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25" w:type="dxa"/>
            <w:vAlign w:val="top"/>
          </w:tcPr>
          <w:p>
            <w:pPr>
              <w:pStyle w:val="12"/>
              <w:spacing w:before="252" w:line="221" w:lineRule="auto"/>
              <w:ind w:left="128"/>
            </w:pPr>
            <w:r>
              <w:rPr>
                <w:b/>
                <w:bCs/>
                <w:spacing w:val="-5"/>
              </w:rPr>
              <w:t>序号</w:t>
            </w:r>
          </w:p>
        </w:tc>
        <w:tc>
          <w:tcPr>
            <w:tcW w:w="1379" w:type="dxa"/>
            <w:vAlign w:val="top"/>
          </w:tcPr>
          <w:p>
            <w:pPr>
              <w:pStyle w:val="12"/>
              <w:spacing w:before="251" w:line="219" w:lineRule="auto"/>
              <w:ind w:left="223"/>
            </w:pPr>
            <w:r>
              <w:rPr>
                <w:b/>
                <w:bCs/>
                <w:spacing w:val="-5"/>
              </w:rPr>
              <w:t>检查事项</w:t>
            </w:r>
          </w:p>
        </w:tc>
        <w:tc>
          <w:tcPr>
            <w:tcW w:w="1619" w:type="dxa"/>
            <w:vAlign w:val="top"/>
          </w:tcPr>
          <w:p>
            <w:pPr>
              <w:pStyle w:val="12"/>
              <w:spacing w:before="251" w:line="219" w:lineRule="auto"/>
              <w:ind w:left="344"/>
            </w:pPr>
            <w:r>
              <w:rPr>
                <w:b/>
                <w:bCs/>
                <w:spacing w:val="-5"/>
              </w:rPr>
              <w:t>检查对象</w:t>
            </w:r>
          </w:p>
        </w:tc>
        <w:tc>
          <w:tcPr>
            <w:tcW w:w="9394" w:type="dxa"/>
            <w:vAlign w:val="top"/>
          </w:tcPr>
          <w:p>
            <w:pPr>
              <w:pStyle w:val="12"/>
              <w:spacing w:before="249" w:line="219" w:lineRule="auto"/>
              <w:ind w:left="4255"/>
            </w:pPr>
            <w:r>
              <w:rPr>
                <w:b/>
                <w:bCs/>
                <w:spacing w:val="-5"/>
              </w:rPr>
              <w:t>检查依据</w:t>
            </w:r>
          </w:p>
        </w:tc>
        <w:tc>
          <w:tcPr>
            <w:tcW w:w="1269" w:type="dxa"/>
            <w:vAlign w:val="top"/>
          </w:tcPr>
          <w:p>
            <w:pPr>
              <w:pStyle w:val="12"/>
              <w:spacing w:before="122" w:line="217" w:lineRule="auto"/>
              <w:ind w:left="61"/>
            </w:pPr>
            <w:r>
              <w:rPr>
                <w:b/>
                <w:bCs/>
                <w:spacing w:val="-4"/>
              </w:rPr>
              <w:t>法定实施</w:t>
            </w:r>
            <w:r>
              <w:rPr>
                <w:rFonts w:hint="eastAsia"/>
                <w:b/>
                <w:bCs/>
                <w:spacing w:val="-4"/>
                <w:lang w:eastAsia="zh-CN"/>
              </w:rPr>
              <w:t>主体</w:t>
            </w:r>
          </w:p>
          <w:p>
            <w:pPr>
              <w:pStyle w:val="12"/>
              <w:spacing w:line="220" w:lineRule="auto"/>
              <w:ind w:left="521"/>
            </w:pPr>
            <w:r>
              <w:rPr>
                <w:b/>
                <w:bCs/>
                <w:spacing w:val="-3"/>
              </w:rPr>
              <w:t>体</w:t>
            </w:r>
          </w:p>
        </w:tc>
        <w:tc>
          <w:tcPr>
            <w:tcW w:w="949" w:type="dxa"/>
            <w:vAlign w:val="top"/>
          </w:tcPr>
          <w:p>
            <w:pPr>
              <w:pStyle w:val="12"/>
              <w:spacing w:before="101" w:line="220" w:lineRule="auto"/>
              <w:ind w:left="132"/>
            </w:pPr>
            <w:r>
              <w:rPr>
                <w:b/>
                <w:bCs/>
                <w:spacing w:val="-5"/>
              </w:rPr>
              <w:t>法定行</w:t>
            </w:r>
          </w:p>
          <w:p>
            <w:pPr>
              <w:pStyle w:val="12"/>
              <w:spacing w:before="15" w:line="219" w:lineRule="auto"/>
              <w:ind w:left="132"/>
            </w:pPr>
            <w:r>
              <w:rPr>
                <w:b/>
                <w:bCs/>
                <w:spacing w:val="-5"/>
              </w:rPr>
              <w:t>使层级</w:t>
            </w:r>
          </w:p>
        </w:tc>
        <w:tc>
          <w:tcPr>
            <w:tcW w:w="705" w:type="dxa"/>
            <w:vAlign w:val="top"/>
          </w:tcPr>
          <w:p>
            <w:pPr>
              <w:pStyle w:val="12"/>
              <w:spacing w:before="252" w:line="221" w:lineRule="auto"/>
              <w:ind w:left="153"/>
            </w:pPr>
            <w:r>
              <w:rPr>
                <w:b/>
                <w:bCs/>
                <w:spacing w:val="-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5" w:hRule="atLeast"/>
        </w:trPr>
        <w:tc>
          <w:tcPr>
            <w:tcW w:w="725" w:type="dxa"/>
            <w:vAlign w:val="top"/>
          </w:tcPr>
          <w:p>
            <w:pPr>
              <w:spacing w:line="266" w:lineRule="auto"/>
              <w:jc w:val="center"/>
              <w:rPr>
                <w:rFonts w:ascii="宋体" w:hAnsi="宋体" w:eastAsia="宋体" w:cs="宋体"/>
                <w:spacing w:val="-7"/>
                <w:kern w:val="2"/>
                <w:sz w:val="23"/>
                <w:szCs w:val="23"/>
                <w:lang w:val="en-US" w:eastAsia="en-US" w:bidi="ar-SA"/>
              </w:rPr>
            </w:pPr>
          </w:p>
          <w:p>
            <w:pPr>
              <w:spacing w:line="266" w:lineRule="auto"/>
              <w:jc w:val="center"/>
              <w:rPr>
                <w:rFonts w:ascii="宋体" w:hAnsi="宋体" w:eastAsia="宋体" w:cs="宋体"/>
                <w:spacing w:val="-7"/>
                <w:kern w:val="2"/>
                <w:sz w:val="23"/>
                <w:szCs w:val="23"/>
                <w:lang w:val="en-US" w:eastAsia="en-US" w:bidi="ar-SA"/>
              </w:rPr>
            </w:pPr>
          </w:p>
          <w:p>
            <w:pPr>
              <w:spacing w:line="266" w:lineRule="auto"/>
              <w:jc w:val="center"/>
              <w:rPr>
                <w:rFonts w:ascii="宋体" w:hAnsi="宋体" w:eastAsia="宋体" w:cs="宋体"/>
                <w:spacing w:val="-7"/>
                <w:kern w:val="2"/>
                <w:sz w:val="23"/>
                <w:szCs w:val="23"/>
                <w:lang w:val="en-US" w:eastAsia="en-US" w:bidi="ar-SA"/>
              </w:rPr>
            </w:pPr>
          </w:p>
          <w:p>
            <w:pPr>
              <w:spacing w:line="266" w:lineRule="auto"/>
              <w:jc w:val="center"/>
              <w:rPr>
                <w:rFonts w:ascii="宋体" w:hAnsi="宋体" w:eastAsia="宋体" w:cs="宋体"/>
                <w:spacing w:val="-7"/>
                <w:kern w:val="2"/>
                <w:sz w:val="23"/>
                <w:szCs w:val="23"/>
                <w:lang w:val="en-US" w:eastAsia="en-US" w:bidi="ar-SA"/>
              </w:rPr>
            </w:pPr>
          </w:p>
          <w:p>
            <w:pPr>
              <w:spacing w:line="267" w:lineRule="auto"/>
              <w:jc w:val="center"/>
              <w:rPr>
                <w:rFonts w:ascii="宋体" w:hAnsi="宋体" w:eastAsia="宋体" w:cs="宋体"/>
                <w:spacing w:val="-7"/>
                <w:kern w:val="2"/>
                <w:sz w:val="23"/>
                <w:szCs w:val="23"/>
                <w:lang w:val="en-US" w:eastAsia="en-US" w:bidi="ar-SA"/>
              </w:rPr>
            </w:pPr>
          </w:p>
          <w:p>
            <w:pPr>
              <w:spacing w:line="267" w:lineRule="auto"/>
              <w:jc w:val="center"/>
              <w:rPr>
                <w:rFonts w:ascii="宋体" w:hAnsi="宋体" w:eastAsia="宋体" w:cs="宋体"/>
                <w:spacing w:val="-7"/>
                <w:kern w:val="2"/>
                <w:sz w:val="23"/>
                <w:szCs w:val="23"/>
                <w:lang w:val="en-US" w:eastAsia="en-US" w:bidi="ar-SA"/>
              </w:rPr>
            </w:pPr>
          </w:p>
          <w:p>
            <w:pPr>
              <w:pStyle w:val="12"/>
              <w:spacing w:before="74"/>
              <w:ind w:left="295"/>
              <w:jc w:val="center"/>
              <w:rPr>
                <w:rFonts w:ascii="宋体" w:hAnsi="宋体" w:eastAsia="宋体" w:cs="宋体"/>
                <w:spacing w:val="-7"/>
                <w:kern w:val="2"/>
                <w:sz w:val="23"/>
                <w:szCs w:val="23"/>
                <w:lang w:val="en-US" w:eastAsia="en-US" w:bidi="ar-SA"/>
              </w:rPr>
            </w:pPr>
            <w:r>
              <w:rPr>
                <w:rFonts w:ascii="宋体" w:hAnsi="宋体" w:eastAsia="宋体" w:cs="宋体"/>
                <w:spacing w:val="-7"/>
                <w:kern w:val="2"/>
                <w:sz w:val="23"/>
                <w:szCs w:val="23"/>
                <w:lang w:val="en-US" w:eastAsia="en-US" w:bidi="ar-SA"/>
              </w:rPr>
              <w:t>5</w:t>
            </w:r>
          </w:p>
        </w:tc>
        <w:tc>
          <w:tcPr>
            <w:tcW w:w="1379" w:type="dxa"/>
            <w:vAlign w:val="center"/>
          </w:tcPr>
          <w:p>
            <w:pPr>
              <w:keepNext w:val="0"/>
              <w:keepLines w:val="0"/>
              <w:widowControl/>
              <w:suppressLineNumbers w:val="0"/>
              <w:jc w:val="center"/>
              <w:textAlignment w:val="center"/>
              <w:rPr>
                <w:rFonts w:hint="eastAsia" w:ascii="宋体" w:hAnsi="宋体" w:eastAsia="宋体" w:cs="宋体"/>
                <w:spacing w:val="-7"/>
                <w:kern w:val="2"/>
                <w:sz w:val="23"/>
                <w:szCs w:val="23"/>
                <w:lang w:val="en-US" w:eastAsia="zh-CN" w:bidi="ar-SA"/>
              </w:rPr>
            </w:pPr>
            <w:r>
              <w:rPr>
                <w:rFonts w:hint="eastAsia" w:ascii="宋体" w:hAnsi="宋体" w:eastAsia="宋体" w:cs="宋体"/>
                <w:spacing w:val="-7"/>
                <w:kern w:val="2"/>
                <w:sz w:val="23"/>
                <w:szCs w:val="23"/>
                <w:lang w:val="en-US" w:eastAsia="zh-CN" w:bidi="ar-SA"/>
              </w:rPr>
              <w:t>动物诊疗</w:t>
            </w:r>
          </w:p>
          <w:p>
            <w:pPr>
              <w:keepNext w:val="0"/>
              <w:keepLines w:val="0"/>
              <w:widowControl/>
              <w:suppressLineNumbers w:val="0"/>
              <w:jc w:val="center"/>
              <w:textAlignment w:val="center"/>
              <w:rPr>
                <w:rFonts w:ascii="宋体" w:hAnsi="宋体" w:eastAsia="宋体" w:cs="宋体"/>
                <w:spacing w:val="-7"/>
                <w:kern w:val="2"/>
                <w:sz w:val="23"/>
                <w:szCs w:val="23"/>
                <w:lang w:val="en-US" w:eastAsia="en-US" w:bidi="ar-SA"/>
              </w:rPr>
            </w:pPr>
            <w:r>
              <w:rPr>
                <w:rFonts w:hint="eastAsia" w:ascii="宋体" w:hAnsi="宋体" w:eastAsia="宋体" w:cs="宋体"/>
                <w:spacing w:val="-7"/>
                <w:kern w:val="2"/>
                <w:sz w:val="23"/>
                <w:szCs w:val="23"/>
                <w:lang w:val="en-US" w:eastAsia="zh-CN" w:bidi="ar-SA"/>
              </w:rPr>
              <w:t>监督检查</w:t>
            </w:r>
          </w:p>
        </w:tc>
        <w:tc>
          <w:tcPr>
            <w:tcW w:w="1619" w:type="dxa"/>
            <w:vAlign w:val="center"/>
          </w:tcPr>
          <w:p>
            <w:pPr>
              <w:keepNext w:val="0"/>
              <w:keepLines w:val="0"/>
              <w:widowControl/>
              <w:suppressLineNumbers w:val="0"/>
              <w:jc w:val="center"/>
              <w:textAlignment w:val="center"/>
              <w:rPr>
                <w:rFonts w:ascii="宋体" w:hAnsi="宋体" w:eastAsia="宋体" w:cs="宋体"/>
                <w:spacing w:val="-7"/>
                <w:kern w:val="2"/>
                <w:sz w:val="23"/>
                <w:szCs w:val="23"/>
                <w:lang w:val="en-US" w:eastAsia="en-US" w:bidi="ar-SA"/>
              </w:rPr>
            </w:pPr>
            <w:r>
              <w:rPr>
                <w:rFonts w:hint="eastAsia" w:ascii="宋体" w:hAnsi="宋体" w:eastAsia="宋体" w:cs="宋体"/>
                <w:spacing w:val="-7"/>
                <w:kern w:val="2"/>
                <w:sz w:val="23"/>
                <w:szCs w:val="23"/>
                <w:lang w:val="en-US" w:eastAsia="zh-CN" w:bidi="ar-SA"/>
              </w:rPr>
              <w:t>动物诊疗机构</w:t>
            </w:r>
          </w:p>
        </w:tc>
        <w:tc>
          <w:tcPr>
            <w:tcW w:w="9394" w:type="dxa"/>
            <w:vAlign w:val="center"/>
          </w:tcPr>
          <w:p>
            <w:pPr>
              <w:keepNext w:val="0"/>
              <w:keepLines w:val="0"/>
              <w:widowControl/>
              <w:suppressLineNumbers w:val="0"/>
              <w:jc w:val="left"/>
              <w:textAlignment w:val="center"/>
              <w:rPr>
                <w:rFonts w:ascii="宋体" w:hAnsi="宋体" w:eastAsia="宋体" w:cs="宋体"/>
                <w:spacing w:val="-7"/>
                <w:kern w:val="2"/>
                <w:sz w:val="23"/>
                <w:szCs w:val="23"/>
                <w:lang w:val="en-US" w:eastAsia="en-US" w:bidi="ar-SA"/>
              </w:rPr>
            </w:pPr>
            <w:r>
              <w:rPr>
                <w:rFonts w:hint="eastAsia" w:ascii="宋体" w:hAnsi="宋体" w:eastAsia="宋体" w:cs="宋体"/>
                <w:spacing w:val="-7"/>
                <w:kern w:val="2"/>
                <w:sz w:val="23"/>
                <w:szCs w:val="23"/>
                <w:lang w:val="en-US" w:eastAsia="zh-CN" w:bidi="ar-SA"/>
              </w:rPr>
              <w:t>《中华人民共和国动物防疫法》第六十一条 从事动物诊疗活动的机构，应当具备下列条件：（一）有与动物诊疗活动相适应并符合动物防疫条件的场所；（二）有与动物诊疗活动相适应的执业兽医；（三）有与动物诊疗活动相适应的兽医器械和设备；（四）有完善的管理制度。动物诊疗机构包括动物医院、动物诊所以及其他提供动物诊疗服务的机构。</w:t>
            </w:r>
            <w:r>
              <w:rPr>
                <w:rFonts w:hint="eastAsia" w:ascii="宋体" w:hAnsi="宋体" w:eastAsia="宋体" w:cs="宋体"/>
                <w:spacing w:val="-7"/>
                <w:kern w:val="2"/>
                <w:sz w:val="23"/>
                <w:szCs w:val="23"/>
                <w:lang w:val="en-US" w:eastAsia="zh-CN" w:bidi="ar-SA"/>
              </w:rPr>
              <w:br w:type="textWrapping"/>
            </w:r>
            <w:r>
              <w:rPr>
                <w:rFonts w:hint="eastAsia" w:ascii="宋体" w:hAnsi="宋体" w:eastAsia="宋体" w:cs="宋体"/>
                <w:spacing w:val="-7"/>
                <w:kern w:val="2"/>
                <w:sz w:val="23"/>
                <w:szCs w:val="23"/>
                <w:lang w:val="en-US" w:eastAsia="zh-CN" w:bidi="ar-SA"/>
              </w:rPr>
              <w:t>《中华人民共和国动物防疫法》第六十九条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执业兽医资格考试办法由国务院农业农村主管部门商国务院人力资源主管部门制定。</w:t>
            </w:r>
            <w:r>
              <w:rPr>
                <w:rFonts w:hint="eastAsia" w:ascii="宋体" w:hAnsi="宋体" w:eastAsia="宋体" w:cs="宋体"/>
                <w:spacing w:val="-7"/>
                <w:kern w:val="2"/>
                <w:sz w:val="23"/>
                <w:szCs w:val="23"/>
                <w:lang w:val="en-US" w:eastAsia="zh-CN" w:bidi="ar-SA"/>
              </w:rPr>
              <w:br w:type="textWrapping"/>
            </w:r>
            <w:r>
              <w:rPr>
                <w:rFonts w:hint="eastAsia" w:ascii="宋体" w:hAnsi="宋体" w:eastAsia="宋体" w:cs="宋体"/>
                <w:spacing w:val="-7"/>
                <w:kern w:val="2"/>
                <w:sz w:val="23"/>
                <w:szCs w:val="23"/>
                <w:lang w:val="en-US" w:eastAsia="zh-CN" w:bidi="ar-SA"/>
              </w:rPr>
              <w:t>《执业兽医管理办法》第四条第二条、第三款 县级以上地方人民政府兽医主管部门主管本行政区域内的执业兽医管理工作。县级以上地方人民政府设立的动物卫生监督机构负责执业兽医的监督执法工作。</w:t>
            </w:r>
            <w:r>
              <w:rPr>
                <w:rFonts w:hint="eastAsia" w:ascii="宋体" w:hAnsi="宋体" w:eastAsia="宋体" w:cs="宋体"/>
                <w:spacing w:val="-7"/>
                <w:kern w:val="2"/>
                <w:sz w:val="23"/>
                <w:szCs w:val="23"/>
                <w:lang w:val="en-US" w:eastAsia="zh-CN" w:bidi="ar-SA"/>
              </w:rPr>
              <w:br w:type="textWrapping"/>
            </w:r>
            <w:r>
              <w:rPr>
                <w:rFonts w:hint="eastAsia" w:ascii="宋体" w:hAnsi="宋体" w:eastAsia="宋体" w:cs="宋体"/>
                <w:spacing w:val="-7"/>
                <w:kern w:val="2"/>
                <w:sz w:val="23"/>
                <w:szCs w:val="23"/>
                <w:lang w:val="en-US" w:eastAsia="zh-CN" w:bidi="ar-SA"/>
              </w:rPr>
              <w:t>《动物诊疗机构管理办法》第三条第二款 县级以上地方人民政府农业农村主管部门负责本行政区域内动物诊疗机构的监督管理。</w:t>
            </w:r>
            <w:r>
              <w:rPr>
                <w:rFonts w:hint="eastAsia" w:ascii="宋体" w:hAnsi="宋体" w:eastAsia="宋体" w:cs="宋体"/>
                <w:spacing w:val="-7"/>
                <w:kern w:val="2"/>
                <w:sz w:val="23"/>
                <w:szCs w:val="23"/>
                <w:lang w:val="en-US" w:eastAsia="zh-CN" w:bidi="ar-SA"/>
              </w:rPr>
              <w:br w:type="textWrapping"/>
            </w:r>
            <w:r>
              <w:rPr>
                <w:rFonts w:hint="eastAsia" w:ascii="宋体" w:hAnsi="宋体" w:eastAsia="宋体" w:cs="宋体"/>
                <w:spacing w:val="-7"/>
                <w:kern w:val="2"/>
                <w:sz w:val="23"/>
                <w:szCs w:val="23"/>
                <w:lang w:val="en-US" w:eastAsia="zh-CN" w:bidi="ar-SA"/>
              </w:rPr>
              <w:t>《动物诊疗机构管理办法》第三十一条 县级以上地方人民政府农业农村主管部门应当建立健全日常监管制度，对辖区内动物诊疗机构和人员执行法律法规、规章的情况进行监督检查。</w:t>
            </w:r>
          </w:p>
        </w:tc>
        <w:tc>
          <w:tcPr>
            <w:tcW w:w="1269" w:type="dxa"/>
            <w:vAlign w:val="center"/>
          </w:tcPr>
          <w:p>
            <w:pPr>
              <w:keepNext w:val="0"/>
              <w:keepLines w:val="0"/>
              <w:widowControl/>
              <w:suppressLineNumbers w:val="0"/>
              <w:jc w:val="center"/>
              <w:textAlignment w:val="center"/>
              <w:rPr>
                <w:rFonts w:hint="eastAsia" w:ascii="宋体" w:hAnsi="宋体" w:eastAsia="宋体" w:cs="宋体"/>
                <w:spacing w:val="-7"/>
                <w:kern w:val="2"/>
                <w:sz w:val="23"/>
                <w:szCs w:val="23"/>
                <w:lang w:val="en-US" w:eastAsia="zh-CN" w:bidi="ar-SA"/>
              </w:rPr>
            </w:pPr>
            <w:r>
              <w:rPr>
                <w:rFonts w:hint="eastAsia" w:ascii="宋体" w:hAnsi="宋体" w:eastAsia="宋体" w:cs="宋体"/>
                <w:spacing w:val="-7"/>
                <w:kern w:val="2"/>
                <w:sz w:val="23"/>
                <w:szCs w:val="23"/>
                <w:lang w:val="en-US" w:eastAsia="zh-CN" w:bidi="ar-SA"/>
              </w:rPr>
              <w:t>芒市农业</w:t>
            </w:r>
          </w:p>
          <w:p>
            <w:pPr>
              <w:keepNext w:val="0"/>
              <w:keepLines w:val="0"/>
              <w:widowControl/>
              <w:suppressLineNumbers w:val="0"/>
              <w:jc w:val="center"/>
              <w:textAlignment w:val="center"/>
              <w:rPr>
                <w:rFonts w:hint="eastAsia" w:ascii="宋体" w:hAnsi="宋体" w:eastAsia="宋体" w:cs="宋体"/>
                <w:spacing w:val="-7"/>
                <w:kern w:val="2"/>
                <w:sz w:val="23"/>
                <w:szCs w:val="23"/>
                <w:lang w:val="en-US" w:eastAsia="zh-CN" w:bidi="ar-SA"/>
              </w:rPr>
            </w:pPr>
            <w:r>
              <w:rPr>
                <w:rFonts w:hint="eastAsia" w:ascii="宋体" w:hAnsi="宋体" w:eastAsia="宋体" w:cs="宋体"/>
                <w:spacing w:val="-7"/>
                <w:kern w:val="2"/>
                <w:sz w:val="23"/>
                <w:szCs w:val="23"/>
                <w:lang w:val="en-US" w:eastAsia="zh-CN" w:bidi="ar-SA"/>
              </w:rPr>
              <w:t>农村局</w:t>
            </w:r>
          </w:p>
        </w:tc>
        <w:tc>
          <w:tcPr>
            <w:tcW w:w="949" w:type="dxa"/>
            <w:vAlign w:val="center"/>
          </w:tcPr>
          <w:p>
            <w:pPr>
              <w:keepNext w:val="0"/>
              <w:keepLines w:val="0"/>
              <w:widowControl/>
              <w:suppressLineNumbers w:val="0"/>
              <w:jc w:val="center"/>
              <w:textAlignment w:val="center"/>
              <w:rPr>
                <w:rFonts w:hint="eastAsia" w:ascii="宋体" w:hAnsi="宋体" w:eastAsia="宋体" w:cs="宋体"/>
                <w:spacing w:val="-7"/>
                <w:kern w:val="2"/>
                <w:sz w:val="23"/>
                <w:szCs w:val="23"/>
                <w:lang w:val="en-US" w:eastAsia="zh-CN" w:bidi="ar-SA"/>
              </w:rPr>
            </w:pPr>
            <w:r>
              <w:rPr>
                <w:rFonts w:hint="eastAsia" w:ascii="宋体" w:hAnsi="宋体" w:eastAsia="宋体" w:cs="宋体"/>
                <w:spacing w:val="-7"/>
                <w:kern w:val="2"/>
                <w:sz w:val="23"/>
                <w:szCs w:val="23"/>
                <w:lang w:val="en-US" w:eastAsia="zh-CN" w:bidi="ar-SA"/>
              </w:rPr>
              <w:t>县级</w:t>
            </w:r>
          </w:p>
          <w:p>
            <w:pPr>
              <w:keepNext w:val="0"/>
              <w:keepLines w:val="0"/>
              <w:widowControl/>
              <w:suppressLineNumbers w:val="0"/>
              <w:jc w:val="center"/>
              <w:textAlignment w:val="center"/>
              <w:rPr>
                <w:rFonts w:ascii="宋体" w:hAnsi="宋体" w:eastAsia="宋体" w:cs="宋体"/>
                <w:spacing w:val="-7"/>
                <w:kern w:val="2"/>
                <w:sz w:val="23"/>
                <w:szCs w:val="23"/>
                <w:lang w:val="en-US" w:eastAsia="en-US" w:bidi="ar-SA"/>
              </w:rPr>
            </w:pPr>
            <w:r>
              <w:rPr>
                <w:rFonts w:hint="eastAsia" w:ascii="宋体" w:hAnsi="宋体" w:eastAsia="宋体" w:cs="宋体"/>
                <w:spacing w:val="-7"/>
                <w:kern w:val="2"/>
                <w:sz w:val="23"/>
                <w:szCs w:val="23"/>
                <w:lang w:val="en-US" w:eastAsia="zh-CN" w:bidi="ar-SA"/>
              </w:rPr>
              <w:t>以上</w:t>
            </w:r>
          </w:p>
        </w:tc>
        <w:tc>
          <w:tcPr>
            <w:tcW w:w="7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25" w:type="dxa"/>
            <w:vAlign w:val="top"/>
          </w:tcPr>
          <w:p>
            <w:pPr>
              <w:spacing w:line="250" w:lineRule="auto"/>
              <w:rPr>
                <w:rFonts w:ascii="Arial"/>
                <w:sz w:val="21"/>
              </w:rPr>
            </w:pPr>
          </w:p>
          <w:p>
            <w:pPr>
              <w:spacing w:line="250" w:lineRule="auto"/>
              <w:rPr>
                <w:rFonts w:ascii="Arial"/>
                <w:sz w:val="21"/>
              </w:rPr>
            </w:pPr>
          </w:p>
          <w:p>
            <w:pPr>
              <w:pStyle w:val="12"/>
              <w:spacing w:before="74"/>
              <w:ind w:left="295"/>
            </w:pPr>
            <w:r>
              <w:t>6</w:t>
            </w:r>
          </w:p>
        </w:tc>
        <w:tc>
          <w:tcPr>
            <w:tcW w:w="1379" w:type="dxa"/>
            <w:vAlign w:val="top"/>
          </w:tcPr>
          <w:p>
            <w:pPr>
              <w:spacing w:line="339" w:lineRule="auto"/>
              <w:rPr>
                <w:rFonts w:ascii="Arial"/>
                <w:sz w:val="21"/>
              </w:rPr>
            </w:pPr>
          </w:p>
          <w:p>
            <w:pPr>
              <w:pStyle w:val="12"/>
              <w:spacing w:before="75" w:line="218" w:lineRule="auto"/>
              <w:ind w:left="250" w:right="127" w:hanging="150"/>
            </w:pPr>
            <w:r>
              <w:rPr>
                <w:spacing w:val="-2"/>
              </w:rPr>
              <w:t>农作物种子</w:t>
            </w:r>
            <w:r>
              <w:t xml:space="preserve"> </w:t>
            </w:r>
            <w:r>
              <w:rPr>
                <w:spacing w:val="2"/>
              </w:rPr>
              <w:t>监督检查</w:t>
            </w:r>
          </w:p>
        </w:tc>
        <w:tc>
          <w:tcPr>
            <w:tcW w:w="1619" w:type="dxa"/>
            <w:vAlign w:val="top"/>
          </w:tcPr>
          <w:p>
            <w:pPr>
              <w:pStyle w:val="12"/>
              <w:spacing w:before="314" w:line="209" w:lineRule="auto"/>
              <w:jc w:val="right"/>
            </w:pPr>
            <w:r>
              <w:rPr>
                <w:spacing w:val="-2"/>
              </w:rPr>
              <w:t>本行政区域内农</w:t>
            </w:r>
          </w:p>
          <w:p>
            <w:pPr>
              <w:pStyle w:val="12"/>
              <w:spacing w:line="193" w:lineRule="auto"/>
              <w:jc w:val="right"/>
            </w:pPr>
            <w:r>
              <w:rPr>
                <w:spacing w:val="-2"/>
              </w:rPr>
              <w:t>作物种子生产、</w:t>
            </w:r>
          </w:p>
          <w:p>
            <w:pPr>
              <w:pStyle w:val="12"/>
              <w:spacing w:line="220" w:lineRule="auto"/>
              <w:ind w:left="341"/>
            </w:pPr>
            <w:r>
              <w:rPr>
                <w:spacing w:val="2"/>
              </w:rPr>
              <w:t>经营主体</w:t>
            </w:r>
          </w:p>
        </w:tc>
        <w:tc>
          <w:tcPr>
            <w:tcW w:w="9394" w:type="dxa"/>
            <w:vAlign w:val="top"/>
          </w:tcPr>
          <w:p>
            <w:pPr>
              <w:pStyle w:val="12"/>
              <w:tabs>
                <w:tab w:val="left" w:pos="9382"/>
              </w:tabs>
              <w:spacing w:before="286" w:line="226" w:lineRule="auto"/>
              <w:jc w:val="both"/>
            </w:pPr>
            <w:r>
              <w:rPr>
                <w:spacing w:val="-3"/>
              </w:rPr>
              <w:t>《中华人民共和国种子法》第四十六条第一款 第四十六条 农业农村、林业草原主管部门应</w:t>
            </w:r>
            <w:r>
              <w:rPr>
                <w:spacing w:val="-7"/>
              </w:rPr>
              <w:t>当加强对种子质量的监督检查。种子质量管理办法、行业标准和检验方法，由国务院农业农村、</w:t>
            </w:r>
            <w:r>
              <w:rPr>
                <w:spacing w:val="4"/>
              </w:rPr>
              <w:t xml:space="preserve"> </w:t>
            </w:r>
            <w:r>
              <w:rPr>
                <w:spacing w:val="-3"/>
              </w:rPr>
              <w:t>林业草原主管部门制定。</w:t>
            </w:r>
          </w:p>
        </w:tc>
        <w:tc>
          <w:tcPr>
            <w:tcW w:w="1269" w:type="dxa"/>
            <w:vAlign w:val="top"/>
          </w:tcPr>
          <w:p>
            <w:pPr>
              <w:spacing w:line="368" w:lineRule="auto"/>
              <w:rPr>
                <w:rFonts w:ascii="Arial"/>
                <w:sz w:val="21"/>
              </w:rPr>
            </w:pPr>
          </w:p>
          <w:p>
            <w:pPr>
              <w:pStyle w:val="12"/>
              <w:spacing w:line="218" w:lineRule="auto"/>
              <w:ind w:left="288"/>
              <w:rPr>
                <w:rFonts w:hint="eastAsia" w:eastAsia="宋体"/>
                <w:lang w:eastAsia="zh-CN"/>
              </w:rPr>
            </w:pPr>
            <w:r>
              <w:rPr>
                <w:rFonts w:hint="eastAsia"/>
                <w:spacing w:val="1"/>
                <w:lang w:eastAsia="zh-CN"/>
              </w:rPr>
              <w:t>芒市农业农村局</w:t>
            </w:r>
          </w:p>
        </w:tc>
        <w:tc>
          <w:tcPr>
            <w:tcW w:w="949" w:type="dxa"/>
            <w:vAlign w:val="top"/>
          </w:tcPr>
          <w:p>
            <w:pPr>
              <w:spacing w:line="371" w:lineRule="auto"/>
              <w:rPr>
                <w:rFonts w:ascii="Arial"/>
                <w:sz w:val="21"/>
              </w:rPr>
            </w:pPr>
          </w:p>
          <w:p>
            <w:pPr>
              <w:pStyle w:val="12"/>
              <w:spacing w:before="75" w:line="221" w:lineRule="auto"/>
              <w:ind w:left="239"/>
            </w:pPr>
            <w:r>
              <w:rPr>
                <w:spacing w:val="7"/>
              </w:rPr>
              <w:t>县级</w:t>
            </w:r>
          </w:p>
          <w:p>
            <w:pPr>
              <w:pStyle w:val="12"/>
              <w:spacing w:before="5" w:line="222" w:lineRule="auto"/>
              <w:ind w:left="239"/>
            </w:pPr>
            <w:r>
              <w:rPr>
                <w:spacing w:val="4"/>
              </w:rPr>
              <w:t>以上</w:t>
            </w:r>
          </w:p>
        </w:tc>
        <w:tc>
          <w:tcPr>
            <w:tcW w:w="7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725"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12"/>
              <w:spacing w:before="75"/>
              <w:ind w:left="295"/>
            </w:pPr>
            <w:r>
              <w:t>7</w:t>
            </w:r>
          </w:p>
        </w:tc>
        <w:tc>
          <w:tcPr>
            <w:tcW w:w="137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2"/>
              <w:spacing w:before="74" w:line="217" w:lineRule="auto"/>
              <w:ind w:left="580" w:right="127" w:hanging="480"/>
            </w:pPr>
            <w:r>
              <w:rPr>
                <w:spacing w:val="-2"/>
              </w:rPr>
              <w:t>农药监管检</w:t>
            </w:r>
            <w:r>
              <w:t xml:space="preserve"> 查</w:t>
            </w:r>
          </w:p>
        </w:tc>
        <w:tc>
          <w:tcPr>
            <w:tcW w:w="1619" w:type="dxa"/>
            <w:vAlign w:val="top"/>
          </w:tcPr>
          <w:p>
            <w:pPr>
              <w:spacing w:line="314" w:lineRule="auto"/>
              <w:rPr>
                <w:rFonts w:ascii="Arial"/>
                <w:sz w:val="21"/>
              </w:rPr>
            </w:pPr>
          </w:p>
          <w:p>
            <w:pPr>
              <w:spacing w:line="314" w:lineRule="auto"/>
              <w:rPr>
                <w:rFonts w:ascii="Arial"/>
                <w:sz w:val="21"/>
              </w:rPr>
            </w:pPr>
          </w:p>
          <w:p>
            <w:pPr>
              <w:pStyle w:val="12"/>
              <w:spacing w:before="74" w:line="217" w:lineRule="auto"/>
              <w:jc w:val="right"/>
            </w:pPr>
            <w:r>
              <w:rPr>
                <w:spacing w:val="-2"/>
              </w:rPr>
              <w:t>本行政区域内农</w:t>
            </w:r>
          </w:p>
          <w:p>
            <w:pPr>
              <w:pStyle w:val="12"/>
              <w:spacing w:line="202" w:lineRule="auto"/>
              <w:jc w:val="right"/>
            </w:pPr>
            <w:r>
              <w:rPr>
                <w:rFonts w:hint="eastAsia"/>
                <w:spacing w:val="-2"/>
                <w:lang w:eastAsia="zh-CN"/>
              </w:rPr>
              <w:t>药品</w:t>
            </w:r>
            <w:r>
              <w:rPr>
                <w:spacing w:val="-2"/>
              </w:rPr>
              <w:t>生产、经营</w:t>
            </w:r>
            <w:r>
              <w:rPr>
                <w:rFonts w:hint="eastAsia"/>
                <w:spacing w:val="-2"/>
                <w:lang w:eastAsia="zh-CN"/>
              </w:rPr>
              <w:t>主体</w:t>
            </w:r>
          </w:p>
          <w:p>
            <w:pPr>
              <w:pStyle w:val="12"/>
              <w:spacing w:line="220" w:lineRule="auto"/>
              <w:ind w:left="681"/>
            </w:pPr>
            <w:r>
              <w:t>体</w:t>
            </w:r>
          </w:p>
        </w:tc>
        <w:tc>
          <w:tcPr>
            <w:tcW w:w="9394" w:type="dxa"/>
            <w:vAlign w:val="top"/>
          </w:tcPr>
          <w:p>
            <w:pPr>
              <w:pStyle w:val="12"/>
              <w:spacing w:before="277" w:line="216" w:lineRule="auto"/>
            </w:pPr>
            <w:r>
              <w:rPr>
                <w:spacing w:val="-2"/>
              </w:rPr>
              <w:t>《农药管理条例》</w:t>
            </w:r>
            <w:r>
              <w:rPr>
                <w:rFonts w:hint="eastAsia"/>
                <w:spacing w:val="-2"/>
                <w:lang w:eastAsia="zh-CN"/>
              </w:rPr>
              <w:t>第四十一条</w:t>
            </w:r>
            <w:r>
              <w:rPr>
                <w:spacing w:val="-2"/>
              </w:rPr>
              <w:t>县级以上人民政府农业主管部门履行农药监督管理职</w:t>
            </w:r>
            <w:r>
              <w:rPr>
                <w:spacing w:val="12"/>
              </w:rPr>
              <w:t xml:space="preserve"> </w:t>
            </w:r>
            <w:r>
              <w:t>责，可以依法采取下列措施：</w:t>
            </w:r>
            <w:r>
              <w:rPr>
                <w:rFonts w:hint="eastAsia"/>
                <w:lang w:eastAsia="zh-CN"/>
              </w:rPr>
              <w:t>（</w:t>
            </w:r>
            <w:r>
              <w:t>一</w:t>
            </w:r>
            <w:r>
              <w:rPr>
                <w:rFonts w:hint="eastAsia"/>
                <w:lang w:eastAsia="zh-CN"/>
              </w:rPr>
              <w:t>）</w:t>
            </w:r>
            <w:r>
              <w:t>进入农药生产、经营、使用场所实施现场检查；</w:t>
            </w:r>
            <w:r>
              <w:rPr>
                <w:rFonts w:hint="eastAsia"/>
                <w:lang w:eastAsia="zh-CN"/>
              </w:rPr>
              <w:t>（</w:t>
            </w:r>
            <w:r>
              <w:t>二</w:t>
            </w:r>
            <w:r>
              <w:rPr>
                <w:rFonts w:hint="eastAsia"/>
                <w:lang w:eastAsia="zh-CN"/>
              </w:rPr>
              <w:t>）</w:t>
            </w:r>
            <w:r>
              <w:t>对生产、经营、使用的农药实施抽查检测；</w:t>
            </w:r>
            <w:r>
              <w:rPr>
                <w:rFonts w:hint="eastAsia"/>
                <w:lang w:eastAsia="zh-CN"/>
              </w:rPr>
              <w:t>（</w:t>
            </w:r>
            <w:r>
              <w:t>三</w:t>
            </w:r>
            <w:r>
              <w:rPr>
                <w:rFonts w:hint="eastAsia"/>
                <w:lang w:eastAsia="zh-CN"/>
              </w:rPr>
              <w:t>）</w:t>
            </w:r>
            <w:r>
              <w:t>向有关人员调查了解有关情况；</w:t>
            </w:r>
            <w:r>
              <w:rPr>
                <w:rFonts w:hint="eastAsia"/>
                <w:lang w:eastAsia="zh-CN"/>
              </w:rPr>
              <w:t>（</w:t>
            </w:r>
            <w:r>
              <w:t>四</w:t>
            </w:r>
            <w:r>
              <w:rPr>
                <w:rFonts w:hint="eastAsia"/>
                <w:lang w:eastAsia="zh-CN"/>
              </w:rPr>
              <w:t>）</w:t>
            </w:r>
            <w:r>
              <w:t>查阅、复制</w:t>
            </w:r>
            <w:r>
              <w:rPr>
                <w:spacing w:val="-2"/>
              </w:rPr>
              <w:t>合同、票据、账簿以及其他有关资料；</w:t>
            </w:r>
            <w:r>
              <w:rPr>
                <w:rFonts w:hint="eastAsia"/>
                <w:spacing w:val="-2"/>
                <w:lang w:eastAsia="zh-CN"/>
              </w:rPr>
              <w:t>（</w:t>
            </w:r>
            <w:r>
              <w:rPr>
                <w:spacing w:val="-2"/>
              </w:rPr>
              <w:t>五</w:t>
            </w:r>
            <w:r>
              <w:rPr>
                <w:rFonts w:hint="eastAsia"/>
                <w:spacing w:val="-2"/>
                <w:lang w:eastAsia="zh-CN"/>
              </w:rPr>
              <w:t>）</w:t>
            </w:r>
            <w:r>
              <w:rPr>
                <w:spacing w:val="-2"/>
              </w:rPr>
              <w:t>查封、扣押违法生产、经营、使用的农药，以及用于违法生产、经营、使用农药的工具、设备、原材料等；</w:t>
            </w:r>
            <w:r>
              <w:rPr>
                <w:rFonts w:hint="eastAsia"/>
                <w:spacing w:val="-2"/>
                <w:lang w:eastAsia="zh-CN"/>
              </w:rPr>
              <w:t>（</w:t>
            </w:r>
            <w:r>
              <w:rPr>
                <w:spacing w:val="-2"/>
              </w:rPr>
              <w:t>六</w:t>
            </w:r>
            <w:r>
              <w:rPr>
                <w:rFonts w:hint="eastAsia"/>
                <w:spacing w:val="-2"/>
                <w:lang w:eastAsia="zh-CN"/>
              </w:rPr>
              <w:t>）</w:t>
            </w:r>
            <w:r>
              <w:rPr>
                <w:spacing w:val="-2"/>
              </w:rPr>
              <w:t>查封违法生产、经营、使用</w:t>
            </w:r>
            <w:r>
              <w:rPr>
                <w:spacing w:val="-3"/>
              </w:rPr>
              <w:t>农药</w:t>
            </w:r>
            <w:r>
              <w:t xml:space="preserve"> </w:t>
            </w:r>
            <w:r>
              <w:rPr>
                <w:spacing w:val="-2"/>
              </w:rPr>
              <w:t>的场所。</w:t>
            </w:r>
          </w:p>
        </w:tc>
        <w:tc>
          <w:tcPr>
            <w:tcW w:w="126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2"/>
              <w:spacing w:line="218" w:lineRule="auto"/>
              <w:ind w:left="288"/>
              <w:rPr>
                <w:rFonts w:hint="eastAsia" w:eastAsia="宋体"/>
                <w:lang w:eastAsia="zh-CN"/>
              </w:rPr>
            </w:pPr>
            <w:r>
              <w:rPr>
                <w:rFonts w:hint="eastAsia"/>
                <w:spacing w:val="1"/>
                <w:lang w:eastAsia="zh-CN"/>
              </w:rPr>
              <w:t>芒市农业农村局</w:t>
            </w:r>
          </w:p>
        </w:tc>
        <w:tc>
          <w:tcPr>
            <w:tcW w:w="9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12"/>
              <w:spacing w:before="75" w:line="193" w:lineRule="auto"/>
              <w:ind w:left="239"/>
            </w:pPr>
            <w:r>
              <w:rPr>
                <w:spacing w:val="7"/>
              </w:rPr>
              <w:t>县级</w:t>
            </w:r>
          </w:p>
          <w:p>
            <w:pPr>
              <w:pStyle w:val="12"/>
              <w:spacing w:line="222" w:lineRule="auto"/>
              <w:ind w:left="239"/>
            </w:pPr>
            <w:r>
              <w:rPr>
                <w:spacing w:val="4"/>
              </w:rPr>
              <w:t>以上</w:t>
            </w:r>
          </w:p>
        </w:tc>
        <w:tc>
          <w:tcPr>
            <w:tcW w:w="70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940" w:h="11900"/>
          <w:pgMar w:top="1011" w:right="454" w:bottom="996" w:left="434" w:header="0" w:footer="682" w:gutter="0"/>
          <w:cols w:space="720" w:num="1"/>
        </w:sectPr>
      </w:pPr>
    </w:p>
    <w:p>
      <w:pPr>
        <w:spacing w:line="43" w:lineRule="exact"/>
      </w:pPr>
    </w:p>
    <w:tbl>
      <w:tblPr>
        <w:tblStyle w:val="13"/>
        <w:tblW w:w="16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369"/>
        <w:gridCol w:w="1639"/>
        <w:gridCol w:w="9394"/>
        <w:gridCol w:w="1259"/>
        <w:gridCol w:w="969"/>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25" w:type="dxa"/>
            <w:vAlign w:val="top"/>
          </w:tcPr>
          <w:p>
            <w:pPr>
              <w:pStyle w:val="12"/>
              <w:spacing w:before="272" w:line="221" w:lineRule="auto"/>
              <w:ind w:left="138"/>
              <w:rPr>
                <w:sz w:val="22"/>
                <w:szCs w:val="22"/>
              </w:rPr>
            </w:pPr>
            <w:r>
              <w:rPr>
                <w:b/>
                <w:bCs/>
                <w:spacing w:val="-5"/>
                <w:sz w:val="22"/>
                <w:szCs w:val="22"/>
              </w:rPr>
              <w:t>序号</w:t>
            </w:r>
          </w:p>
        </w:tc>
        <w:tc>
          <w:tcPr>
            <w:tcW w:w="1369" w:type="dxa"/>
            <w:vAlign w:val="top"/>
          </w:tcPr>
          <w:p>
            <w:pPr>
              <w:pStyle w:val="12"/>
              <w:spacing w:before="270" w:line="219" w:lineRule="auto"/>
              <w:ind w:left="233"/>
              <w:rPr>
                <w:sz w:val="22"/>
                <w:szCs w:val="22"/>
              </w:rPr>
            </w:pPr>
            <w:r>
              <w:rPr>
                <w:b/>
                <w:bCs/>
                <w:spacing w:val="-4"/>
                <w:sz w:val="22"/>
                <w:szCs w:val="22"/>
              </w:rPr>
              <w:t>检查事项</w:t>
            </w:r>
          </w:p>
        </w:tc>
        <w:tc>
          <w:tcPr>
            <w:tcW w:w="1639" w:type="dxa"/>
            <w:vAlign w:val="top"/>
          </w:tcPr>
          <w:p>
            <w:pPr>
              <w:pStyle w:val="12"/>
              <w:spacing w:before="270" w:line="219" w:lineRule="auto"/>
              <w:ind w:left="374"/>
              <w:rPr>
                <w:sz w:val="22"/>
                <w:szCs w:val="22"/>
              </w:rPr>
            </w:pPr>
            <w:r>
              <w:rPr>
                <w:b/>
                <w:bCs/>
                <w:spacing w:val="-4"/>
                <w:sz w:val="22"/>
                <w:szCs w:val="22"/>
              </w:rPr>
              <w:t>检查对象</w:t>
            </w:r>
          </w:p>
        </w:tc>
        <w:tc>
          <w:tcPr>
            <w:tcW w:w="9394" w:type="dxa"/>
            <w:vAlign w:val="top"/>
          </w:tcPr>
          <w:p>
            <w:pPr>
              <w:pStyle w:val="12"/>
              <w:spacing w:before="269" w:line="219" w:lineRule="auto"/>
              <w:ind w:left="4255"/>
              <w:rPr>
                <w:sz w:val="22"/>
                <w:szCs w:val="22"/>
              </w:rPr>
            </w:pPr>
            <w:r>
              <w:rPr>
                <w:b/>
                <w:bCs/>
                <w:spacing w:val="-4"/>
                <w:sz w:val="22"/>
                <w:szCs w:val="22"/>
              </w:rPr>
              <w:t>检查依据</w:t>
            </w:r>
          </w:p>
        </w:tc>
        <w:tc>
          <w:tcPr>
            <w:tcW w:w="1259" w:type="dxa"/>
            <w:vAlign w:val="top"/>
          </w:tcPr>
          <w:p>
            <w:pPr>
              <w:pStyle w:val="12"/>
              <w:spacing w:before="150" w:line="211" w:lineRule="auto"/>
              <w:ind w:left="81"/>
              <w:rPr>
                <w:sz w:val="22"/>
                <w:szCs w:val="22"/>
              </w:rPr>
            </w:pPr>
            <w:r>
              <w:rPr>
                <w:b/>
                <w:bCs/>
                <w:spacing w:val="-4"/>
                <w:sz w:val="22"/>
                <w:szCs w:val="22"/>
              </w:rPr>
              <w:t>法定实施</w:t>
            </w:r>
            <w:r>
              <w:rPr>
                <w:rFonts w:hint="eastAsia"/>
                <w:b/>
                <w:bCs/>
                <w:spacing w:val="-4"/>
                <w:sz w:val="22"/>
                <w:szCs w:val="22"/>
                <w:lang w:eastAsia="zh-CN"/>
              </w:rPr>
              <w:t>主体</w:t>
            </w:r>
          </w:p>
          <w:p>
            <w:pPr>
              <w:pStyle w:val="12"/>
              <w:spacing w:line="220" w:lineRule="auto"/>
              <w:ind w:left="521"/>
              <w:rPr>
                <w:sz w:val="22"/>
                <w:szCs w:val="22"/>
              </w:rPr>
            </w:pPr>
            <w:r>
              <w:rPr>
                <w:b/>
                <w:bCs/>
                <w:spacing w:val="-3"/>
                <w:sz w:val="22"/>
                <w:szCs w:val="22"/>
              </w:rPr>
              <w:t>体</w:t>
            </w:r>
          </w:p>
        </w:tc>
        <w:tc>
          <w:tcPr>
            <w:tcW w:w="969" w:type="dxa"/>
            <w:vAlign w:val="top"/>
          </w:tcPr>
          <w:p>
            <w:pPr>
              <w:pStyle w:val="12"/>
              <w:spacing w:before="141" w:line="220" w:lineRule="auto"/>
              <w:ind w:left="152"/>
              <w:rPr>
                <w:sz w:val="22"/>
                <w:szCs w:val="22"/>
              </w:rPr>
            </w:pPr>
            <w:r>
              <w:rPr>
                <w:b/>
                <w:bCs/>
                <w:spacing w:val="-5"/>
                <w:sz w:val="22"/>
                <w:szCs w:val="22"/>
              </w:rPr>
              <w:t>法定行</w:t>
            </w:r>
          </w:p>
          <w:p>
            <w:pPr>
              <w:pStyle w:val="12"/>
              <w:spacing w:before="17" w:line="219" w:lineRule="auto"/>
              <w:ind w:left="152"/>
              <w:rPr>
                <w:sz w:val="22"/>
                <w:szCs w:val="22"/>
              </w:rPr>
            </w:pPr>
            <w:r>
              <w:rPr>
                <w:b/>
                <w:bCs/>
                <w:spacing w:val="-5"/>
                <w:sz w:val="22"/>
                <w:szCs w:val="22"/>
              </w:rPr>
              <w:t>使层级</w:t>
            </w:r>
          </w:p>
        </w:tc>
        <w:tc>
          <w:tcPr>
            <w:tcW w:w="675" w:type="dxa"/>
            <w:vAlign w:val="top"/>
          </w:tcPr>
          <w:p>
            <w:pPr>
              <w:pStyle w:val="12"/>
              <w:spacing w:before="272" w:line="221" w:lineRule="auto"/>
              <w:ind w:left="143"/>
              <w:rPr>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4" w:hRule="atLeast"/>
        </w:trPr>
        <w:tc>
          <w:tcPr>
            <w:tcW w:w="725" w:type="dxa"/>
            <w:vAlign w:val="top"/>
          </w:tcPr>
          <w:p>
            <w:pPr>
              <w:spacing w:line="24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50" w:lineRule="auto"/>
              <w:rPr>
                <w:rFonts w:ascii="Arial" w:hAnsi="Arial" w:eastAsia="宋体" w:cs="Arial"/>
                <w:i w:val="0"/>
                <w:iCs w:val="0"/>
                <w:caps w:val="0"/>
                <w:color w:val="333333"/>
                <w:spacing w:val="0"/>
                <w:kern w:val="2"/>
                <w:sz w:val="21"/>
                <w:szCs w:val="21"/>
                <w:shd w:val="clear" w:fill="FFFFFF"/>
                <w:lang w:val="en-US" w:eastAsia="en-US" w:bidi="ar-SA"/>
              </w:rPr>
            </w:pPr>
          </w:p>
          <w:p>
            <w:pPr>
              <w:pStyle w:val="12"/>
              <w:spacing w:before="71"/>
              <w:ind w:left="295"/>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8</w:t>
            </w:r>
          </w:p>
        </w:tc>
        <w:tc>
          <w:tcPr>
            <w:tcW w:w="1369" w:type="dxa"/>
            <w:vAlign w:val="top"/>
          </w:tcPr>
          <w:p>
            <w:pPr>
              <w:spacing w:line="26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pStyle w:val="12"/>
              <w:spacing w:before="72" w:line="202" w:lineRule="auto"/>
              <w:ind w:left="120"/>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农业机械</w:t>
            </w:r>
            <w:r>
              <w:rPr>
                <w:rFonts w:hint="eastAsia" w:ascii="Arial" w:hAnsi="Arial" w:cs="Arial"/>
                <w:i w:val="0"/>
                <w:iCs w:val="0"/>
                <w:caps w:val="0"/>
                <w:color w:val="333333"/>
                <w:spacing w:val="0"/>
                <w:kern w:val="2"/>
                <w:sz w:val="21"/>
                <w:szCs w:val="21"/>
                <w:shd w:val="clear" w:fill="FFFFFF"/>
                <w:lang w:val="en-US" w:eastAsia="zh-CN" w:bidi="ar-SA"/>
              </w:rPr>
              <w:t>安全</w:t>
            </w:r>
            <w:r>
              <w:rPr>
                <w:rFonts w:ascii="Arial" w:hAnsi="Arial" w:eastAsia="宋体" w:cs="Arial"/>
                <w:i w:val="0"/>
                <w:iCs w:val="0"/>
                <w:caps w:val="0"/>
                <w:color w:val="333333"/>
                <w:spacing w:val="0"/>
                <w:kern w:val="2"/>
                <w:sz w:val="21"/>
                <w:szCs w:val="21"/>
                <w:shd w:val="clear" w:fill="FFFFFF"/>
                <w:lang w:val="en-US" w:eastAsia="en-US" w:bidi="ar-SA"/>
              </w:rPr>
              <w:t>监督检查</w:t>
            </w:r>
          </w:p>
        </w:tc>
        <w:tc>
          <w:tcPr>
            <w:tcW w:w="1639" w:type="dxa"/>
            <w:vAlign w:val="top"/>
          </w:tcPr>
          <w:p>
            <w:pPr>
              <w:spacing w:line="247"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48"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48"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48"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48"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48" w:lineRule="auto"/>
              <w:rPr>
                <w:rFonts w:ascii="Arial" w:hAnsi="Arial" w:eastAsia="宋体" w:cs="Arial"/>
                <w:i w:val="0"/>
                <w:iCs w:val="0"/>
                <w:caps w:val="0"/>
                <w:color w:val="333333"/>
                <w:spacing w:val="0"/>
                <w:kern w:val="2"/>
                <w:sz w:val="21"/>
                <w:szCs w:val="21"/>
                <w:shd w:val="clear" w:fill="FFFFFF"/>
                <w:lang w:val="en-US" w:eastAsia="en-US" w:bidi="ar-SA"/>
              </w:rPr>
            </w:pPr>
          </w:p>
          <w:p>
            <w:pPr>
              <w:pStyle w:val="12"/>
              <w:spacing w:before="72" w:line="219" w:lineRule="auto"/>
              <w:ind w:left="41"/>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本行政区域内农</w:t>
            </w:r>
          </w:p>
          <w:p>
            <w:pPr>
              <w:pStyle w:val="12"/>
              <w:spacing w:before="9" w:line="219" w:lineRule="auto"/>
              <w:ind w:left="41"/>
              <w:rPr>
                <w:rFonts w:ascii="Arial" w:hAnsi="Arial" w:eastAsia="宋体" w:cs="Arial"/>
                <w:i w:val="0"/>
                <w:iCs w:val="0"/>
                <w:caps w:val="0"/>
                <w:color w:val="333333"/>
                <w:spacing w:val="0"/>
                <w:kern w:val="2"/>
                <w:sz w:val="21"/>
                <w:szCs w:val="21"/>
                <w:shd w:val="clear" w:fill="FFFFFF"/>
                <w:lang w:val="en-US" w:eastAsia="en-US" w:bidi="ar-SA"/>
              </w:rPr>
            </w:pPr>
            <w:r>
              <w:rPr>
                <w:rFonts w:hint="eastAsia" w:ascii="Arial" w:hAnsi="Arial" w:cs="Arial"/>
                <w:i w:val="0"/>
                <w:iCs w:val="0"/>
                <w:caps w:val="0"/>
                <w:color w:val="333333"/>
                <w:spacing w:val="0"/>
                <w:kern w:val="2"/>
                <w:sz w:val="21"/>
                <w:szCs w:val="21"/>
                <w:shd w:val="clear" w:fill="FFFFFF"/>
                <w:lang w:val="en-US" w:eastAsia="zh-CN" w:bidi="ar-SA"/>
              </w:rPr>
              <w:t>机械</w:t>
            </w:r>
            <w:r>
              <w:rPr>
                <w:rFonts w:ascii="Arial" w:hAnsi="Arial" w:eastAsia="宋体" w:cs="Arial"/>
                <w:i w:val="0"/>
                <w:iCs w:val="0"/>
                <w:caps w:val="0"/>
                <w:color w:val="333333"/>
                <w:spacing w:val="0"/>
                <w:kern w:val="2"/>
                <w:sz w:val="21"/>
                <w:szCs w:val="21"/>
                <w:shd w:val="clear" w:fill="FFFFFF"/>
                <w:lang w:val="en-US" w:eastAsia="en-US" w:bidi="ar-SA"/>
              </w:rPr>
              <w:t>生产、经营</w:t>
            </w:r>
            <w:r>
              <w:rPr>
                <w:rFonts w:hint="eastAsia" w:ascii="Arial" w:hAnsi="Arial" w:cs="Arial"/>
                <w:i w:val="0"/>
                <w:iCs w:val="0"/>
                <w:caps w:val="0"/>
                <w:color w:val="333333"/>
                <w:spacing w:val="0"/>
                <w:kern w:val="2"/>
                <w:sz w:val="21"/>
                <w:szCs w:val="21"/>
                <w:shd w:val="clear" w:fill="FFFFFF"/>
                <w:lang w:val="en-US" w:eastAsia="zh-CN" w:bidi="ar-SA"/>
              </w:rPr>
              <w:t>主体</w:t>
            </w:r>
          </w:p>
          <w:p>
            <w:pPr>
              <w:pStyle w:val="12"/>
              <w:spacing w:before="10" w:line="219" w:lineRule="auto"/>
              <w:ind w:left="151"/>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体、使用主体</w:t>
            </w:r>
          </w:p>
        </w:tc>
        <w:tc>
          <w:tcPr>
            <w:tcW w:w="9394" w:type="dxa"/>
            <w:vAlign w:val="top"/>
          </w:tcPr>
          <w:p>
            <w:pPr>
              <w:pStyle w:val="12"/>
              <w:spacing w:before="71" w:line="220" w:lineRule="auto"/>
              <w:ind w:right="93"/>
              <w:rPr>
                <w:rFonts w:ascii="Arial" w:hAnsi="Arial" w:eastAsia="宋体" w:cs="Arial"/>
                <w:i w:val="0"/>
                <w:iCs w:val="0"/>
                <w:caps w:val="0"/>
                <w:color w:val="333333"/>
                <w:spacing w:val="0"/>
                <w:kern w:val="2"/>
                <w:sz w:val="21"/>
                <w:szCs w:val="21"/>
                <w:shd w:val="clear" w:fill="FFFFFF"/>
                <w:lang w:val="en-US" w:eastAsia="en-US" w:bidi="ar-SA"/>
              </w:rPr>
            </w:pPr>
            <w:bookmarkStart w:id="0" w:name="OLE_LINK5"/>
            <w:bookmarkStart w:id="1" w:name="OLE_LINK1"/>
            <w:r>
              <w:rPr>
                <w:rFonts w:ascii="Arial" w:hAnsi="Arial" w:eastAsia="宋体" w:cs="Arial"/>
                <w:i w:val="0"/>
                <w:iCs w:val="0"/>
                <w:caps w:val="0"/>
                <w:color w:val="333333"/>
                <w:spacing w:val="0"/>
                <w:kern w:val="2"/>
                <w:sz w:val="21"/>
                <w:szCs w:val="21"/>
                <w:shd w:val="clear" w:fill="FFFFFF"/>
                <w:lang w:val="en-US" w:eastAsia="en-US" w:bidi="ar-SA"/>
              </w:rPr>
              <w:t>《中华人民共和国农业机械化促进法》</w:t>
            </w:r>
            <w:bookmarkEnd w:id="0"/>
            <w:r>
              <w:rPr>
                <w:rFonts w:ascii="Arial" w:hAnsi="Arial" w:eastAsia="宋体" w:cs="Arial"/>
                <w:i w:val="0"/>
                <w:iCs w:val="0"/>
                <w:caps w:val="0"/>
                <w:color w:val="333333"/>
                <w:spacing w:val="0"/>
                <w:kern w:val="2"/>
                <w:sz w:val="21"/>
                <w:szCs w:val="21"/>
                <w:shd w:val="clear" w:fill="FFFFFF"/>
                <w:lang w:val="en-US" w:eastAsia="en-US" w:bidi="ar-SA"/>
              </w:rPr>
              <w:t>第三十三条</w:t>
            </w:r>
            <w:bookmarkEnd w:id="1"/>
            <w:r>
              <w:rPr>
                <w:rFonts w:ascii="Arial" w:hAnsi="Arial" w:eastAsia="宋体" w:cs="Arial"/>
                <w:i w:val="0"/>
                <w:iCs w:val="0"/>
                <w:caps w:val="0"/>
                <w:color w:val="333333"/>
                <w:spacing w:val="0"/>
                <w:kern w:val="2"/>
                <w:sz w:val="21"/>
                <w:szCs w:val="21"/>
                <w:shd w:val="clear" w:fill="FFFFFF"/>
                <w:lang w:val="en-US" w:eastAsia="en-US" w:bidi="ar-SA"/>
              </w:rPr>
              <w:t>　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Pr>
                <w:rFonts w:ascii="Arial" w:hAnsi="Arial" w:eastAsia="宋体" w:cs="Arial"/>
                <w:i w:val="0"/>
                <w:iCs w:val="0"/>
                <w:caps w:val="0"/>
                <w:color w:val="333333"/>
                <w:spacing w:val="0"/>
                <w:kern w:val="2"/>
                <w:sz w:val="21"/>
                <w:szCs w:val="21"/>
                <w:shd w:val="clear" w:fill="FFFFFF"/>
                <w:lang w:val="en-US" w:eastAsia="en-US" w:bidi="ar-SA"/>
              </w:rPr>
            </w:pPr>
            <w:bookmarkStart w:id="2" w:name="OLE_LINK4"/>
            <w:r>
              <w:rPr>
                <w:rFonts w:ascii="Arial" w:hAnsi="Arial" w:eastAsia="宋体" w:cs="Arial"/>
                <w:i w:val="0"/>
                <w:iCs w:val="0"/>
                <w:caps w:val="0"/>
                <w:color w:val="333333"/>
                <w:spacing w:val="0"/>
                <w:kern w:val="2"/>
                <w:sz w:val="21"/>
                <w:szCs w:val="21"/>
                <w:shd w:val="clear" w:fill="FFFFFF"/>
                <w:lang w:val="en-US" w:eastAsia="en-US" w:bidi="ar-SA"/>
              </w:rPr>
              <w:t>《农业机械安全监督管理条例》</w:t>
            </w:r>
            <w:bookmarkEnd w:id="2"/>
            <w:r>
              <w:rPr>
                <w:rFonts w:hint="default" w:ascii="Arial" w:hAnsi="Arial" w:eastAsia="宋体" w:cs="Arial"/>
                <w:i w:val="0"/>
                <w:iCs w:val="0"/>
                <w:caps w:val="0"/>
                <w:color w:val="333333"/>
                <w:spacing w:val="0"/>
                <w:kern w:val="2"/>
                <w:sz w:val="21"/>
                <w:szCs w:val="21"/>
                <w:shd w:val="clear" w:fill="FFFFFF"/>
                <w:lang w:val="en-US" w:eastAsia="en-US" w:bidi="ar-SA"/>
              </w:rPr>
              <w:t>第二十五条 县级以上地方人民政府农业机械化主管部门负责农业机械事故责任的认定和调解处理</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第四十条   农业机械安全监督管理执法人员在农田、场院等场所进行农业机械安全监督检查时，可以采取下列措施：</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一</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向有关单位和个人了解情况，查阅、复制有关资料；</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二</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查验拖拉 机、联合收割机证书、牌照及有关操作证件；</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三</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检查危及人身财产安全的农业机械的安全状况，对存在重大事故隐患的农业机械，责令当事人立即停止作业或者停止农业机械的转移，并进 行维修；</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四</w:t>
            </w:r>
            <w:r>
              <w:rPr>
                <w:rFonts w:hint="eastAsia" w:ascii="Arial" w:hAnsi="Arial" w:eastAsia="宋体" w:cs="Arial"/>
                <w:i w:val="0"/>
                <w:iCs w:val="0"/>
                <w:caps w:val="0"/>
                <w:color w:val="333333"/>
                <w:spacing w:val="0"/>
                <w:kern w:val="2"/>
                <w:sz w:val="21"/>
                <w:szCs w:val="21"/>
                <w:shd w:val="clear" w:fill="FFFFFF"/>
                <w:lang w:val="en-US" w:eastAsia="zh-CN" w:bidi="ar-SA"/>
              </w:rPr>
              <w:t>）</w:t>
            </w:r>
            <w:r>
              <w:rPr>
                <w:rFonts w:ascii="Arial" w:hAnsi="Arial" w:eastAsia="宋体" w:cs="Arial"/>
                <w:i w:val="0"/>
                <w:iCs w:val="0"/>
                <w:caps w:val="0"/>
                <w:color w:val="333333"/>
                <w:spacing w:val="0"/>
                <w:kern w:val="2"/>
                <w:sz w:val="21"/>
                <w:szCs w:val="21"/>
                <w:shd w:val="clear" w:fill="FFFFFF"/>
                <w:lang w:val="en-US" w:eastAsia="en-US" w:bidi="ar-SA"/>
              </w:rPr>
              <w:t>责令农业机械操作人员改正违规操作行为。</w:t>
            </w:r>
          </w:p>
        </w:tc>
        <w:tc>
          <w:tcPr>
            <w:tcW w:w="1259" w:type="dxa"/>
            <w:vAlign w:val="top"/>
          </w:tcPr>
          <w:p>
            <w:pPr>
              <w:spacing w:line="26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9"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70" w:lineRule="auto"/>
              <w:rPr>
                <w:rFonts w:ascii="Arial" w:hAnsi="Arial" w:eastAsia="宋体" w:cs="Arial"/>
                <w:i w:val="0"/>
                <w:iCs w:val="0"/>
                <w:caps w:val="0"/>
                <w:color w:val="333333"/>
                <w:spacing w:val="0"/>
                <w:kern w:val="2"/>
                <w:sz w:val="21"/>
                <w:szCs w:val="21"/>
                <w:shd w:val="clear" w:fill="FFFFFF"/>
                <w:lang w:val="en-US" w:eastAsia="en-US" w:bidi="ar-SA"/>
              </w:rPr>
            </w:pPr>
          </w:p>
          <w:p>
            <w:pPr>
              <w:pStyle w:val="12"/>
              <w:spacing w:line="218" w:lineRule="auto"/>
              <w:ind w:left="298"/>
              <w:rPr>
                <w:rFonts w:hint="eastAsia" w:ascii="Arial" w:hAnsi="Arial" w:eastAsia="宋体" w:cs="Arial"/>
                <w:i w:val="0"/>
                <w:iCs w:val="0"/>
                <w:caps w:val="0"/>
                <w:color w:val="333333"/>
                <w:spacing w:val="0"/>
                <w:kern w:val="2"/>
                <w:sz w:val="21"/>
                <w:szCs w:val="21"/>
                <w:shd w:val="clear" w:fill="FFFFFF"/>
                <w:lang w:val="en-US" w:eastAsia="zh-CN" w:bidi="ar-SA"/>
              </w:rPr>
            </w:pPr>
            <w:r>
              <w:rPr>
                <w:rFonts w:hint="eastAsia" w:ascii="Arial" w:hAnsi="Arial" w:eastAsia="宋体" w:cs="Arial"/>
                <w:i w:val="0"/>
                <w:iCs w:val="0"/>
                <w:caps w:val="0"/>
                <w:color w:val="333333"/>
                <w:spacing w:val="0"/>
                <w:kern w:val="2"/>
                <w:sz w:val="21"/>
                <w:szCs w:val="21"/>
                <w:shd w:val="clear" w:fill="FFFFFF"/>
                <w:lang w:val="en-US" w:eastAsia="zh-CN" w:bidi="ar-SA"/>
              </w:rPr>
              <w:t>芒市农业农村局</w:t>
            </w:r>
          </w:p>
        </w:tc>
        <w:tc>
          <w:tcPr>
            <w:tcW w:w="969" w:type="dxa"/>
            <w:vAlign w:val="top"/>
          </w:tcPr>
          <w:p>
            <w:pPr>
              <w:spacing w:line="266"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7"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7"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7"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7" w:lineRule="auto"/>
              <w:rPr>
                <w:rFonts w:ascii="Arial" w:hAnsi="Arial" w:eastAsia="宋体" w:cs="Arial"/>
                <w:i w:val="0"/>
                <w:iCs w:val="0"/>
                <w:caps w:val="0"/>
                <w:color w:val="333333"/>
                <w:spacing w:val="0"/>
                <w:kern w:val="2"/>
                <w:sz w:val="21"/>
                <w:szCs w:val="21"/>
                <w:shd w:val="clear" w:fill="FFFFFF"/>
                <w:lang w:val="en-US" w:eastAsia="en-US" w:bidi="ar-SA"/>
              </w:rPr>
            </w:pPr>
          </w:p>
          <w:p>
            <w:pPr>
              <w:spacing w:line="267" w:lineRule="auto"/>
              <w:rPr>
                <w:rFonts w:ascii="Arial" w:hAnsi="Arial" w:eastAsia="宋体" w:cs="Arial"/>
                <w:i w:val="0"/>
                <w:iCs w:val="0"/>
                <w:caps w:val="0"/>
                <w:color w:val="333333"/>
                <w:spacing w:val="0"/>
                <w:kern w:val="2"/>
                <w:sz w:val="21"/>
                <w:szCs w:val="21"/>
                <w:shd w:val="clear" w:fill="FFFFFF"/>
                <w:lang w:val="en-US" w:eastAsia="en-US" w:bidi="ar-SA"/>
              </w:rPr>
            </w:pPr>
          </w:p>
          <w:p>
            <w:pPr>
              <w:pStyle w:val="12"/>
              <w:spacing w:before="72" w:line="221" w:lineRule="auto"/>
              <w:ind w:left="259"/>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县级</w:t>
            </w:r>
          </w:p>
          <w:p>
            <w:pPr>
              <w:pStyle w:val="12"/>
              <w:spacing w:before="7" w:line="222" w:lineRule="auto"/>
              <w:ind w:left="279"/>
              <w:rPr>
                <w:rFonts w:ascii="Arial" w:hAnsi="Arial" w:eastAsia="宋体" w:cs="Arial"/>
                <w:i w:val="0"/>
                <w:iCs w:val="0"/>
                <w:caps w:val="0"/>
                <w:color w:val="333333"/>
                <w:spacing w:val="0"/>
                <w:kern w:val="2"/>
                <w:sz w:val="21"/>
                <w:szCs w:val="21"/>
                <w:shd w:val="clear" w:fill="FFFFFF"/>
                <w:lang w:val="en-US" w:eastAsia="en-US" w:bidi="ar-SA"/>
              </w:rPr>
            </w:pPr>
            <w:r>
              <w:rPr>
                <w:rFonts w:ascii="Arial" w:hAnsi="Arial" w:eastAsia="宋体" w:cs="Arial"/>
                <w:i w:val="0"/>
                <w:iCs w:val="0"/>
                <w:caps w:val="0"/>
                <w:color w:val="333333"/>
                <w:spacing w:val="0"/>
                <w:kern w:val="2"/>
                <w:sz w:val="21"/>
                <w:szCs w:val="21"/>
                <w:shd w:val="clear" w:fill="FFFFFF"/>
                <w:lang w:val="en-US" w:eastAsia="en-US" w:bidi="ar-SA"/>
              </w:rPr>
              <w:t>以上</w:t>
            </w:r>
          </w:p>
        </w:tc>
        <w:tc>
          <w:tcPr>
            <w:tcW w:w="6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6" w:hRule="atLeast"/>
        </w:trPr>
        <w:tc>
          <w:tcPr>
            <w:tcW w:w="72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2"/>
              <w:spacing w:before="72"/>
              <w:ind w:left="295"/>
              <w:rPr>
                <w:sz w:val="22"/>
                <w:szCs w:val="22"/>
              </w:rPr>
            </w:pPr>
            <w:r>
              <w:rPr>
                <w:sz w:val="22"/>
                <w:szCs w:val="22"/>
              </w:rPr>
              <w:t>9</w:t>
            </w:r>
          </w:p>
        </w:tc>
        <w:tc>
          <w:tcPr>
            <w:tcW w:w="136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12"/>
              <w:spacing w:before="72" w:line="215" w:lineRule="auto"/>
              <w:ind w:left="340" w:right="148" w:hanging="220"/>
              <w:rPr>
                <w:sz w:val="22"/>
                <w:szCs w:val="22"/>
              </w:rPr>
            </w:pPr>
            <w:r>
              <w:rPr>
                <w:spacing w:val="-2"/>
                <w:sz w:val="22"/>
                <w:szCs w:val="22"/>
              </w:rPr>
              <w:t>植物检疫监</w:t>
            </w:r>
            <w:r>
              <w:rPr>
                <w:sz w:val="22"/>
                <w:szCs w:val="22"/>
              </w:rPr>
              <w:t xml:space="preserve"> </w:t>
            </w:r>
            <w:r>
              <w:rPr>
                <w:spacing w:val="3"/>
                <w:sz w:val="22"/>
                <w:szCs w:val="22"/>
              </w:rPr>
              <w:t>督检查</w:t>
            </w:r>
          </w:p>
        </w:tc>
        <w:tc>
          <w:tcPr>
            <w:tcW w:w="1639"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12"/>
              <w:spacing w:before="72" w:line="229" w:lineRule="auto"/>
              <w:ind w:left="261" w:right="57" w:hanging="220"/>
              <w:rPr>
                <w:sz w:val="22"/>
                <w:szCs w:val="22"/>
              </w:rPr>
            </w:pPr>
            <w:r>
              <w:rPr>
                <w:spacing w:val="-2"/>
                <w:sz w:val="22"/>
                <w:szCs w:val="22"/>
              </w:rPr>
              <w:t>本行政区域内植</w:t>
            </w:r>
            <w:r>
              <w:rPr>
                <w:spacing w:val="3"/>
                <w:sz w:val="22"/>
                <w:szCs w:val="22"/>
              </w:rPr>
              <w:t xml:space="preserve"> 物检疫活动</w:t>
            </w:r>
          </w:p>
        </w:tc>
        <w:tc>
          <w:tcPr>
            <w:tcW w:w="9394" w:type="dxa"/>
            <w:vAlign w:val="top"/>
          </w:tcPr>
          <w:p>
            <w:pPr>
              <w:pStyle w:val="12"/>
              <w:spacing w:before="312" w:line="219" w:lineRule="auto"/>
              <w:rPr>
                <w:sz w:val="22"/>
                <w:szCs w:val="22"/>
              </w:rPr>
            </w:pPr>
            <w:r>
              <w:rPr>
                <w:sz w:val="22"/>
                <w:szCs w:val="22"/>
              </w:rPr>
              <w:t>《植物检疫条例》第三条县级以上地方各级农业</w:t>
            </w:r>
            <w:r>
              <w:rPr>
                <w:spacing w:val="-1"/>
                <w:sz w:val="22"/>
                <w:szCs w:val="22"/>
              </w:rPr>
              <w:t>主管部门、林业主管部门所属的植物检疫</w:t>
            </w:r>
            <w:r>
              <w:rPr>
                <w:rFonts w:hint="eastAsia"/>
                <w:spacing w:val="-1"/>
                <w:sz w:val="22"/>
                <w:szCs w:val="22"/>
                <w:lang w:eastAsia="zh-CN"/>
              </w:rPr>
              <w:t>机构</w:t>
            </w:r>
          </w:p>
          <w:p>
            <w:pPr>
              <w:pStyle w:val="12"/>
              <w:spacing w:before="8" w:line="227" w:lineRule="auto"/>
              <w:ind w:left="12" w:right="118"/>
              <w:rPr>
                <w:sz w:val="22"/>
                <w:szCs w:val="22"/>
              </w:rPr>
            </w:pPr>
            <w:r>
              <w:rPr>
                <w:sz w:val="22"/>
                <w:szCs w:val="22"/>
              </w:rPr>
              <w:t>构，负责执行国家的植物检疫任务。植物检疫人员进入车站、机场、港口、仓库以及其他有关场所执行植物检疫任务，应穿着检疫制服和</w:t>
            </w:r>
            <w:r>
              <w:rPr>
                <w:rFonts w:hint="eastAsia"/>
                <w:sz w:val="22"/>
                <w:szCs w:val="22"/>
                <w:lang w:eastAsia="zh-CN"/>
              </w:rPr>
              <w:t>佩戴</w:t>
            </w:r>
            <w:r>
              <w:rPr>
                <w:sz w:val="22"/>
                <w:szCs w:val="22"/>
              </w:rPr>
              <w:t>检疫标志。</w:t>
            </w:r>
          </w:p>
          <w:p>
            <w:pPr>
              <w:pStyle w:val="12"/>
              <w:spacing w:before="2" w:line="223" w:lineRule="auto"/>
              <w:ind w:left="12" w:right="140"/>
              <w:rPr>
                <w:sz w:val="22"/>
                <w:szCs w:val="22"/>
              </w:rPr>
            </w:pPr>
            <w:r>
              <w:rPr>
                <w:sz w:val="22"/>
                <w:szCs w:val="22"/>
              </w:rPr>
              <w:t>第五条第三款 在发生疫情的地区，植物检疫机构可以派人参加当地的道</w:t>
            </w:r>
            <w:r>
              <w:rPr>
                <w:spacing w:val="-1"/>
                <w:sz w:val="22"/>
                <w:szCs w:val="22"/>
              </w:rPr>
              <w:t>路联合检查站或者木材</w:t>
            </w:r>
            <w:r>
              <w:rPr>
                <w:sz w:val="22"/>
                <w:szCs w:val="22"/>
              </w:rPr>
              <w:t xml:space="preserve">  检查站；发生特大疫情时，经省、自治区、直辖市人民政府批准，可以设</w:t>
            </w:r>
            <w:r>
              <w:rPr>
                <w:spacing w:val="-1"/>
                <w:sz w:val="22"/>
                <w:szCs w:val="22"/>
              </w:rPr>
              <w:t>立植物检疫检查站，开</w:t>
            </w:r>
            <w:r>
              <w:rPr>
                <w:sz w:val="22"/>
                <w:szCs w:val="22"/>
              </w:rPr>
              <w:t>展植物检疫工作。</w:t>
            </w:r>
          </w:p>
          <w:p>
            <w:pPr>
              <w:pStyle w:val="12"/>
              <w:spacing w:line="218" w:lineRule="auto"/>
              <w:ind w:left="12"/>
              <w:rPr>
                <w:sz w:val="22"/>
                <w:szCs w:val="22"/>
              </w:rPr>
            </w:pPr>
            <w:r>
              <w:rPr>
                <w:sz w:val="22"/>
                <w:szCs w:val="22"/>
              </w:rPr>
              <w:t>第十四条 植物检疫机构对于新发现的检疫对象和其他危险性病</w:t>
            </w:r>
            <w:r>
              <w:rPr>
                <w:rFonts w:hint="eastAsia"/>
                <w:sz w:val="22"/>
                <w:szCs w:val="22"/>
                <w:lang w:eastAsia="zh-CN"/>
              </w:rPr>
              <w:t>、病</w:t>
            </w:r>
            <w:r>
              <w:rPr>
                <w:sz w:val="22"/>
                <w:szCs w:val="22"/>
              </w:rPr>
              <w:t>虫、</w:t>
            </w:r>
            <w:r>
              <w:rPr>
                <w:spacing w:val="-1"/>
                <w:sz w:val="22"/>
                <w:szCs w:val="22"/>
              </w:rPr>
              <w:t>杂草，必须及时查清情</w:t>
            </w:r>
            <w:r>
              <w:rPr>
                <w:sz w:val="22"/>
                <w:szCs w:val="22"/>
              </w:rPr>
              <w:t>况，立即报告省、自治区、直辖市农业主管部门、林业主管部门，采取措施，彻底消灭，并报告国务院农业主管部门、林业主管部门。</w:t>
            </w:r>
          </w:p>
        </w:tc>
        <w:tc>
          <w:tcPr>
            <w:tcW w:w="1259"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12"/>
              <w:spacing w:before="7" w:line="219" w:lineRule="auto"/>
              <w:ind w:left="298"/>
              <w:rPr>
                <w:rFonts w:hint="eastAsia" w:eastAsia="宋体"/>
                <w:sz w:val="22"/>
                <w:szCs w:val="22"/>
                <w:lang w:eastAsia="zh-CN"/>
              </w:rPr>
            </w:pPr>
            <w:r>
              <w:rPr>
                <w:rFonts w:hint="eastAsia"/>
                <w:spacing w:val="1"/>
                <w:sz w:val="22"/>
                <w:szCs w:val="22"/>
                <w:lang w:eastAsia="zh-CN"/>
              </w:rPr>
              <w:t>芒市农业农村局</w:t>
            </w:r>
          </w:p>
        </w:tc>
        <w:tc>
          <w:tcPr>
            <w:tcW w:w="969"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2"/>
              <w:spacing w:before="71" w:line="221" w:lineRule="auto"/>
              <w:ind w:left="259"/>
              <w:rPr>
                <w:sz w:val="22"/>
                <w:szCs w:val="22"/>
              </w:rPr>
            </w:pPr>
            <w:r>
              <w:rPr>
                <w:spacing w:val="6"/>
                <w:sz w:val="22"/>
                <w:szCs w:val="22"/>
              </w:rPr>
              <w:t>县级</w:t>
            </w:r>
          </w:p>
          <w:p>
            <w:pPr>
              <w:pStyle w:val="12"/>
              <w:spacing w:before="7" w:line="222" w:lineRule="auto"/>
              <w:ind w:left="279"/>
              <w:rPr>
                <w:sz w:val="22"/>
                <w:szCs w:val="22"/>
              </w:rPr>
            </w:pPr>
            <w:r>
              <w:rPr>
                <w:spacing w:val="4"/>
                <w:sz w:val="22"/>
                <w:szCs w:val="22"/>
              </w:rPr>
              <w:t>以上</w:t>
            </w:r>
          </w:p>
        </w:tc>
        <w:tc>
          <w:tcPr>
            <w:tcW w:w="6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725"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12"/>
              <w:spacing w:before="71"/>
              <w:ind w:left="245"/>
              <w:rPr>
                <w:sz w:val="22"/>
                <w:szCs w:val="22"/>
              </w:rPr>
            </w:pPr>
            <w:r>
              <w:rPr>
                <w:spacing w:val="-7"/>
                <w:sz w:val="22"/>
                <w:szCs w:val="22"/>
              </w:rPr>
              <w:t>10</w:t>
            </w:r>
          </w:p>
        </w:tc>
        <w:tc>
          <w:tcPr>
            <w:tcW w:w="1369" w:type="dxa"/>
            <w:vAlign w:val="top"/>
          </w:tcPr>
          <w:p>
            <w:pPr>
              <w:spacing w:line="315" w:lineRule="auto"/>
              <w:rPr>
                <w:rFonts w:ascii="Arial"/>
                <w:sz w:val="21"/>
              </w:rPr>
            </w:pPr>
          </w:p>
          <w:p>
            <w:pPr>
              <w:spacing w:line="316" w:lineRule="auto"/>
              <w:rPr>
                <w:rFonts w:ascii="Arial"/>
                <w:sz w:val="21"/>
              </w:rPr>
            </w:pPr>
          </w:p>
          <w:p>
            <w:pPr>
              <w:pStyle w:val="12"/>
              <w:spacing w:before="71" w:line="219" w:lineRule="auto"/>
              <w:ind w:left="120"/>
              <w:rPr>
                <w:sz w:val="22"/>
                <w:szCs w:val="22"/>
              </w:rPr>
            </w:pPr>
            <w:r>
              <w:rPr>
                <w:spacing w:val="-2"/>
                <w:sz w:val="22"/>
                <w:szCs w:val="22"/>
              </w:rPr>
              <w:t>肥料监督</w:t>
            </w:r>
            <w:r>
              <w:rPr>
                <w:rFonts w:hint="eastAsia"/>
                <w:spacing w:val="-2"/>
                <w:sz w:val="22"/>
                <w:szCs w:val="22"/>
                <w:lang w:eastAsia="zh-CN"/>
              </w:rPr>
              <w:t>检查</w:t>
            </w:r>
          </w:p>
          <w:p>
            <w:pPr>
              <w:pStyle w:val="12"/>
              <w:spacing w:before="28" w:line="227" w:lineRule="auto"/>
              <w:ind w:left="560"/>
              <w:rPr>
                <w:sz w:val="22"/>
                <w:szCs w:val="22"/>
              </w:rPr>
            </w:pPr>
            <w:r>
              <w:rPr>
                <w:sz w:val="22"/>
                <w:szCs w:val="22"/>
              </w:rPr>
              <w:t>查</w:t>
            </w:r>
          </w:p>
        </w:tc>
        <w:tc>
          <w:tcPr>
            <w:tcW w:w="1639" w:type="dxa"/>
            <w:vAlign w:val="top"/>
          </w:tcPr>
          <w:p>
            <w:pPr>
              <w:spacing w:line="256" w:lineRule="auto"/>
              <w:rPr>
                <w:rFonts w:ascii="Arial"/>
                <w:sz w:val="21"/>
              </w:rPr>
            </w:pPr>
          </w:p>
          <w:p>
            <w:pPr>
              <w:spacing w:line="256" w:lineRule="auto"/>
              <w:rPr>
                <w:rFonts w:ascii="Arial"/>
                <w:sz w:val="21"/>
              </w:rPr>
            </w:pPr>
          </w:p>
          <w:p>
            <w:pPr>
              <w:pStyle w:val="12"/>
              <w:spacing w:before="71" w:line="221" w:lineRule="auto"/>
              <w:ind w:left="41"/>
              <w:rPr>
                <w:sz w:val="22"/>
                <w:szCs w:val="22"/>
              </w:rPr>
            </w:pPr>
            <w:r>
              <w:rPr>
                <w:spacing w:val="-10"/>
                <w:sz w:val="22"/>
                <w:szCs w:val="22"/>
              </w:rPr>
              <w:t>本行政区域内肥</w:t>
            </w:r>
            <w:r>
              <w:rPr>
                <w:sz w:val="22"/>
                <w:szCs w:val="22"/>
              </w:rPr>
              <w:t xml:space="preserve">  </w:t>
            </w:r>
            <w:r>
              <w:rPr>
                <w:spacing w:val="6"/>
                <w:sz w:val="22"/>
                <w:szCs w:val="22"/>
              </w:rPr>
              <w:t>料生产、加工、</w:t>
            </w:r>
          </w:p>
          <w:p>
            <w:pPr>
              <w:pStyle w:val="12"/>
              <w:spacing w:before="14" w:line="219" w:lineRule="auto"/>
              <w:ind w:left="41"/>
              <w:rPr>
                <w:sz w:val="22"/>
                <w:szCs w:val="22"/>
              </w:rPr>
            </w:pPr>
            <w:r>
              <w:rPr>
                <w:spacing w:val="-2"/>
                <w:sz w:val="22"/>
                <w:szCs w:val="22"/>
              </w:rPr>
              <w:t>经营、使用主体</w:t>
            </w:r>
          </w:p>
        </w:tc>
        <w:tc>
          <w:tcPr>
            <w:tcW w:w="9394" w:type="dxa"/>
            <w:vAlign w:val="top"/>
          </w:tcPr>
          <w:p>
            <w:pPr>
              <w:pStyle w:val="12"/>
              <w:spacing w:before="176" w:line="219" w:lineRule="auto"/>
              <w:rPr>
                <w:sz w:val="22"/>
                <w:szCs w:val="22"/>
              </w:rPr>
            </w:pPr>
            <w:r>
              <w:rPr>
                <w:spacing w:val="-2"/>
                <w:sz w:val="22"/>
                <w:szCs w:val="22"/>
              </w:rPr>
              <w:t>《中华人民共和国农业法》第八十八条县级以上人民政府农</w:t>
            </w:r>
            <w:r>
              <w:rPr>
                <w:spacing w:val="-3"/>
                <w:sz w:val="22"/>
                <w:szCs w:val="22"/>
              </w:rPr>
              <w:t>业行政主管部门及其执法人员履行</w:t>
            </w:r>
          </w:p>
          <w:p>
            <w:pPr>
              <w:pStyle w:val="12"/>
              <w:spacing w:before="8" w:line="227" w:lineRule="auto"/>
              <w:ind w:left="12" w:right="119"/>
              <w:rPr>
                <w:sz w:val="22"/>
                <w:szCs w:val="22"/>
              </w:rPr>
            </w:pPr>
            <w:r>
              <w:rPr>
                <w:rFonts w:hint="eastAsia"/>
                <w:sz w:val="22"/>
                <w:szCs w:val="22"/>
                <w:lang w:eastAsia="zh-CN"/>
              </w:rPr>
              <w:t>执行</w:t>
            </w:r>
            <w:r>
              <w:rPr>
                <w:sz w:val="22"/>
                <w:szCs w:val="22"/>
              </w:rPr>
              <w:t>监督检查职责时，有权采取下列措施：……有关单位或者个人应当配合农业行政执法人员依</w:t>
            </w:r>
            <w:r>
              <w:rPr>
                <w:spacing w:val="11"/>
                <w:sz w:val="22"/>
                <w:szCs w:val="22"/>
              </w:rPr>
              <w:t xml:space="preserve"> </w:t>
            </w:r>
            <w:r>
              <w:rPr>
                <w:spacing w:val="-1"/>
                <w:sz w:val="22"/>
                <w:szCs w:val="22"/>
              </w:rPr>
              <w:t>法执行职务，不得拒绝和阻碍。</w:t>
            </w:r>
          </w:p>
          <w:p>
            <w:pPr>
              <w:pStyle w:val="12"/>
              <w:spacing w:before="1" w:line="236" w:lineRule="auto"/>
              <w:ind w:left="11" w:right="142" w:hanging="9"/>
              <w:rPr>
                <w:sz w:val="22"/>
                <w:szCs w:val="22"/>
              </w:rPr>
            </w:pPr>
            <w:r>
              <w:rPr>
                <w:sz w:val="22"/>
                <w:szCs w:val="22"/>
              </w:rPr>
              <w:t>《肥料登记管理办法》第六条第三款县级以上地方人民政府农业农村主管部门负责本行政区</w:t>
            </w:r>
            <w:r>
              <w:rPr>
                <w:spacing w:val="-1"/>
                <w:sz w:val="22"/>
                <w:szCs w:val="22"/>
              </w:rPr>
              <w:t>域内</w:t>
            </w:r>
            <w:r>
              <w:rPr>
                <w:sz w:val="22"/>
                <w:szCs w:val="22"/>
              </w:rPr>
              <w:t xml:space="preserve"> </w:t>
            </w:r>
            <w:r>
              <w:rPr>
                <w:spacing w:val="-1"/>
                <w:sz w:val="22"/>
                <w:szCs w:val="22"/>
              </w:rPr>
              <w:t>的肥料监督管理工作。</w:t>
            </w:r>
          </w:p>
        </w:tc>
        <w:tc>
          <w:tcPr>
            <w:tcW w:w="1259" w:type="dxa"/>
            <w:vAlign w:val="top"/>
          </w:tcPr>
          <w:p>
            <w:pPr>
              <w:spacing w:line="311" w:lineRule="auto"/>
              <w:rPr>
                <w:rFonts w:ascii="Arial"/>
                <w:sz w:val="21"/>
              </w:rPr>
            </w:pPr>
          </w:p>
          <w:p>
            <w:pPr>
              <w:spacing w:line="311" w:lineRule="auto"/>
              <w:rPr>
                <w:rFonts w:ascii="Arial"/>
                <w:sz w:val="21"/>
              </w:rPr>
            </w:pPr>
          </w:p>
          <w:p>
            <w:pPr>
              <w:pStyle w:val="12"/>
              <w:spacing w:before="17" w:line="219" w:lineRule="auto"/>
              <w:ind w:left="298"/>
              <w:rPr>
                <w:rFonts w:hint="eastAsia" w:eastAsia="宋体"/>
                <w:sz w:val="22"/>
                <w:szCs w:val="22"/>
                <w:lang w:eastAsia="zh-CN"/>
              </w:rPr>
            </w:pPr>
            <w:r>
              <w:rPr>
                <w:rFonts w:hint="eastAsia"/>
                <w:spacing w:val="1"/>
                <w:sz w:val="22"/>
                <w:szCs w:val="22"/>
                <w:lang w:eastAsia="zh-CN"/>
              </w:rPr>
              <w:t>芒市农业农村局</w:t>
            </w:r>
          </w:p>
        </w:tc>
        <w:tc>
          <w:tcPr>
            <w:tcW w:w="969" w:type="dxa"/>
            <w:vAlign w:val="top"/>
          </w:tcPr>
          <w:p>
            <w:pPr>
              <w:spacing w:line="312" w:lineRule="auto"/>
              <w:rPr>
                <w:rFonts w:ascii="Arial"/>
                <w:sz w:val="21"/>
              </w:rPr>
            </w:pPr>
          </w:p>
          <w:p>
            <w:pPr>
              <w:spacing w:line="313" w:lineRule="auto"/>
              <w:rPr>
                <w:rFonts w:ascii="Arial"/>
                <w:sz w:val="21"/>
              </w:rPr>
            </w:pPr>
          </w:p>
          <w:p>
            <w:pPr>
              <w:pStyle w:val="12"/>
              <w:spacing w:before="72" w:line="221" w:lineRule="auto"/>
              <w:ind w:left="259"/>
              <w:rPr>
                <w:sz w:val="22"/>
                <w:szCs w:val="22"/>
              </w:rPr>
            </w:pPr>
            <w:r>
              <w:rPr>
                <w:spacing w:val="6"/>
                <w:sz w:val="22"/>
                <w:szCs w:val="22"/>
              </w:rPr>
              <w:t>县级</w:t>
            </w:r>
          </w:p>
          <w:p>
            <w:pPr>
              <w:pStyle w:val="12"/>
              <w:spacing w:before="17" w:line="222" w:lineRule="auto"/>
              <w:ind w:left="259"/>
              <w:rPr>
                <w:sz w:val="22"/>
                <w:szCs w:val="22"/>
              </w:rPr>
            </w:pPr>
            <w:r>
              <w:rPr>
                <w:spacing w:val="4"/>
                <w:sz w:val="22"/>
                <w:szCs w:val="22"/>
              </w:rPr>
              <w:t>以上</w:t>
            </w:r>
          </w:p>
        </w:tc>
        <w:tc>
          <w:tcPr>
            <w:tcW w:w="67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6940" w:h="11900"/>
          <w:pgMar w:top="1011" w:right="444" w:bottom="946" w:left="454" w:header="0" w:footer="632" w:gutter="0"/>
          <w:cols w:space="720" w:num="1"/>
        </w:sectPr>
      </w:pPr>
    </w:p>
    <w:p>
      <w:pPr>
        <w:spacing w:line="23" w:lineRule="exact"/>
      </w:pPr>
    </w:p>
    <w:tbl>
      <w:tblPr>
        <w:tblStyle w:val="13"/>
        <w:tblW w:w="16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369"/>
        <w:gridCol w:w="1639"/>
        <w:gridCol w:w="9364"/>
        <w:gridCol w:w="1289"/>
        <w:gridCol w:w="940"/>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24" w:type="dxa"/>
            <w:vAlign w:val="top"/>
          </w:tcPr>
          <w:p>
            <w:pPr>
              <w:pStyle w:val="12"/>
              <w:spacing w:before="262" w:line="221" w:lineRule="auto"/>
              <w:ind w:left="138"/>
              <w:rPr>
                <w:sz w:val="22"/>
                <w:szCs w:val="22"/>
              </w:rPr>
            </w:pPr>
            <w:r>
              <w:rPr>
                <w:b/>
                <w:bCs/>
                <w:spacing w:val="-5"/>
                <w:sz w:val="22"/>
                <w:szCs w:val="22"/>
              </w:rPr>
              <w:t>序号</w:t>
            </w:r>
          </w:p>
        </w:tc>
        <w:tc>
          <w:tcPr>
            <w:tcW w:w="1369" w:type="dxa"/>
            <w:vAlign w:val="top"/>
          </w:tcPr>
          <w:p>
            <w:pPr>
              <w:pStyle w:val="12"/>
              <w:spacing w:before="261" w:line="219" w:lineRule="auto"/>
              <w:ind w:left="234"/>
              <w:rPr>
                <w:sz w:val="22"/>
                <w:szCs w:val="22"/>
              </w:rPr>
            </w:pPr>
            <w:r>
              <w:rPr>
                <w:b/>
                <w:bCs/>
                <w:spacing w:val="-4"/>
                <w:sz w:val="22"/>
                <w:szCs w:val="22"/>
              </w:rPr>
              <w:t>检查事项</w:t>
            </w:r>
          </w:p>
        </w:tc>
        <w:tc>
          <w:tcPr>
            <w:tcW w:w="1639" w:type="dxa"/>
            <w:vAlign w:val="top"/>
          </w:tcPr>
          <w:p>
            <w:pPr>
              <w:pStyle w:val="12"/>
              <w:spacing w:before="261" w:line="219" w:lineRule="auto"/>
              <w:ind w:left="375"/>
              <w:rPr>
                <w:sz w:val="22"/>
                <w:szCs w:val="22"/>
              </w:rPr>
            </w:pPr>
            <w:r>
              <w:rPr>
                <w:b/>
                <w:bCs/>
                <w:spacing w:val="-4"/>
                <w:sz w:val="22"/>
                <w:szCs w:val="22"/>
              </w:rPr>
              <w:t>检查对象</w:t>
            </w:r>
          </w:p>
        </w:tc>
        <w:tc>
          <w:tcPr>
            <w:tcW w:w="9364" w:type="dxa"/>
            <w:vAlign w:val="top"/>
          </w:tcPr>
          <w:p>
            <w:pPr>
              <w:pStyle w:val="12"/>
              <w:spacing w:before="259" w:line="219" w:lineRule="auto"/>
              <w:ind w:left="4226"/>
              <w:rPr>
                <w:sz w:val="22"/>
                <w:szCs w:val="22"/>
              </w:rPr>
            </w:pPr>
            <w:r>
              <w:rPr>
                <w:b/>
                <w:bCs/>
                <w:spacing w:val="-4"/>
                <w:sz w:val="22"/>
                <w:szCs w:val="22"/>
              </w:rPr>
              <w:t>检查依据</w:t>
            </w:r>
          </w:p>
        </w:tc>
        <w:tc>
          <w:tcPr>
            <w:tcW w:w="1289" w:type="dxa"/>
            <w:vAlign w:val="top"/>
          </w:tcPr>
          <w:p>
            <w:pPr>
              <w:pStyle w:val="12"/>
              <w:spacing w:before="131" w:line="220" w:lineRule="auto"/>
              <w:ind w:left="92"/>
              <w:rPr>
                <w:sz w:val="22"/>
                <w:szCs w:val="22"/>
              </w:rPr>
            </w:pPr>
            <w:r>
              <w:rPr>
                <w:b/>
                <w:bCs/>
                <w:spacing w:val="-4"/>
                <w:sz w:val="22"/>
                <w:szCs w:val="22"/>
              </w:rPr>
              <w:t>法定实施</w:t>
            </w:r>
            <w:r>
              <w:rPr>
                <w:rFonts w:hint="eastAsia"/>
                <w:b/>
                <w:bCs/>
                <w:spacing w:val="-4"/>
                <w:sz w:val="22"/>
                <w:szCs w:val="22"/>
                <w:lang w:eastAsia="zh-CN"/>
              </w:rPr>
              <w:t>主体</w:t>
            </w:r>
          </w:p>
          <w:p>
            <w:pPr>
              <w:pStyle w:val="12"/>
              <w:spacing w:before="18" w:line="221" w:lineRule="auto"/>
              <w:ind w:left="531"/>
              <w:rPr>
                <w:sz w:val="22"/>
                <w:szCs w:val="22"/>
              </w:rPr>
            </w:pPr>
            <w:r>
              <w:rPr>
                <w:b/>
                <w:bCs/>
                <w:spacing w:val="-3"/>
                <w:sz w:val="22"/>
                <w:szCs w:val="22"/>
              </w:rPr>
              <w:t>体</w:t>
            </w:r>
          </w:p>
        </w:tc>
        <w:tc>
          <w:tcPr>
            <w:tcW w:w="940" w:type="dxa"/>
            <w:vAlign w:val="top"/>
          </w:tcPr>
          <w:p>
            <w:pPr>
              <w:pStyle w:val="12"/>
              <w:spacing w:before="141" w:line="220" w:lineRule="auto"/>
              <w:ind w:left="143"/>
              <w:rPr>
                <w:sz w:val="22"/>
                <w:szCs w:val="22"/>
              </w:rPr>
            </w:pPr>
            <w:r>
              <w:rPr>
                <w:b/>
                <w:bCs/>
                <w:spacing w:val="-5"/>
                <w:sz w:val="22"/>
                <w:szCs w:val="22"/>
              </w:rPr>
              <w:t>法定行</w:t>
            </w:r>
          </w:p>
          <w:p>
            <w:pPr>
              <w:pStyle w:val="12"/>
              <w:spacing w:before="17" w:line="219" w:lineRule="auto"/>
              <w:ind w:left="143"/>
              <w:rPr>
                <w:sz w:val="22"/>
                <w:szCs w:val="22"/>
              </w:rPr>
            </w:pPr>
            <w:r>
              <w:rPr>
                <w:b/>
                <w:bCs/>
                <w:spacing w:val="-5"/>
                <w:sz w:val="22"/>
                <w:szCs w:val="22"/>
              </w:rPr>
              <w:t>使层级</w:t>
            </w:r>
          </w:p>
        </w:tc>
        <w:tc>
          <w:tcPr>
            <w:tcW w:w="694" w:type="dxa"/>
            <w:vAlign w:val="top"/>
          </w:tcPr>
          <w:p>
            <w:pPr>
              <w:pStyle w:val="12"/>
              <w:spacing w:before="262" w:line="221" w:lineRule="auto"/>
              <w:ind w:left="153"/>
              <w:rPr>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724" w:type="dxa"/>
            <w:vAlign w:val="top"/>
          </w:tcPr>
          <w:p>
            <w:pPr>
              <w:spacing w:line="338" w:lineRule="auto"/>
              <w:rPr>
                <w:rFonts w:ascii="Arial"/>
                <w:sz w:val="21"/>
              </w:rPr>
            </w:pPr>
          </w:p>
          <w:p>
            <w:pPr>
              <w:spacing w:line="338" w:lineRule="auto"/>
              <w:rPr>
                <w:rFonts w:ascii="Arial"/>
                <w:sz w:val="21"/>
              </w:rPr>
            </w:pPr>
          </w:p>
          <w:p>
            <w:pPr>
              <w:pStyle w:val="12"/>
              <w:spacing w:before="71" w:line="241" w:lineRule="auto"/>
              <w:ind w:left="244"/>
              <w:rPr>
                <w:sz w:val="22"/>
                <w:szCs w:val="22"/>
              </w:rPr>
            </w:pPr>
            <w:r>
              <w:rPr>
                <w:spacing w:val="-7"/>
                <w:sz w:val="22"/>
                <w:szCs w:val="22"/>
              </w:rPr>
              <w:t>11</w:t>
            </w:r>
          </w:p>
        </w:tc>
        <w:tc>
          <w:tcPr>
            <w:tcW w:w="1369" w:type="dxa"/>
            <w:vAlign w:val="top"/>
          </w:tcPr>
          <w:p>
            <w:pPr>
              <w:spacing w:line="267" w:lineRule="auto"/>
              <w:rPr>
                <w:rFonts w:ascii="Arial"/>
                <w:sz w:val="21"/>
              </w:rPr>
            </w:pPr>
          </w:p>
          <w:p>
            <w:pPr>
              <w:spacing w:line="268" w:lineRule="auto"/>
              <w:rPr>
                <w:rFonts w:ascii="Arial"/>
                <w:sz w:val="21"/>
              </w:rPr>
            </w:pPr>
          </w:p>
          <w:p>
            <w:pPr>
              <w:pStyle w:val="12"/>
              <w:spacing w:before="72" w:line="220" w:lineRule="auto"/>
              <w:ind w:left="450" w:right="125" w:hanging="330"/>
              <w:rPr>
                <w:sz w:val="22"/>
                <w:szCs w:val="22"/>
              </w:rPr>
            </w:pPr>
            <w:r>
              <w:rPr>
                <w:spacing w:val="2"/>
                <w:sz w:val="22"/>
                <w:szCs w:val="22"/>
              </w:rPr>
              <w:t xml:space="preserve">种畜禽监督 </w:t>
            </w:r>
            <w:r>
              <w:rPr>
                <w:spacing w:val="-3"/>
                <w:sz w:val="22"/>
                <w:szCs w:val="22"/>
              </w:rPr>
              <w:t>检查</w:t>
            </w:r>
          </w:p>
        </w:tc>
        <w:tc>
          <w:tcPr>
            <w:tcW w:w="1639" w:type="dxa"/>
            <w:vAlign w:val="top"/>
          </w:tcPr>
          <w:p>
            <w:pPr>
              <w:spacing w:line="414" w:lineRule="auto"/>
              <w:rPr>
                <w:rFonts w:ascii="Arial"/>
                <w:sz w:val="21"/>
              </w:rPr>
            </w:pPr>
          </w:p>
          <w:p>
            <w:pPr>
              <w:pStyle w:val="12"/>
              <w:spacing w:before="72" w:line="219" w:lineRule="auto"/>
              <w:ind w:left="41"/>
              <w:rPr>
                <w:sz w:val="22"/>
                <w:szCs w:val="22"/>
              </w:rPr>
            </w:pPr>
            <w:r>
              <w:rPr>
                <w:spacing w:val="-2"/>
                <w:sz w:val="22"/>
                <w:szCs w:val="22"/>
              </w:rPr>
              <w:t>本行政区域内从</w:t>
            </w:r>
          </w:p>
          <w:p>
            <w:pPr>
              <w:pStyle w:val="12"/>
              <w:spacing w:line="219" w:lineRule="auto"/>
              <w:jc w:val="right"/>
              <w:rPr>
                <w:sz w:val="22"/>
                <w:szCs w:val="22"/>
              </w:rPr>
            </w:pPr>
            <w:r>
              <w:rPr>
                <w:spacing w:val="6"/>
                <w:sz w:val="22"/>
                <w:szCs w:val="22"/>
              </w:rPr>
              <w:t>事种畜禽生产、</w:t>
            </w:r>
          </w:p>
          <w:p>
            <w:pPr>
              <w:pStyle w:val="12"/>
              <w:spacing w:before="9" w:line="220" w:lineRule="auto"/>
              <w:ind w:left="151"/>
              <w:rPr>
                <w:sz w:val="22"/>
                <w:szCs w:val="22"/>
              </w:rPr>
            </w:pPr>
            <w:r>
              <w:rPr>
                <w:spacing w:val="-2"/>
                <w:sz w:val="22"/>
                <w:szCs w:val="22"/>
              </w:rPr>
              <w:t>经营活动主体</w:t>
            </w:r>
          </w:p>
        </w:tc>
        <w:tc>
          <w:tcPr>
            <w:tcW w:w="9364" w:type="dxa"/>
            <w:vAlign w:val="top"/>
          </w:tcPr>
          <w:p>
            <w:pPr>
              <w:pStyle w:val="12"/>
              <w:spacing w:before="72" w:line="218" w:lineRule="auto"/>
              <w:ind w:right="81"/>
              <w:rPr>
                <w:sz w:val="22"/>
                <w:szCs w:val="22"/>
              </w:rPr>
            </w:pPr>
            <w:r>
              <w:rPr>
                <w:sz w:val="22"/>
                <w:szCs w:val="22"/>
              </w:rPr>
              <w:t>《中华人民共和国畜牧法》第五条  国务院农业农村主管部门负责全国畜牧业的监督管理工</w:t>
            </w:r>
            <w:r>
              <w:rPr>
                <w:spacing w:val="-1"/>
                <w:sz w:val="22"/>
                <w:szCs w:val="22"/>
              </w:rPr>
              <w:t>作。</w:t>
            </w:r>
            <w:r>
              <w:rPr>
                <w:sz w:val="22"/>
                <w:szCs w:val="22"/>
              </w:rPr>
              <w:t xml:space="preserve"> 县级以上地方人民政府农业农村主管部门负责本行政区域内的畜牧业监督管理工</w:t>
            </w:r>
            <w:r>
              <w:rPr>
                <w:spacing w:val="-1"/>
                <w:sz w:val="22"/>
                <w:szCs w:val="22"/>
              </w:rPr>
              <w:t>作。</w:t>
            </w:r>
          </w:p>
          <w:p>
            <w:pPr>
              <w:pStyle w:val="12"/>
              <w:spacing w:before="2" w:line="263" w:lineRule="auto"/>
              <w:ind w:left="12" w:right="62" w:firstLine="129"/>
              <w:rPr>
                <w:sz w:val="22"/>
                <w:szCs w:val="22"/>
              </w:rPr>
            </w:pPr>
            <w:r>
              <w:rPr>
                <w:sz w:val="22"/>
                <w:szCs w:val="22"/>
              </w:rPr>
              <w:t>第七十三条 县级以上人民政府农业农村主管部门应当制定畜禽质量安全监督抽查计划，并按照</w:t>
            </w:r>
            <w:r>
              <w:rPr>
                <w:spacing w:val="17"/>
                <w:sz w:val="22"/>
                <w:szCs w:val="22"/>
              </w:rPr>
              <w:t xml:space="preserve"> </w:t>
            </w:r>
            <w:r>
              <w:rPr>
                <w:sz w:val="22"/>
                <w:szCs w:val="22"/>
              </w:rPr>
              <w:t>计划开展监督抽查工作。</w:t>
            </w:r>
          </w:p>
        </w:tc>
        <w:tc>
          <w:tcPr>
            <w:tcW w:w="1289" w:type="dxa"/>
            <w:vAlign w:val="top"/>
          </w:tcPr>
          <w:p>
            <w:pPr>
              <w:spacing w:line="272" w:lineRule="auto"/>
              <w:rPr>
                <w:rFonts w:ascii="Arial"/>
                <w:sz w:val="21"/>
              </w:rPr>
            </w:pPr>
          </w:p>
          <w:p>
            <w:pPr>
              <w:spacing w:line="272" w:lineRule="auto"/>
              <w:rPr>
                <w:rFonts w:ascii="Arial"/>
                <w:sz w:val="21"/>
              </w:rPr>
            </w:pPr>
          </w:p>
          <w:p>
            <w:pPr>
              <w:pStyle w:val="12"/>
              <w:spacing w:line="218" w:lineRule="auto"/>
              <w:ind w:left="308"/>
              <w:rPr>
                <w:rFonts w:hint="eastAsia" w:eastAsia="宋体"/>
                <w:sz w:val="22"/>
                <w:szCs w:val="22"/>
                <w:lang w:eastAsia="zh-CN"/>
              </w:rPr>
            </w:pPr>
            <w:r>
              <w:rPr>
                <w:rFonts w:hint="eastAsia"/>
                <w:spacing w:val="1"/>
                <w:sz w:val="22"/>
                <w:szCs w:val="22"/>
                <w:lang w:eastAsia="zh-CN"/>
              </w:rPr>
              <w:t>芒市农业农村局</w:t>
            </w:r>
          </w:p>
        </w:tc>
        <w:tc>
          <w:tcPr>
            <w:tcW w:w="940" w:type="dxa"/>
            <w:vAlign w:val="top"/>
          </w:tcPr>
          <w:p>
            <w:pPr>
              <w:spacing w:line="279" w:lineRule="auto"/>
              <w:rPr>
                <w:rFonts w:ascii="Arial"/>
                <w:sz w:val="21"/>
              </w:rPr>
            </w:pPr>
          </w:p>
          <w:p>
            <w:pPr>
              <w:spacing w:line="279" w:lineRule="auto"/>
              <w:rPr>
                <w:rFonts w:ascii="Arial"/>
                <w:sz w:val="21"/>
              </w:rPr>
            </w:pPr>
          </w:p>
          <w:p>
            <w:pPr>
              <w:pStyle w:val="12"/>
              <w:spacing w:before="71" w:line="221" w:lineRule="auto"/>
              <w:ind w:left="249"/>
              <w:rPr>
                <w:sz w:val="22"/>
                <w:szCs w:val="22"/>
              </w:rPr>
            </w:pPr>
            <w:r>
              <w:rPr>
                <w:spacing w:val="6"/>
                <w:sz w:val="22"/>
                <w:szCs w:val="22"/>
              </w:rPr>
              <w:t>县级</w:t>
            </w:r>
          </w:p>
          <w:p>
            <w:pPr>
              <w:pStyle w:val="12"/>
              <w:spacing w:before="7" w:line="222" w:lineRule="auto"/>
              <w:ind w:left="249"/>
              <w:rPr>
                <w:sz w:val="22"/>
                <w:szCs w:val="22"/>
              </w:rPr>
            </w:pPr>
            <w:r>
              <w:rPr>
                <w:spacing w:val="4"/>
                <w:sz w:val="22"/>
                <w:szCs w:val="22"/>
              </w:rPr>
              <w:t>以上</w:t>
            </w:r>
          </w:p>
        </w:tc>
        <w:tc>
          <w:tcPr>
            <w:tcW w:w="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9" w:hRule="atLeast"/>
        </w:trPr>
        <w:tc>
          <w:tcPr>
            <w:tcW w:w="72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12"/>
              <w:spacing w:before="72" w:line="241" w:lineRule="auto"/>
              <w:ind w:left="244"/>
              <w:rPr>
                <w:sz w:val="22"/>
                <w:szCs w:val="22"/>
              </w:rPr>
            </w:pPr>
            <w:r>
              <w:rPr>
                <w:spacing w:val="-7"/>
                <w:sz w:val="22"/>
                <w:szCs w:val="22"/>
              </w:rPr>
              <w:t>12</w:t>
            </w:r>
          </w:p>
        </w:tc>
        <w:tc>
          <w:tcPr>
            <w:tcW w:w="1369"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2"/>
              <w:spacing w:before="71" w:line="219" w:lineRule="auto"/>
              <w:ind w:left="340" w:right="147" w:hanging="220"/>
              <w:rPr>
                <w:sz w:val="22"/>
                <w:szCs w:val="22"/>
              </w:rPr>
            </w:pPr>
            <w:r>
              <w:rPr>
                <w:spacing w:val="-2"/>
                <w:sz w:val="22"/>
                <w:szCs w:val="22"/>
              </w:rPr>
              <w:t>动物防疫监</w:t>
            </w:r>
            <w:r>
              <w:rPr>
                <w:sz w:val="22"/>
                <w:szCs w:val="22"/>
              </w:rPr>
              <w:t xml:space="preserve"> </w:t>
            </w:r>
            <w:r>
              <w:rPr>
                <w:spacing w:val="3"/>
                <w:sz w:val="22"/>
                <w:szCs w:val="22"/>
              </w:rPr>
              <w:t>督检查</w:t>
            </w:r>
          </w:p>
        </w:tc>
        <w:tc>
          <w:tcPr>
            <w:tcW w:w="163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12"/>
              <w:spacing w:before="72" w:line="218" w:lineRule="auto"/>
              <w:jc w:val="right"/>
              <w:rPr>
                <w:sz w:val="22"/>
                <w:szCs w:val="22"/>
              </w:rPr>
            </w:pPr>
            <w:r>
              <w:rPr>
                <w:spacing w:val="6"/>
                <w:sz w:val="22"/>
                <w:szCs w:val="22"/>
              </w:rPr>
              <w:t>从事动物饲养、</w:t>
            </w:r>
          </w:p>
          <w:p>
            <w:pPr>
              <w:pStyle w:val="12"/>
              <w:spacing w:line="219" w:lineRule="auto"/>
              <w:ind w:left="41"/>
              <w:rPr>
                <w:sz w:val="22"/>
                <w:szCs w:val="22"/>
              </w:rPr>
            </w:pPr>
            <w:r>
              <w:rPr>
                <w:spacing w:val="2"/>
                <w:sz w:val="22"/>
                <w:szCs w:val="22"/>
              </w:rPr>
              <w:t>屠宰、经营、隔</w:t>
            </w:r>
          </w:p>
          <w:p>
            <w:pPr>
              <w:pStyle w:val="12"/>
              <w:spacing w:before="9" w:line="201" w:lineRule="auto"/>
              <w:ind w:left="41"/>
              <w:rPr>
                <w:sz w:val="22"/>
                <w:szCs w:val="22"/>
              </w:rPr>
            </w:pPr>
            <w:r>
              <w:rPr>
                <w:spacing w:val="2"/>
                <w:sz w:val="22"/>
                <w:szCs w:val="22"/>
              </w:rPr>
              <w:t>离、运输以及动</w:t>
            </w:r>
          </w:p>
          <w:p>
            <w:pPr>
              <w:pStyle w:val="12"/>
              <w:spacing w:line="219" w:lineRule="auto"/>
              <w:ind w:left="41"/>
              <w:rPr>
                <w:sz w:val="22"/>
                <w:szCs w:val="22"/>
              </w:rPr>
            </w:pPr>
            <w:r>
              <w:rPr>
                <w:spacing w:val="-2"/>
                <w:sz w:val="22"/>
                <w:szCs w:val="22"/>
              </w:rPr>
              <w:t>物产品生产、</w:t>
            </w:r>
            <w:r>
              <w:rPr>
                <w:rFonts w:hint="eastAsia"/>
                <w:spacing w:val="-2"/>
                <w:sz w:val="22"/>
                <w:szCs w:val="22"/>
                <w:lang w:eastAsia="zh-CN"/>
              </w:rPr>
              <w:t>经营</w:t>
            </w:r>
          </w:p>
          <w:p>
            <w:pPr>
              <w:pStyle w:val="12"/>
              <w:spacing w:before="19" w:line="219" w:lineRule="auto"/>
              <w:ind w:left="41"/>
              <w:rPr>
                <w:sz w:val="22"/>
                <w:szCs w:val="22"/>
              </w:rPr>
            </w:pPr>
            <w:r>
              <w:rPr>
                <w:spacing w:val="1"/>
                <w:sz w:val="22"/>
                <w:szCs w:val="22"/>
              </w:rPr>
              <w:t>营、加工、贮藏</w:t>
            </w:r>
          </w:p>
          <w:p>
            <w:pPr>
              <w:pStyle w:val="12"/>
              <w:spacing w:before="18" w:line="210" w:lineRule="auto"/>
              <w:ind w:left="41"/>
              <w:rPr>
                <w:sz w:val="22"/>
                <w:szCs w:val="22"/>
              </w:rPr>
            </w:pPr>
            <w:r>
              <w:rPr>
                <w:spacing w:val="2"/>
                <w:sz w:val="22"/>
                <w:szCs w:val="22"/>
              </w:rPr>
              <w:t>等活动的单位和</w:t>
            </w:r>
          </w:p>
          <w:p>
            <w:pPr>
              <w:pStyle w:val="12"/>
              <w:spacing w:line="219" w:lineRule="auto"/>
              <w:ind w:left="591"/>
              <w:rPr>
                <w:sz w:val="22"/>
                <w:szCs w:val="22"/>
              </w:rPr>
            </w:pPr>
            <w:r>
              <w:rPr>
                <w:spacing w:val="-3"/>
                <w:sz w:val="22"/>
                <w:szCs w:val="22"/>
              </w:rPr>
              <w:t>个人</w:t>
            </w:r>
          </w:p>
        </w:tc>
        <w:tc>
          <w:tcPr>
            <w:tcW w:w="9364" w:type="dxa"/>
            <w:vAlign w:val="top"/>
          </w:tcPr>
          <w:p>
            <w:pPr>
              <w:pStyle w:val="12"/>
              <w:spacing w:before="301" w:line="219" w:lineRule="auto"/>
              <w:rPr>
                <w:sz w:val="22"/>
                <w:szCs w:val="22"/>
              </w:rPr>
            </w:pPr>
            <w:r>
              <w:rPr>
                <w:sz w:val="22"/>
                <w:szCs w:val="22"/>
              </w:rPr>
              <w:t>《中华人民共和国动物防疫法》第七十四条县级以</w:t>
            </w:r>
            <w:r>
              <w:rPr>
                <w:spacing w:val="-1"/>
                <w:sz w:val="22"/>
                <w:szCs w:val="22"/>
              </w:rPr>
              <w:t>上地方人民政府农业农村主管部门依照本法规</w:t>
            </w:r>
          </w:p>
          <w:p>
            <w:pPr>
              <w:pStyle w:val="12"/>
              <w:spacing w:before="20" w:line="226" w:lineRule="auto"/>
              <w:ind w:left="12" w:firstLine="129"/>
              <w:rPr>
                <w:sz w:val="22"/>
                <w:szCs w:val="22"/>
              </w:rPr>
            </w:pPr>
            <w:r>
              <w:rPr>
                <w:spacing w:val="-1"/>
                <w:sz w:val="22"/>
                <w:szCs w:val="22"/>
              </w:rPr>
              <w:t>对动物饲养、屠宰、经营、隔离、运输以及动物产品生产、经营、加工、贮藏、运输等活动中的动物防疫实施监督管理。</w:t>
            </w:r>
          </w:p>
          <w:p>
            <w:pPr>
              <w:pStyle w:val="12"/>
              <w:spacing w:before="1" w:line="226" w:lineRule="auto"/>
              <w:ind w:left="31" w:right="211" w:hanging="19"/>
              <w:rPr>
                <w:sz w:val="22"/>
                <w:szCs w:val="22"/>
              </w:rPr>
            </w:pPr>
            <w:r>
              <w:rPr>
                <w:sz w:val="22"/>
                <w:szCs w:val="22"/>
              </w:rPr>
              <w:t>第七十六条 县级以上地方人民政府农业农村主管部门执行监督检查任务，可以采取下列措</w:t>
            </w:r>
            <w:r>
              <w:rPr>
                <w:spacing w:val="-1"/>
                <w:sz w:val="22"/>
                <w:szCs w:val="22"/>
              </w:rPr>
              <w:t>施，</w:t>
            </w:r>
            <w:r>
              <w:rPr>
                <w:sz w:val="22"/>
                <w:szCs w:val="22"/>
              </w:rPr>
              <w:t xml:space="preserve"> </w:t>
            </w:r>
            <w:r>
              <w:rPr>
                <w:spacing w:val="-1"/>
                <w:sz w:val="22"/>
                <w:szCs w:val="22"/>
              </w:rPr>
              <w:t>有关单位和个人不得拒绝或者阻碍：</w:t>
            </w:r>
          </w:p>
          <w:p>
            <w:pPr>
              <w:pStyle w:val="12"/>
              <w:spacing w:line="210" w:lineRule="auto"/>
              <w:ind w:left="142"/>
              <w:rPr>
                <w:sz w:val="22"/>
                <w:szCs w:val="22"/>
              </w:rPr>
            </w:pPr>
            <w:r>
              <w:rPr>
                <w:rFonts w:hint="eastAsia"/>
                <w:spacing w:val="4"/>
                <w:sz w:val="22"/>
                <w:szCs w:val="22"/>
                <w:lang w:eastAsia="zh-CN"/>
              </w:rPr>
              <w:t>（</w:t>
            </w:r>
            <w:r>
              <w:rPr>
                <w:spacing w:val="4"/>
                <w:sz w:val="22"/>
                <w:szCs w:val="22"/>
              </w:rPr>
              <w:t>一</w:t>
            </w:r>
            <w:r>
              <w:rPr>
                <w:rFonts w:hint="eastAsia"/>
                <w:spacing w:val="4"/>
                <w:sz w:val="22"/>
                <w:szCs w:val="22"/>
                <w:lang w:eastAsia="zh-CN"/>
              </w:rPr>
              <w:t>）</w:t>
            </w:r>
            <w:r>
              <w:rPr>
                <w:spacing w:val="4"/>
                <w:sz w:val="22"/>
                <w:szCs w:val="22"/>
              </w:rPr>
              <w:t>对动物、动物产品按照规定采样、留验、抽检；</w:t>
            </w:r>
          </w:p>
          <w:p>
            <w:pPr>
              <w:pStyle w:val="12"/>
              <w:spacing w:line="219" w:lineRule="auto"/>
              <w:ind w:left="142"/>
              <w:rPr>
                <w:sz w:val="22"/>
                <w:szCs w:val="22"/>
              </w:rPr>
            </w:pPr>
            <w:r>
              <w:rPr>
                <w:rFonts w:hint="eastAsia"/>
                <w:spacing w:val="3"/>
                <w:sz w:val="22"/>
                <w:szCs w:val="22"/>
                <w:lang w:eastAsia="zh-CN"/>
              </w:rPr>
              <w:t>（</w:t>
            </w:r>
            <w:r>
              <w:rPr>
                <w:spacing w:val="3"/>
                <w:sz w:val="22"/>
                <w:szCs w:val="22"/>
              </w:rPr>
              <w:t>二</w:t>
            </w:r>
            <w:r>
              <w:rPr>
                <w:rFonts w:hint="eastAsia"/>
                <w:spacing w:val="3"/>
                <w:sz w:val="22"/>
                <w:szCs w:val="22"/>
                <w:lang w:eastAsia="zh-CN"/>
              </w:rPr>
              <w:t>）</w:t>
            </w:r>
            <w:r>
              <w:rPr>
                <w:spacing w:val="3"/>
                <w:sz w:val="22"/>
                <w:szCs w:val="22"/>
              </w:rPr>
              <w:t>对染疫或者疑似染疫的动物、动物产品及相关物品进行隔离、查</w:t>
            </w:r>
            <w:r>
              <w:rPr>
                <w:spacing w:val="2"/>
                <w:sz w:val="22"/>
                <w:szCs w:val="22"/>
              </w:rPr>
              <w:t>封、扣押和处理；</w:t>
            </w:r>
          </w:p>
          <w:p>
            <w:pPr>
              <w:pStyle w:val="12"/>
              <w:spacing w:before="18" w:line="227" w:lineRule="auto"/>
              <w:ind w:left="12" w:right="201" w:firstLine="110"/>
              <w:rPr>
                <w:sz w:val="22"/>
                <w:szCs w:val="22"/>
              </w:rPr>
            </w:pPr>
            <w:r>
              <w:rPr>
                <w:rFonts w:hint="eastAsia"/>
                <w:sz w:val="22"/>
                <w:szCs w:val="22"/>
                <w:lang w:eastAsia="zh-CN"/>
              </w:rPr>
              <w:t>（</w:t>
            </w:r>
            <w:r>
              <w:rPr>
                <w:sz w:val="22"/>
                <w:szCs w:val="22"/>
              </w:rPr>
              <w:t>三</w:t>
            </w:r>
            <w:r>
              <w:rPr>
                <w:rFonts w:hint="eastAsia"/>
                <w:sz w:val="22"/>
                <w:szCs w:val="22"/>
                <w:lang w:eastAsia="zh-CN"/>
              </w:rPr>
              <w:t>）</w:t>
            </w:r>
            <w:r>
              <w:rPr>
                <w:sz w:val="22"/>
                <w:szCs w:val="22"/>
              </w:rPr>
              <w:t>对依法应当检疫而未经检疫的动物和动物产品，具备补检条件的实施补检，不具备补检条</w:t>
            </w:r>
            <w:r>
              <w:rPr>
                <w:spacing w:val="8"/>
                <w:sz w:val="22"/>
                <w:szCs w:val="22"/>
              </w:rPr>
              <w:t xml:space="preserve"> </w:t>
            </w:r>
            <w:r>
              <w:rPr>
                <w:spacing w:val="12"/>
                <w:sz w:val="22"/>
                <w:szCs w:val="22"/>
              </w:rPr>
              <w:t>件的予以收缴销毁；</w:t>
            </w:r>
          </w:p>
          <w:p>
            <w:pPr>
              <w:pStyle w:val="12"/>
              <w:spacing w:line="210" w:lineRule="auto"/>
              <w:ind w:left="142"/>
              <w:rPr>
                <w:sz w:val="22"/>
                <w:szCs w:val="22"/>
              </w:rPr>
            </w:pPr>
            <w:r>
              <w:rPr>
                <w:rFonts w:hint="eastAsia"/>
                <w:spacing w:val="5"/>
                <w:sz w:val="22"/>
                <w:szCs w:val="22"/>
                <w:lang w:eastAsia="zh-CN"/>
              </w:rPr>
              <w:t>（</w:t>
            </w:r>
            <w:r>
              <w:rPr>
                <w:spacing w:val="5"/>
                <w:sz w:val="22"/>
                <w:szCs w:val="22"/>
              </w:rPr>
              <w:t>四</w:t>
            </w:r>
            <w:r>
              <w:rPr>
                <w:rFonts w:hint="eastAsia"/>
                <w:spacing w:val="5"/>
                <w:sz w:val="22"/>
                <w:szCs w:val="22"/>
                <w:lang w:eastAsia="zh-CN"/>
              </w:rPr>
              <w:t>）</w:t>
            </w:r>
            <w:r>
              <w:rPr>
                <w:spacing w:val="5"/>
                <w:sz w:val="22"/>
                <w:szCs w:val="22"/>
              </w:rPr>
              <w:t>查验检疫证明、检疫标志和畜禽标识；</w:t>
            </w:r>
          </w:p>
          <w:p>
            <w:pPr>
              <w:pStyle w:val="12"/>
              <w:spacing w:before="1" w:line="220" w:lineRule="auto"/>
              <w:ind w:left="142"/>
              <w:rPr>
                <w:sz w:val="22"/>
                <w:szCs w:val="22"/>
              </w:rPr>
            </w:pPr>
            <w:r>
              <w:rPr>
                <w:rFonts w:hint="eastAsia"/>
                <w:sz w:val="22"/>
                <w:szCs w:val="22"/>
                <w:lang w:eastAsia="zh-CN"/>
              </w:rPr>
              <w:t>（</w:t>
            </w:r>
            <w:r>
              <w:rPr>
                <w:sz w:val="22"/>
                <w:szCs w:val="22"/>
              </w:rPr>
              <w:t>五</w:t>
            </w:r>
            <w:r>
              <w:rPr>
                <w:rFonts w:hint="eastAsia"/>
                <w:sz w:val="22"/>
                <w:szCs w:val="22"/>
                <w:lang w:eastAsia="zh-CN"/>
              </w:rPr>
              <w:t>）</w:t>
            </w:r>
            <w:r>
              <w:rPr>
                <w:sz w:val="22"/>
                <w:szCs w:val="22"/>
              </w:rPr>
              <w:t>进入有关场所调查取证，查阅、复制与动物防疫有关的资料。</w:t>
            </w:r>
          </w:p>
        </w:tc>
        <w:tc>
          <w:tcPr>
            <w:tcW w:w="1289"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12"/>
              <w:spacing w:line="218" w:lineRule="auto"/>
              <w:ind w:left="318"/>
              <w:rPr>
                <w:rFonts w:hint="eastAsia" w:eastAsia="宋体"/>
                <w:sz w:val="22"/>
                <w:szCs w:val="22"/>
                <w:lang w:eastAsia="zh-CN"/>
              </w:rPr>
            </w:pPr>
            <w:r>
              <w:rPr>
                <w:rFonts w:hint="eastAsia"/>
                <w:spacing w:val="1"/>
                <w:sz w:val="22"/>
                <w:szCs w:val="22"/>
                <w:lang w:eastAsia="zh-CN"/>
              </w:rPr>
              <w:t>芒市农业农村局</w:t>
            </w:r>
          </w:p>
        </w:tc>
        <w:tc>
          <w:tcPr>
            <w:tcW w:w="94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12"/>
              <w:spacing w:before="71" w:line="202" w:lineRule="auto"/>
              <w:ind w:left="249"/>
              <w:rPr>
                <w:sz w:val="22"/>
                <w:szCs w:val="22"/>
              </w:rPr>
            </w:pPr>
            <w:r>
              <w:rPr>
                <w:spacing w:val="6"/>
                <w:sz w:val="22"/>
                <w:szCs w:val="22"/>
              </w:rPr>
              <w:t>县级</w:t>
            </w:r>
          </w:p>
          <w:p>
            <w:pPr>
              <w:pStyle w:val="12"/>
              <w:spacing w:line="222" w:lineRule="auto"/>
              <w:ind w:left="249"/>
              <w:rPr>
                <w:sz w:val="22"/>
                <w:szCs w:val="22"/>
              </w:rPr>
            </w:pPr>
            <w:r>
              <w:rPr>
                <w:spacing w:val="4"/>
                <w:sz w:val="22"/>
                <w:szCs w:val="22"/>
              </w:rPr>
              <w:t>以上</w:t>
            </w:r>
          </w:p>
        </w:tc>
        <w:tc>
          <w:tcPr>
            <w:tcW w:w="6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900" w:h="11900"/>
          <w:pgMar w:top="1011" w:right="435" w:bottom="993" w:left="435" w:header="0" w:footer="656" w:gutter="0"/>
          <w:cols w:space="720" w:num="1"/>
        </w:sectPr>
      </w:pPr>
    </w:p>
    <w:p>
      <w:pPr>
        <w:spacing w:line="43" w:lineRule="exact"/>
      </w:pPr>
    </w:p>
    <w:tbl>
      <w:tblPr>
        <w:tblStyle w:val="13"/>
        <w:tblW w:w="16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379"/>
        <w:gridCol w:w="1619"/>
        <w:gridCol w:w="9384"/>
        <w:gridCol w:w="1279"/>
        <w:gridCol w:w="939"/>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25" w:type="dxa"/>
            <w:vAlign w:val="top"/>
          </w:tcPr>
          <w:p>
            <w:pPr>
              <w:pStyle w:val="12"/>
              <w:spacing w:before="262" w:line="221" w:lineRule="auto"/>
              <w:ind w:left="138"/>
              <w:rPr>
                <w:sz w:val="22"/>
                <w:szCs w:val="22"/>
              </w:rPr>
            </w:pPr>
            <w:r>
              <w:rPr>
                <w:b/>
                <w:bCs/>
                <w:spacing w:val="-5"/>
                <w:sz w:val="22"/>
                <w:szCs w:val="22"/>
              </w:rPr>
              <w:t>序号</w:t>
            </w:r>
          </w:p>
        </w:tc>
        <w:tc>
          <w:tcPr>
            <w:tcW w:w="1379" w:type="dxa"/>
            <w:vAlign w:val="top"/>
          </w:tcPr>
          <w:p>
            <w:pPr>
              <w:pStyle w:val="12"/>
              <w:spacing w:before="260" w:line="219" w:lineRule="auto"/>
              <w:ind w:left="243"/>
              <w:rPr>
                <w:sz w:val="22"/>
                <w:szCs w:val="22"/>
              </w:rPr>
            </w:pPr>
            <w:r>
              <w:rPr>
                <w:b/>
                <w:bCs/>
                <w:spacing w:val="-4"/>
                <w:sz w:val="22"/>
                <w:szCs w:val="22"/>
              </w:rPr>
              <w:t>检查事项</w:t>
            </w:r>
          </w:p>
        </w:tc>
        <w:tc>
          <w:tcPr>
            <w:tcW w:w="1619" w:type="dxa"/>
            <w:vAlign w:val="top"/>
          </w:tcPr>
          <w:p>
            <w:pPr>
              <w:pStyle w:val="12"/>
              <w:spacing w:before="260" w:line="219" w:lineRule="auto"/>
              <w:ind w:left="364"/>
              <w:rPr>
                <w:sz w:val="22"/>
                <w:szCs w:val="22"/>
              </w:rPr>
            </w:pPr>
            <w:r>
              <w:rPr>
                <w:b/>
                <w:bCs/>
                <w:spacing w:val="-4"/>
                <w:sz w:val="22"/>
                <w:szCs w:val="22"/>
              </w:rPr>
              <w:t>检查对象</w:t>
            </w:r>
          </w:p>
        </w:tc>
        <w:tc>
          <w:tcPr>
            <w:tcW w:w="9384" w:type="dxa"/>
            <w:vAlign w:val="top"/>
          </w:tcPr>
          <w:p>
            <w:pPr>
              <w:pStyle w:val="12"/>
              <w:spacing w:before="259" w:line="219" w:lineRule="auto"/>
              <w:ind w:left="4275"/>
              <w:rPr>
                <w:sz w:val="22"/>
                <w:szCs w:val="22"/>
              </w:rPr>
            </w:pPr>
            <w:r>
              <w:rPr>
                <w:b/>
                <w:bCs/>
                <w:spacing w:val="-4"/>
                <w:sz w:val="22"/>
                <w:szCs w:val="22"/>
              </w:rPr>
              <w:t>检查依据</w:t>
            </w:r>
          </w:p>
        </w:tc>
        <w:tc>
          <w:tcPr>
            <w:tcW w:w="1279" w:type="dxa"/>
            <w:vAlign w:val="top"/>
          </w:tcPr>
          <w:p>
            <w:pPr>
              <w:pStyle w:val="12"/>
              <w:spacing w:before="131" w:line="219" w:lineRule="auto"/>
              <w:ind w:left="91"/>
              <w:rPr>
                <w:sz w:val="22"/>
                <w:szCs w:val="22"/>
              </w:rPr>
            </w:pPr>
            <w:r>
              <w:rPr>
                <w:b/>
                <w:bCs/>
                <w:spacing w:val="-4"/>
                <w:sz w:val="22"/>
                <w:szCs w:val="22"/>
              </w:rPr>
              <w:t>法定实施</w:t>
            </w:r>
            <w:r>
              <w:rPr>
                <w:rFonts w:hint="eastAsia"/>
                <w:b/>
                <w:bCs/>
                <w:spacing w:val="-4"/>
                <w:sz w:val="22"/>
                <w:szCs w:val="22"/>
                <w:lang w:eastAsia="zh-CN"/>
              </w:rPr>
              <w:t>主体</w:t>
            </w:r>
          </w:p>
          <w:p>
            <w:pPr>
              <w:pStyle w:val="12"/>
              <w:spacing w:line="220" w:lineRule="auto"/>
              <w:ind w:left="531"/>
              <w:rPr>
                <w:sz w:val="22"/>
                <w:szCs w:val="22"/>
              </w:rPr>
            </w:pPr>
            <w:r>
              <w:rPr>
                <w:b/>
                <w:bCs/>
                <w:spacing w:val="-3"/>
                <w:sz w:val="22"/>
                <w:szCs w:val="22"/>
              </w:rPr>
              <w:t>体</w:t>
            </w:r>
          </w:p>
        </w:tc>
        <w:tc>
          <w:tcPr>
            <w:tcW w:w="939" w:type="dxa"/>
            <w:vAlign w:val="top"/>
          </w:tcPr>
          <w:p>
            <w:pPr>
              <w:pStyle w:val="12"/>
              <w:spacing w:before="111" w:line="220" w:lineRule="auto"/>
              <w:ind w:left="142"/>
              <w:rPr>
                <w:sz w:val="22"/>
                <w:szCs w:val="22"/>
              </w:rPr>
            </w:pPr>
            <w:r>
              <w:rPr>
                <w:b/>
                <w:bCs/>
                <w:spacing w:val="-5"/>
                <w:sz w:val="22"/>
                <w:szCs w:val="22"/>
              </w:rPr>
              <w:t>法定行</w:t>
            </w:r>
          </w:p>
          <w:p>
            <w:pPr>
              <w:pStyle w:val="12"/>
              <w:spacing w:before="17" w:line="219" w:lineRule="auto"/>
              <w:ind w:left="142"/>
              <w:rPr>
                <w:sz w:val="22"/>
                <w:szCs w:val="22"/>
              </w:rPr>
            </w:pPr>
            <w:r>
              <w:rPr>
                <w:b/>
                <w:bCs/>
                <w:spacing w:val="-5"/>
                <w:sz w:val="22"/>
                <w:szCs w:val="22"/>
              </w:rPr>
              <w:t>使层级</w:t>
            </w:r>
          </w:p>
        </w:tc>
        <w:tc>
          <w:tcPr>
            <w:tcW w:w="685" w:type="dxa"/>
            <w:vAlign w:val="top"/>
          </w:tcPr>
          <w:p>
            <w:pPr>
              <w:pStyle w:val="12"/>
              <w:spacing w:before="262" w:line="221" w:lineRule="auto"/>
              <w:ind w:left="143"/>
              <w:rPr>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3" w:hRule="atLeast"/>
        </w:trPr>
        <w:tc>
          <w:tcPr>
            <w:tcW w:w="72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2"/>
              <w:spacing w:before="72"/>
              <w:ind w:left="245"/>
              <w:rPr>
                <w:sz w:val="22"/>
                <w:szCs w:val="22"/>
              </w:rPr>
            </w:pPr>
            <w:r>
              <w:rPr>
                <w:spacing w:val="-7"/>
                <w:sz w:val="22"/>
                <w:szCs w:val="22"/>
              </w:rPr>
              <w:t>13</w:t>
            </w:r>
          </w:p>
        </w:tc>
        <w:tc>
          <w:tcPr>
            <w:tcW w:w="137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2"/>
              <w:spacing w:before="71" w:line="219" w:lineRule="auto"/>
              <w:ind w:left="130"/>
              <w:rPr>
                <w:sz w:val="22"/>
                <w:szCs w:val="22"/>
              </w:rPr>
            </w:pPr>
            <w:r>
              <w:rPr>
                <w:spacing w:val="-2"/>
                <w:sz w:val="22"/>
                <w:szCs w:val="22"/>
              </w:rPr>
              <w:t>渔业渔政</w:t>
            </w:r>
            <w:r>
              <w:rPr>
                <w:rFonts w:hint="eastAsia"/>
                <w:spacing w:val="-2"/>
                <w:sz w:val="22"/>
                <w:szCs w:val="22"/>
                <w:lang w:val="en-US" w:eastAsia="zh-CN"/>
              </w:rPr>
              <w:t>监督</w:t>
            </w:r>
            <w:r>
              <w:rPr>
                <w:spacing w:val="-2"/>
                <w:sz w:val="22"/>
                <w:szCs w:val="22"/>
              </w:rPr>
              <w:t>检</w:t>
            </w:r>
            <w:r>
              <w:rPr>
                <w:sz w:val="22"/>
                <w:szCs w:val="22"/>
              </w:rPr>
              <w:t>查</w:t>
            </w:r>
          </w:p>
        </w:tc>
        <w:tc>
          <w:tcPr>
            <w:tcW w:w="161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12"/>
              <w:spacing w:before="72" w:line="219" w:lineRule="auto"/>
              <w:ind w:left="31"/>
              <w:rPr>
                <w:sz w:val="22"/>
                <w:szCs w:val="22"/>
              </w:rPr>
            </w:pPr>
            <w:r>
              <w:rPr>
                <w:spacing w:val="-2"/>
                <w:sz w:val="22"/>
                <w:szCs w:val="22"/>
              </w:rPr>
              <w:t>本行政区域内从</w:t>
            </w:r>
          </w:p>
          <w:p>
            <w:pPr>
              <w:pStyle w:val="12"/>
              <w:spacing w:before="10" w:line="219" w:lineRule="auto"/>
              <w:ind w:left="31"/>
              <w:rPr>
                <w:sz w:val="22"/>
                <w:szCs w:val="22"/>
              </w:rPr>
            </w:pPr>
            <w:r>
              <w:rPr>
                <w:rFonts w:hint="eastAsia"/>
                <w:spacing w:val="-1"/>
                <w:sz w:val="22"/>
                <w:szCs w:val="22"/>
                <w:lang w:eastAsia="zh-CN"/>
              </w:rPr>
              <w:t>渔业养</w:t>
            </w:r>
            <w:r>
              <w:rPr>
                <w:spacing w:val="-1"/>
                <w:sz w:val="22"/>
                <w:szCs w:val="22"/>
              </w:rPr>
              <w:t>殖、捕捞</w:t>
            </w:r>
          </w:p>
          <w:p>
            <w:pPr>
              <w:pStyle w:val="12"/>
              <w:spacing w:before="8" w:line="211" w:lineRule="auto"/>
              <w:ind w:left="31"/>
              <w:rPr>
                <w:sz w:val="22"/>
                <w:szCs w:val="22"/>
              </w:rPr>
            </w:pPr>
            <w:r>
              <w:rPr>
                <w:sz w:val="22"/>
                <w:szCs w:val="22"/>
              </w:rPr>
              <w:t>、加工等活动的</w:t>
            </w:r>
          </w:p>
          <w:p>
            <w:pPr>
              <w:pStyle w:val="12"/>
              <w:spacing w:line="220" w:lineRule="auto"/>
              <w:ind w:left="581"/>
              <w:rPr>
                <w:sz w:val="22"/>
                <w:szCs w:val="22"/>
              </w:rPr>
            </w:pPr>
            <w:r>
              <w:rPr>
                <w:spacing w:val="-3"/>
                <w:sz w:val="22"/>
                <w:szCs w:val="22"/>
              </w:rPr>
              <w:t>主体</w:t>
            </w:r>
          </w:p>
        </w:tc>
        <w:tc>
          <w:tcPr>
            <w:tcW w:w="9384" w:type="dxa"/>
            <w:vAlign w:val="top"/>
          </w:tcPr>
          <w:p>
            <w:pPr>
              <w:pStyle w:val="12"/>
              <w:spacing w:before="71" w:line="219" w:lineRule="auto"/>
              <w:rPr>
                <w:sz w:val="22"/>
                <w:szCs w:val="22"/>
              </w:rPr>
            </w:pPr>
            <w:r>
              <w:rPr>
                <w:sz w:val="22"/>
                <w:szCs w:val="22"/>
              </w:rPr>
              <w:t>《中华人民共和国渔业法》第六条</w:t>
            </w:r>
            <w:r>
              <w:rPr>
                <w:rFonts w:hint="eastAsia"/>
                <w:sz w:val="22"/>
                <w:szCs w:val="22"/>
                <w:lang w:val="en-US" w:eastAsia="zh-CN"/>
              </w:rPr>
              <w:t xml:space="preserve"> </w:t>
            </w:r>
            <w:r>
              <w:rPr>
                <w:sz w:val="22"/>
                <w:szCs w:val="22"/>
              </w:rPr>
              <w:t>国务院渔业行政</w:t>
            </w:r>
            <w:r>
              <w:rPr>
                <w:spacing w:val="-1"/>
                <w:sz w:val="22"/>
                <w:szCs w:val="22"/>
              </w:rPr>
              <w:t>主管部门主管全国的渔业工作。县级以上地</w:t>
            </w:r>
          </w:p>
          <w:p>
            <w:pPr>
              <w:pStyle w:val="12"/>
              <w:spacing w:before="8" w:line="222" w:lineRule="auto"/>
              <w:ind w:left="22" w:right="90" w:firstLine="9"/>
              <w:rPr>
                <w:sz w:val="22"/>
                <w:szCs w:val="22"/>
              </w:rPr>
            </w:pPr>
            <w:r>
              <w:rPr>
                <w:sz w:val="22"/>
                <w:szCs w:val="22"/>
              </w:rPr>
              <w:t>方人民政府渔业行政主管部门主管本行政区域内的渔业工作。县级以上人民政府渔业行政主管部</w:t>
            </w:r>
            <w:r>
              <w:rPr>
                <w:spacing w:val="10"/>
                <w:sz w:val="22"/>
                <w:szCs w:val="22"/>
              </w:rPr>
              <w:t xml:space="preserve"> </w:t>
            </w:r>
            <w:r>
              <w:rPr>
                <w:sz w:val="22"/>
                <w:szCs w:val="22"/>
              </w:rPr>
              <w:t>门可以在重要渔业水域、渔港设渔政监督管理机构。县级以上人民政府渔业行政主管部门及其</w:t>
            </w:r>
          </w:p>
          <w:p>
            <w:pPr>
              <w:pStyle w:val="12"/>
              <w:spacing w:line="231" w:lineRule="auto"/>
              <w:ind w:left="12" w:right="85" w:firstLine="19"/>
              <w:rPr>
                <w:sz w:val="22"/>
                <w:szCs w:val="22"/>
              </w:rPr>
            </w:pPr>
            <w:r>
              <w:rPr>
                <w:sz w:val="22"/>
                <w:szCs w:val="22"/>
              </w:rPr>
              <w:t>所属的渔政监督管理机构可以设渔政检查人员。渔政检查人员执行渔业行政主管部门及其所属的</w:t>
            </w:r>
            <w:r>
              <w:rPr>
                <w:spacing w:val="15"/>
                <w:sz w:val="22"/>
                <w:szCs w:val="22"/>
              </w:rPr>
              <w:t xml:space="preserve"> </w:t>
            </w:r>
            <w:r>
              <w:rPr>
                <w:spacing w:val="-1"/>
                <w:sz w:val="22"/>
                <w:szCs w:val="22"/>
              </w:rPr>
              <w:t>渔政监督管理机构交付的任务。</w:t>
            </w:r>
          </w:p>
          <w:p>
            <w:pPr>
              <w:pStyle w:val="12"/>
              <w:spacing w:line="223" w:lineRule="auto"/>
              <w:ind w:left="11" w:right="112" w:firstLine="30"/>
              <w:rPr>
                <w:sz w:val="22"/>
                <w:szCs w:val="22"/>
              </w:rPr>
            </w:pPr>
            <w:r>
              <w:rPr>
                <w:sz w:val="22"/>
                <w:szCs w:val="22"/>
              </w:rPr>
              <w:t>《中华人民共和国长江保护法》第七十九</w:t>
            </w:r>
            <w:r>
              <w:rPr>
                <w:rFonts w:hint="eastAsia"/>
                <w:sz w:val="22"/>
                <w:szCs w:val="22"/>
                <w:lang w:eastAsia="zh-CN"/>
              </w:rPr>
              <w:t>条第</w:t>
            </w:r>
            <w:r>
              <w:rPr>
                <w:sz w:val="22"/>
                <w:szCs w:val="22"/>
              </w:rPr>
              <w:t>一</w:t>
            </w:r>
            <w:r>
              <w:rPr>
                <w:spacing w:val="-1"/>
                <w:sz w:val="22"/>
                <w:szCs w:val="22"/>
              </w:rPr>
              <w:t>款</w:t>
            </w:r>
            <w:r>
              <w:rPr>
                <w:spacing w:val="31"/>
                <w:sz w:val="22"/>
                <w:szCs w:val="22"/>
              </w:rPr>
              <w:t xml:space="preserve"> </w:t>
            </w:r>
            <w:r>
              <w:rPr>
                <w:spacing w:val="-1"/>
                <w:sz w:val="22"/>
                <w:szCs w:val="22"/>
              </w:rPr>
              <w:t>国务院有关部门和长江流域县级以上地方人民</w:t>
            </w:r>
            <w:r>
              <w:rPr>
                <w:sz w:val="22"/>
                <w:szCs w:val="22"/>
              </w:rPr>
              <w:t xml:space="preserve"> 政府有关部门应当依照本法规定和职责分工，对长江流域各类保护、开发、</w:t>
            </w:r>
            <w:r>
              <w:rPr>
                <w:spacing w:val="-1"/>
                <w:sz w:val="22"/>
                <w:szCs w:val="22"/>
              </w:rPr>
              <w:t>建设活动进行监督检</w:t>
            </w:r>
            <w:r>
              <w:rPr>
                <w:sz w:val="22"/>
                <w:szCs w:val="22"/>
              </w:rPr>
              <w:t xml:space="preserve"> 查，依法查处破坏长江流域自然资源、污染长江流域环境、损害长江流域生态系统等违法行为。</w:t>
            </w:r>
            <w:r>
              <w:rPr>
                <w:spacing w:val="8"/>
                <w:sz w:val="22"/>
                <w:szCs w:val="22"/>
              </w:rPr>
              <w:t xml:space="preserve"> </w:t>
            </w:r>
            <w:r>
              <w:rPr>
                <w:sz w:val="22"/>
                <w:szCs w:val="22"/>
              </w:rPr>
              <w:t>《中华人民共和国渔业法实施细则》第七条第一款渔政检查人员有权对各种渔业及渔业船舶的</w:t>
            </w:r>
            <w:r>
              <w:rPr>
                <w:spacing w:val="5"/>
                <w:sz w:val="22"/>
                <w:szCs w:val="22"/>
              </w:rPr>
              <w:t xml:space="preserve">   </w:t>
            </w:r>
            <w:r>
              <w:rPr>
                <w:sz w:val="22"/>
                <w:szCs w:val="22"/>
              </w:rPr>
              <w:t>证件、渔船、渔具、渔获物和捕捞方法，进行检查。</w:t>
            </w:r>
          </w:p>
          <w:p>
            <w:pPr>
              <w:pStyle w:val="12"/>
              <w:spacing w:line="214" w:lineRule="auto"/>
              <w:ind w:left="12" w:right="221" w:firstLine="19"/>
              <w:rPr>
                <w:sz w:val="22"/>
                <w:szCs w:val="22"/>
              </w:rPr>
            </w:pPr>
            <w:r>
              <w:rPr>
                <w:sz w:val="22"/>
                <w:szCs w:val="22"/>
              </w:rPr>
              <w:t>《中华人民共和国水生野生动物保护实施条例》第三条第二款 县级以</w:t>
            </w:r>
            <w:r>
              <w:rPr>
                <w:spacing w:val="-1"/>
                <w:sz w:val="22"/>
                <w:szCs w:val="22"/>
              </w:rPr>
              <w:t>上地方人民政府渔业行政</w:t>
            </w:r>
            <w:r>
              <w:rPr>
                <w:sz w:val="22"/>
                <w:szCs w:val="22"/>
              </w:rPr>
              <w:t xml:space="preserve"> 主管部门主管本行政区域内水生野生动物管理工</w:t>
            </w:r>
            <w:r>
              <w:rPr>
                <w:spacing w:val="-1"/>
                <w:sz w:val="22"/>
                <w:szCs w:val="22"/>
              </w:rPr>
              <w:t>作。</w:t>
            </w:r>
          </w:p>
          <w:p>
            <w:pPr>
              <w:pStyle w:val="12"/>
              <w:spacing w:before="2" w:line="262" w:lineRule="auto"/>
              <w:ind w:left="12" w:right="204" w:firstLine="9"/>
              <w:rPr>
                <w:sz w:val="22"/>
                <w:szCs w:val="22"/>
              </w:rPr>
            </w:pPr>
            <w:r>
              <w:rPr>
                <w:sz w:val="22"/>
                <w:szCs w:val="22"/>
              </w:rPr>
              <w:t>第五条 渔业行政主管部门及其所属的渔政监督管理机构，有权对《</w:t>
            </w:r>
            <w:r>
              <w:rPr>
                <w:rFonts w:hint="eastAsia"/>
                <w:sz w:val="22"/>
                <w:szCs w:val="22"/>
                <w:lang w:eastAsia="zh-CN"/>
              </w:rPr>
              <w:t>中华人民共和国野生动物保护法</w:t>
            </w:r>
            <w:r>
              <w:rPr>
                <w:sz w:val="22"/>
                <w:szCs w:val="22"/>
              </w:rPr>
              <w:t>》和本条例</w:t>
            </w:r>
            <w:r>
              <w:rPr>
                <w:spacing w:val="16"/>
                <w:sz w:val="22"/>
                <w:szCs w:val="22"/>
              </w:rPr>
              <w:t xml:space="preserve"> </w:t>
            </w:r>
            <w:r>
              <w:rPr>
                <w:sz w:val="22"/>
                <w:szCs w:val="22"/>
              </w:rPr>
              <w:t>的实施情况进行监督检查，被检查的单位和个人应当给予配</w:t>
            </w:r>
            <w:r>
              <w:rPr>
                <w:spacing w:val="-1"/>
                <w:sz w:val="22"/>
                <w:szCs w:val="22"/>
              </w:rPr>
              <w:t>合。</w:t>
            </w:r>
          </w:p>
        </w:tc>
        <w:tc>
          <w:tcPr>
            <w:tcW w:w="127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80" w:lineRule="auto"/>
              <w:rPr>
                <w:rFonts w:ascii="Arial"/>
                <w:sz w:val="21"/>
              </w:rPr>
            </w:pPr>
          </w:p>
          <w:p>
            <w:pPr>
              <w:spacing w:line="280" w:lineRule="auto"/>
              <w:ind w:firstLine="420" w:firstLineChars="200"/>
              <w:rPr>
                <w:rFonts w:ascii="Arial"/>
                <w:sz w:val="21"/>
              </w:rPr>
            </w:pPr>
            <w:r>
              <w:rPr>
                <w:rFonts w:hint="eastAsia" w:ascii="Arial"/>
                <w:sz w:val="21"/>
                <w:lang w:val="en-US" w:eastAsia="zh-CN"/>
              </w:rPr>
              <w:t>芒市</w:t>
            </w:r>
            <w:r>
              <w:rPr>
                <w:rFonts w:ascii="Arial"/>
                <w:sz w:val="21"/>
              </w:rPr>
              <w:t>农业</w:t>
            </w:r>
          </w:p>
          <w:p>
            <w:pPr>
              <w:spacing w:line="280" w:lineRule="auto"/>
              <w:ind w:firstLine="420" w:firstLineChars="200"/>
              <w:rPr>
                <w:rFonts w:hint="eastAsia" w:eastAsia="宋体"/>
                <w:sz w:val="22"/>
                <w:szCs w:val="22"/>
                <w:lang w:eastAsia="zh-CN"/>
              </w:rPr>
            </w:pPr>
            <w:r>
              <w:rPr>
                <w:rFonts w:ascii="Arial"/>
                <w:sz w:val="21"/>
              </w:rPr>
              <w:t>农村</w:t>
            </w:r>
            <w:r>
              <w:rPr>
                <w:rFonts w:hint="eastAsia" w:ascii="Arial"/>
                <w:sz w:val="21"/>
                <w:lang w:val="en-US" w:eastAsia="zh-CN"/>
              </w:rPr>
              <w:t>局</w:t>
            </w:r>
          </w:p>
        </w:tc>
        <w:tc>
          <w:tcPr>
            <w:tcW w:w="93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2"/>
              <w:spacing w:before="71" w:line="194" w:lineRule="auto"/>
              <w:ind w:left="249"/>
              <w:rPr>
                <w:sz w:val="22"/>
                <w:szCs w:val="22"/>
              </w:rPr>
            </w:pPr>
            <w:r>
              <w:rPr>
                <w:spacing w:val="6"/>
                <w:sz w:val="22"/>
                <w:szCs w:val="22"/>
              </w:rPr>
              <w:t>县级</w:t>
            </w:r>
          </w:p>
          <w:p>
            <w:pPr>
              <w:pStyle w:val="12"/>
              <w:spacing w:line="222" w:lineRule="auto"/>
              <w:ind w:left="269"/>
              <w:rPr>
                <w:sz w:val="22"/>
                <w:szCs w:val="22"/>
              </w:rPr>
            </w:pPr>
            <w:r>
              <w:rPr>
                <w:spacing w:val="4"/>
                <w:sz w:val="22"/>
                <w:szCs w:val="22"/>
              </w:rPr>
              <w:t>以上</w:t>
            </w:r>
          </w:p>
        </w:tc>
        <w:tc>
          <w:tcPr>
            <w:tcW w:w="68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5" w:hRule="atLeast"/>
        </w:trPr>
        <w:tc>
          <w:tcPr>
            <w:tcW w:w="72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12"/>
              <w:spacing w:before="71" w:line="241" w:lineRule="auto"/>
              <w:ind w:left="245"/>
              <w:rPr>
                <w:sz w:val="22"/>
                <w:szCs w:val="22"/>
              </w:rPr>
            </w:pPr>
            <w:r>
              <w:rPr>
                <w:spacing w:val="-7"/>
                <w:sz w:val="22"/>
                <w:szCs w:val="22"/>
              </w:rPr>
              <w:t>14</w:t>
            </w:r>
          </w:p>
        </w:tc>
        <w:tc>
          <w:tcPr>
            <w:tcW w:w="137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12"/>
              <w:spacing w:before="71" w:line="218" w:lineRule="auto"/>
              <w:ind w:left="130"/>
              <w:rPr>
                <w:sz w:val="22"/>
                <w:szCs w:val="22"/>
              </w:rPr>
            </w:pPr>
            <w:r>
              <w:rPr>
                <w:spacing w:val="-2"/>
                <w:sz w:val="22"/>
                <w:szCs w:val="22"/>
              </w:rPr>
              <w:t>野生植物监</w:t>
            </w:r>
          </w:p>
          <w:p>
            <w:pPr>
              <w:pStyle w:val="12"/>
              <w:spacing w:line="219" w:lineRule="auto"/>
              <w:ind w:left="350"/>
              <w:rPr>
                <w:sz w:val="22"/>
                <w:szCs w:val="22"/>
              </w:rPr>
            </w:pPr>
            <w:r>
              <w:rPr>
                <w:spacing w:val="3"/>
                <w:sz w:val="22"/>
                <w:szCs w:val="22"/>
              </w:rPr>
              <w:t>督检查</w:t>
            </w:r>
          </w:p>
        </w:tc>
        <w:tc>
          <w:tcPr>
            <w:tcW w:w="1619" w:type="dxa"/>
            <w:vAlign w:val="top"/>
          </w:tcPr>
          <w:p>
            <w:pPr>
              <w:spacing w:line="355" w:lineRule="auto"/>
              <w:rPr>
                <w:rFonts w:ascii="Arial"/>
                <w:sz w:val="21"/>
              </w:rPr>
            </w:pPr>
          </w:p>
          <w:p>
            <w:pPr>
              <w:pStyle w:val="12"/>
              <w:spacing w:before="72" w:line="232" w:lineRule="auto"/>
              <w:ind w:right="21"/>
              <w:jc w:val="both"/>
              <w:rPr>
                <w:sz w:val="22"/>
                <w:szCs w:val="22"/>
              </w:rPr>
            </w:pPr>
            <w:r>
              <w:rPr>
                <w:spacing w:val="-2"/>
                <w:sz w:val="22"/>
                <w:szCs w:val="22"/>
              </w:rPr>
              <w:t>本行政区域内采</w:t>
            </w:r>
            <w:r>
              <w:rPr>
                <w:spacing w:val="3"/>
                <w:sz w:val="22"/>
                <w:szCs w:val="22"/>
              </w:rPr>
              <w:t xml:space="preserve"> </w:t>
            </w:r>
            <w:r>
              <w:rPr>
                <w:spacing w:val="2"/>
                <w:sz w:val="22"/>
                <w:szCs w:val="22"/>
              </w:rPr>
              <w:t>集国家重点保护</w:t>
            </w:r>
            <w:r>
              <w:rPr>
                <w:spacing w:val="1"/>
                <w:sz w:val="22"/>
                <w:szCs w:val="22"/>
              </w:rPr>
              <w:t xml:space="preserve"> </w:t>
            </w:r>
            <w:r>
              <w:rPr>
                <w:spacing w:val="2"/>
                <w:sz w:val="22"/>
                <w:szCs w:val="22"/>
              </w:rPr>
              <w:t>野生植物的活动</w:t>
            </w:r>
          </w:p>
        </w:tc>
        <w:tc>
          <w:tcPr>
            <w:tcW w:w="9384" w:type="dxa"/>
            <w:vAlign w:val="top"/>
          </w:tcPr>
          <w:p>
            <w:pPr>
              <w:pStyle w:val="12"/>
              <w:spacing w:before="71" w:line="227" w:lineRule="auto"/>
              <w:ind w:right="104"/>
              <w:jc w:val="both"/>
              <w:rPr>
                <w:sz w:val="22"/>
                <w:szCs w:val="22"/>
              </w:rPr>
            </w:pPr>
            <w:r>
              <w:rPr>
                <w:sz w:val="22"/>
                <w:szCs w:val="22"/>
              </w:rPr>
              <w:t>《中华人民共和国野生植物保护条例》第十七条第二款 县级人民政府</w:t>
            </w:r>
            <w:r>
              <w:rPr>
                <w:spacing w:val="-1"/>
                <w:sz w:val="22"/>
                <w:szCs w:val="22"/>
              </w:rPr>
              <w:t>野生植物行政主管部门对</w:t>
            </w:r>
            <w:r>
              <w:rPr>
                <w:sz w:val="22"/>
                <w:szCs w:val="22"/>
              </w:rPr>
              <w:t xml:space="preserve">  在本行政区域内采集国家重点保护野生植物的活动，应当进行监督检查，并及时报告批准采集的</w:t>
            </w:r>
            <w:r>
              <w:rPr>
                <w:spacing w:val="15"/>
                <w:sz w:val="22"/>
                <w:szCs w:val="22"/>
              </w:rPr>
              <w:t xml:space="preserve"> </w:t>
            </w:r>
            <w:r>
              <w:rPr>
                <w:spacing w:val="-1"/>
                <w:sz w:val="22"/>
                <w:szCs w:val="22"/>
              </w:rPr>
              <w:t>野生植物行政主管部门或者其授权的机构。</w:t>
            </w:r>
          </w:p>
          <w:p>
            <w:pPr>
              <w:pStyle w:val="12"/>
              <w:spacing w:line="218" w:lineRule="auto"/>
              <w:ind w:left="2"/>
              <w:rPr>
                <w:sz w:val="22"/>
                <w:szCs w:val="22"/>
              </w:rPr>
            </w:pPr>
            <w:r>
              <w:rPr>
                <w:sz w:val="22"/>
                <w:szCs w:val="22"/>
              </w:rPr>
              <w:t>《农业野生植物保护办法》第三条第三款  县级以上地方人民政府农业农村</w:t>
            </w:r>
            <w:r>
              <w:rPr>
                <w:rFonts w:hint="eastAsia"/>
                <w:sz w:val="22"/>
                <w:szCs w:val="22"/>
                <w:lang w:eastAsia="zh-CN"/>
              </w:rPr>
              <w:t>（</w:t>
            </w:r>
            <w:r>
              <w:rPr>
                <w:sz w:val="22"/>
                <w:szCs w:val="22"/>
              </w:rPr>
              <w:t>畜牧、渔业</w:t>
            </w:r>
            <w:r>
              <w:rPr>
                <w:rFonts w:hint="eastAsia"/>
                <w:sz w:val="22"/>
                <w:szCs w:val="22"/>
                <w:lang w:eastAsia="zh-CN"/>
              </w:rPr>
              <w:t>）</w:t>
            </w:r>
            <w:r>
              <w:rPr>
                <w:sz w:val="22"/>
                <w:szCs w:val="22"/>
              </w:rPr>
              <w:t>主管</w:t>
            </w:r>
          </w:p>
          <w:p>
            <w:pPr>
              <w:pStyle w:val="12"/>
              <w:spacing w:before="2" w:line="221" w:lineRule="auto"/>
              <w:ind w:left="12" w:right="109"/>
              <w:jc w:val="both"/>
              <w:rPr>
                <w:sz w:val="22"/>
                <w:szCs w:val="22"/>
              </w:rPr>
            </w:pPr>
            <w:r>
              <w:rPr>
                <w:sz w:val="22"/>
                <w:szCs w:val="22"/>
              </w:rPr>
              <w:t>部门</w:t>
            </w:r>
            <w:r>
              <w:rPr>
                <w:rFonts w:hint="eastAsia"/>
                <w:sz w:val="22"/>
                <w:szCs w:val="22"/>
                <w:lang w:eastAsia="zh-CN"/>
              </w:rPr>
              <w:t>（</w:t>
            </w:r>
            <w:r>
              <w:rPr>
                <w:sz w:val="22"/>
                <w:szCs w:val="22"/>
              </w:rPr>
              <w:t>以下简称农业农村主管部门</w:t>
            </w:r>
            <w:r>
              <w:rPr>
                <w:rFonts w:hint="eastAsia"/>
                <w:sz w:val="22"/>
                <w:szCs w:val="22"/>
                <w:lang w:eastAsia="zh-CN"/>
              </w:rPr>
              <w:t>）</w:t>
            </w:r>
            <w:r>
              <w:rPr>
                <w:sz w:val="22"/>
                <w:szCs w:val="22"/>
              </w:rPr>
              <w:t>依据《条例》和本办</w:t>
            </w:r>
            <w:r>
              <w:rPr>
                <w:rFonts w:hint="eastAsia"/>
                <w:sz w:val="22"/>
                <w:szCs w:val="22"/>
                <w:lang w:eastAsia="zh-CN"/>
              </w:rPr>
              <w:t>法的</w:t>
            </w:r>
            <w:r>
              <w:rPr>
                <w:sz w:val="22"/>
                <w:szCs w:val="22"/>
              </w:rPr>
              <w:t>规定负责本行政区域内野生植物监督管</w:t>
            </w:r>
            <w:r>
              <w:rPr>
                <w:spacing w:val="11"/>
                <w:sz w:val="22"/>
                <w:szCs w:val="22"/>
              </w:rPr>
              <w:t xml:space="preserve"> </w:t>
            </w:r>
            <w:r>
              <w:rPr>
                <w:spacing w:val="-1"/>
                <w:sz w:val="22"/>
                <w:szCs w:val="22"/>
              </w:rPr>
              <w:t>理工作。</w:t>
            </w:r>
          </w:p>
        </w:tc>
        <w:tc>
          <w:tcPr>
            <w:tcW w:w="127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12"/>
              <w:spacing w:before="7" w:line="219" w:lineRule="auto"/>
              <w:ind w:left="308"/>
              <w:rPr>
                <w:rFonts w:hint="eastAsia" w:eastAsia="宋体"/>
                <w:sz w:val="22"/>
                <w:szCs w:val="22"/>
                <w:lang w:eastAsia="zh-CN"/>
              </w:rPr>
            </w:pPr>
            <w:r>
              <w:rPr>
                <w:rFonts w:hint="eastAsia"/>
                <w:spacing w:val="1"/>
                <w:sz w:val="22"/>
                <w:szCs w:val="22"/>
                <w:lang w:eastAsia="zh-CN"/>
              </w:rPr>
              <w:t>芒市农业农村局</w:t>
            </w:r>
          </w:p>
        </w:tc>
        <w:tc>
          <w:tcPr>
            <w:tcW w:w="93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12"/>
              <w:spacing w:before="71" w:line="221" w:lineRule="auto"/>
              <w:ind w:left="249"/>
              <w:rPr>
                <w:sz w:val="22"/>
                <w:szCs w:val="22"/>
              </w:rPr>
            </w:pPr>
            <w:r>
              <w:rPr>
                <w:spacing w:val="6"/>
                <w:sz w:val="22"/>
                <w:szCs w:val="22"/>
              </w:rPr>
              <w:t>县级</w:t>
            </w:r>
          </w:p>
          <w:p>
            <w:pPr>
              <w:pStyle w:val="12"/>
              <w:spacing w:before="27" w:line="222" w:lineRule="auto"/>
              <w:ind w:left="249"/>
              <w:rPr>
                <w:sz w:val="22"/>
                <w:szCs w:val="22"/>
              </w:rPr>
            </w:pPr>
            <w:r>
              <w:rPr>
                <w:spacing w:val="4"/>
                <w:sz w:val="22"/>
                <w:szCs w:val="22"/>
              </w:rPr>
              <w:t>以上</w:t>
            </w:r>
          </w:p>
        </w:tc>
        <w:tc>
          <w:tcPr>
            <w:tcW w:w="68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900" w:h="11900"/>
          <w:pgMar w:top="1011" w:right="455" w:bottom="956" w:left="424" w:header="0" w:footer="642" w:gutter="0"/>
          <w:cols w:space="720" w:num="1"/>
        </w:sectPr>
      </w:pPr>
    </w:p>
    <w:p>
      <w:pPr>
        <w:spacing w:line="43" w:lineRule="exact"/>
      </w:pPr>
    </w:p>
    <w:tbl>
      <w:tblPr>
        <w:tblStyle w:val="13"/>
        <w:tblW w:w="16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379"/>
        <w:gridCol w:w="1619"/>
        <w:gridCol w:w="9404"/>
        <w:gridCol w:w="1269"/>
        <w:gridCol w:w="949"/>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14" w:type="dxa"/>
            <w:vAlign w:val="top"/>
          </w:tcPr>
          <w:p>
            <w:pPr>
              <w:pStyle w:val="12"/>
              <w:spacing w:before="262" w:line="221" w:lineRule="auto"/>
              <w:ind w:left="128"/>
              <w:rPr>
                <w:sz w:val="22"/>
                <w:szCs w:val="22"/>
              </w:rPr>
            </w:pPr>
            <w:r>
              <w:rPr>
                <w:b/>
                <w:bCs/>
                <w:spacing w:val="-5"/>
                <w:sz w:val="22"/>
                <w:szCs w:val="22"/>
              </w:rPr>
              <w:t>序号</w:t>
            </w:r>
          </w:p>
        </w:tc>
        <w:tc>
          <w:tcPr>
            <w:tcW w:w="1379" w:type="dxa"/>
            <w:vAlign w:val="top"/>
          </w:tcPr>
          <w:p>
            <w:pPr>
              <w:pStyle w:val="12"/>
              <w:spacing w:before="260" w:line="219" w:lineRule="auto"/>
              <w:ind w:left="244"/>
              <w:rPr>
                <w:sz w:val="22"/>
                <w:szCs w:val="22"/>
              </w:rPr>
            </w:pPr>
            <w:r>
              <w:rPr>
                <w:b/>
                <w:bCs/>
                <w:spacing w:val="-4"/>
                <w:sz w:val="22"/>
                <w:szCs w:val="22"/>
              </w:rPr>
              <w:t>检查事项</w:t>
            </w:r>
          </w:p>
        </w:tc>
        <w:tc>
          <w:tcPr>
            <w:tcW w:w="1619" w:type="dxa"/>
            <w:vAlign w:val="top"/>
          </w:tcPr>
          <w:p>
            <w:pPr>
              <w:pStyle w:val="12"/>
              <w:spacing w:before="260" w:line="219" w:lineRule="auto"/>
              <w:ind w:left="365"/>
              <w:rPr>
                <w:sz w:val="22"/>
                <w:szCs w:val="22"/>
              </w:rPr>
            </w:pPr>
            <w:r>
              <w:rPr>
                <w:b/>
                <w:bCs/>
                <w:spacing w:val="-4"/>
                <w:sz w:val="22"/>
                <w:szCs w:val="22"/>
              </w:rPr>
              <w:t>检查对象</w:t>
            </w:r>
          </w:p>
        </w:tc>
        <w:tc>
          <w:tcPr>
            <w:tcW w:w="9404" w:type="dxa"/>
            <w:vAlign w:val="top"/>
          </w:tcPr>
          <w:p>
            <w:pPr>
              <w:pStyle w:val="12"/>
              <w:spacing w:before="259" w:line="219" w:lineRule="auto"/>
              <w:ind w:left="4256"/>
              <w:rPr>
                <w:sz w:val="22"/>
                <w:szCs w:val="22"/>
              </w:rPr>
            </w:pPr>
            <w:r>
              <w:rPr>
                <w:b/>
                <w:bCs/>
                <w:spacing w:val="-4"/>
                <w:sz w:val="22"/>
                <w:szCs w:val="22"/>
              </w:rPr>
              <w:t>检查依据</w:t>
            </w:r>
          </w:p>
        </w:tc>
        <w:tc>
          <w:tcPr>
            <w:tcW w:w="1269" w:type="dxa"/>
            <w:vAlign w:val="top"/>
          </w:tcPr>
          <w:p>
            <w:pPr>
              <w:pStyle w:val="12"/>
              <w:spacing w:before="141" w:line="219" w:lineRule="auto"/>
              <w:ind w:left="82"/>
              <w:rPr>
                <w:sz w:val="22"/>
                <w:szCs w:val="22"/>
              </w:rPr>
            </w:pPr>
            <w:r>
              <w:rPr>
                <w:b/>
                <w:bCs/>
                <w:spacing w:val="-4"/>
                <w:sz w:val="22"/>
                <w:szCs w:val="22"/>
              </w:rPr>
              <w:t>法定实施</w:t>
            </w:r>
            <w:r>
              <w:rPr>
                <w:rFonts w:hint="eastAsia"/>
                <w:b/>
                <w:bCs/>
                <w:spacing w:val="-4"/>
                <w:sz w:val="22"/>
                <w:szCs w:val="22"/>
                <w:lang w:eastAsia="zh-CN"/>
              </w:rPr>
              <w:t>主体</w:t>
            </w:r>
          </w:p>
          <w:p>
            <w:pPr>
              <w:pStyle w:val="12"/>
              <w:spacing w:line="220" w:lineRule="auto"/>
              <w:ind w:left="522"/>
              <w:rPr>
                <w:sz w:val="22"/>
                <w:szCs w:val="22"/>
              </w:rPr>
            </w:pPr>
            <w:r>
              <w:rPr>
                <w:b/>
                <w:bCs/>
                <w:spacing w:val="-3"/>
                <w:sz w:val="22"/>
                <w:szCs w:val="22"/>
              </w:rPr>
              <w:t>体</w:t>
            </w:r>
          </w:p>
        </w:tc>
        <w:tc>
          <w:tcPr>
            <w:tcW w:w="949" w:type="dxa"/>
            <w:vAlign w:val="top"/>
          </w:tcPr>
          <w:p>
            <w:pPr>
              <w:pStyle w:val="12"/>
              <w:spacing w:before="131" w:line="220" w:lineRule="auto"/>
              <w:ind w:left="143"/>
              <w:rPr>
                <w:sz w:val="22"/>
                <w:szCs w:val="22"/>
              </w:rPr>
            </w:pPr>
            <w:r>
              <w:rPr>
                <w:b/>
                <w:bCs/>
                <w:spacing w:val="-5"/>
                <w:sz w:val="22"/>
                <w:szCs w:val="22"/>
              </w:rPr>
              <w:t>法定行</w:t>
            </w:r>
          </w:p>
          <w:p>
            <w:pPr>
              <w:pStyle w:val="12"/>
              <w:spacing w:before="7" w:line="219" w:lineRule="auto"/>
              <w:ind w:left="143"/>
              <w:rPr>
                <w:sz w:val="22"/>
                <w:szCs w:val="22"/>
              </w:rPr>
            </w:pPr>
            <w:r>
              <w:rPr>
                <w:b/>
                <w:bCs/>
                <w:spacing w:val="-5"/>
                <w:sz w:val="22"/>
                <w:szCs w:val="22"/>
              </w:rPr>
              <w:t>使层级</w:t>
            </w:r>
          </w:p>
        </w:tc>
        <w:tc>
          <w:tcPr>
            <w:tcW w:w="685" w:type="dxa"/>
            <w:vAlign w:val="top"/>
          </w:tcPr>
          <w:p>
            <w:pPr>
              <w:pStyle w:val="12"/>
              <w:spacing w:before="262" w:line="221" w:lineRule="auto"/>
              <w:ind w:left="154"/>
              <w:rPr>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71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12"/>
              <w:spacing w:before="71"/>
              <w:ind w:left="234"/>
              <w:rPr>
                <w:sz w:val="22"/>
                <w:szCs w:val="22"/>
              </w:rPr>
            </w:pPr>
            <w:r>
              <w:rPr>
                <w:spacing w:val="-7"/>
                <w:sz w:val="22"/>
                <w:szCs w:val="22"/>
              </w:rPr>
              <w:t>15</w:t>
            </w:r>
          </w:p>
        </w:tc>
        <w:tc>
          <w:tcPr>
            <w:tcW w:w="1379"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pStyle w:val="12"/>
              <w:spacing w:before="71" w:line="220" w:lineRule="auto"/>
              <w:ind w:left="130"/>
              <w:rPr>
                <w:sz w:val="22"/>
                <w:szCs w:val="22"/>
              </w:rPr>
            </w:pPr>
            <w:r>
              <w:rPr>
                <w:spacing w:val="4"/>
                <w:sz w:val="22"/>
                <w:szCs w:val="22"/>
              </w:rPr>
              <w:t>农业转基因</w:t>
            </w:r>
          </w:p>
          <w:p>
            <w:pPr>
              <w:pStyle w:val="12"/>
              <w:spacing w:before="19" w:line="208" w:lineRule="auto"/>
              <w:ind w:left="130"/>
              <w:rPr>
                <w:sz w:val="22"/>
                <w:szCs w:val="22"/>
              </w:rPr>
            </w:pPr>
            <w:r>
              <w:rPr>
                <w:spacing w:val="-2"/>
                <w:sz w:val="22"/>
                <w:szCs w:val="22"/>
              </w:rPr>
              <w:t>生物安全监</w:t>
            </w:r>
          </w:p>
          <w:p>
            <w:pPr>
              <w:pStyle w:val="12"/>
              <w:spacing w:line="219" w:lineRule="auto"/>
              <w:ind w:left="350"/>
              <w:rPr>
                <w:sz w:val="22"/>
                <w:szCs w:val="22"/>
              </w:rPr>
            </w:pPr>
            <w:r>
              <w:rPr>
                <w:spacing w:val="3"/>
                <w:sz w:val="22"/>
                <w:szCs w:val="22"/>
              </w:rPr>
              <w:t>督检查</w:t>
            </w:r>
          </w:p>
        </w:tc>
        <w:tc>
          <w:tcPr>
            <w:tcW w:w="1619" w:type="dxa"/>
            <w:vAlign w:val="top"/>
          </w:tcPr>
          <w:p>
            <w:pPr>
              <w:pStyle w:val="12"/>
              <w:spacing w:before="72" w:line="219" w:lineRule="auto"/>
              <w:rPr>
                <w:sz w:val="22"/>
                <w:szCs w:val="22"/>
              </w:rPr>
            </w:pPr>
            <w:r>
              <w:rPr>
                <w:spacing w:val="1"/>
                <w:sz w:val="22"/>
                <w:szCs w:val="22"/>
              </w:rPr>
              <w:t>本行政区域内农</w:t>
            </w:r>
          </w:p>
          <w:p>
            <w:pPr>
              <w:pStyle w:val="12"/>
              <w:spacing w:line="209" w:lineRule="auto"/>
              <w:ind w:left="31"/>
              <w:rPr>
                <w:sz w:val="22"/>
                <w:szCs w:val="22"/>
              </w:rPr>
            </w:pPr>
            <w:r>
              <w:rPr>
                <w:spacing w:val="-1"/>
                <w:sz w:val="22"/>
                <w:szCs w:val="22"/>
              </w:rPr>
              <w:t>业转基因生物</w:t>
            </w:r>
            <w:r>
              <w:rPr>
                <w:rFonts w:hint="eastAsia"/>
                <w:spacing w:val="-1"/>
                <w:sz w:val="22"/>
                <w:szCs w:val="22"/>
                <w:lang w:eastAsia="zh-CN"/>
              </w:rPr>
              <w:t>研究</w:t>
            </w:r>
          </w:p>
          <w:p>
            <w:pPr>
              <w:pStyle w:val="12"/>
              <w:spacing w:line="218" w:lineRule="auto"/>
              <w:ind w:left="31"/>
              <w:rPr>
                <w:sz w:val="22"/>
                <w:szCs w:val="22"/>
              </w:rPr>
            </w:pPr>
            <w:r>
              <w:rPr>
                <w:spacing w:val="1"/>
                <w:sz w:val="22"/>
                <w:szCs w:val="22"/>
              </w:rPr>
              <w:t>究、试验、生产</w:t>
            </w:r>
          </w:p>
          <w:p>
            <w:pPr>
              <w:pStyle w:val="12"/>
              <w:spacing w:before="21" w:line="220" w:lineRule="auto"/>
              <w:ind w:left="31"/>
              <w:rPr>
                <w:sz w:val="22"/>
                <w:szCs w:val="22"/>
              </w:rPr>
            </w:pPr>
            <w:r>
              <w:rPr>
                <w:sz w:val="22"/>
                <w:szCs w:val="22"/>
              </w:rPr>
              <w:t>、加工、经营或</w:t>
            </w:r>
          </w:p>
          <w:p>
            <w:pPr>
              <w:pStyle w:val="12"/>
              <w:spacing w:before="8" w:line="221" w:lineRule="auto"/>
              <w:ind w:left="41"/>
              <w:rPr>
                <w:sz w:val="22"/>
                <w:szCs w:val="22"/>
              </w:rPr>
            </w:pPr>
            <w:r>
              <w:rPr>
                <w:spacing w:val="2"/>
                <w:sz w:val="22"/>
                <w:szCs w:val="22"/>
              </w:rPr>
              <w:t>者进口、出口的</w:t>
            </w:r>
          </w:p>
          <w:p>
            <w:pPr>
              <w:pStyle w:val="12"/>
              <w:spacing w:before="16" w:line="220" w:lineRule="auto"/>
              <w:ind w:left="581"/>
              <w:rPr>
                <w:sz w:val="22"/>
                <w:szCs w:val="22"/>
              </w:rPr>
            </w:pPr>
            <w:r>
              <w:rPr>
                <w:spacing w:val="-3"/>
                <w:sz w:val="22"/>
                <w:szCs w:val="22"/>
              </w:rPr>
              <w:t>单位</w:t>
            </w:r>
          </w:p>
        </w:tc>
        <w:tc>
          <w:tcPr>
            <w:tcW w:w="9404" w:type="dxa"/>
            <w:vAlign w:val="top"/>
          </w:tcPr>
          <w:p>
            <w:pPr>
              <w:pStyle w:val="12"/>
              <w:tabs>
                <w:tab w:val="left" w:pos="131"/>
              </w:tabs>
              <w:spacing w:before="71" w:line="228" w:lineRule="auto"/>
              <w:ind w:right="230"/>
              <w:rPr>
                <w:sz w:val="22"/>
                <w:szCs w:val="22"/>
              </w:rPr>
            </w:pPr>
            <w:r>
              <w:rPr>
                <w:sz w:val="22"/>
                <w:szCs w:val="22"/>
              </w:rPr>
              <w:t>《农业转基因生物安全管理条例》第三十八条 农业行政主管部门履行</w:t>
            </w:r>
            <w:r>
              <w:rPr>
                <w:spacing w:val="-1"/>
                <w:sz w:val="22"/>
                <w:szCs w:val="22"/>
              </w:rPr>
              <w:t>监督检查职责时，有权采</w:t>
            </w:r>
            <w:r>
              <w:rPr>
                <w:sz w:val="22"/>
                <w:szCs w:val="22"/>
              </w:rPr>
              <w:t xml:space="preserve"> 取下列措施：</w:t>
            </w:r>
            <w:r>
              <w:rPr>
                <w:rFonts w:hint="eastAsia"/>
                <w:sz w:val="22"/>
                <w:szCs w:val="22"/>
                <w:lang w:eastAsia="zh-CN"/>
              </w:rPr>
              <w:t>（</w:t>
            </w:r>
            <w:r>
              <w:rPr>
                <w:sz w:val="22"/>
                <w:szCs w:val="22"/>
              </w:rPr>
              <w:t>一</w:t>
            </w:r>
            <w:r>
              <w:rPr>
                <w:rFonts w:hint="eastAsia"/>
                <w:sz w:val="22"/>
                <w:szCs w:val="22"/>
                <w:lang w:eastAsia="zh-CN"/>
              </w:rPr>
              <w:t>）</w:t>
            </w:r>
            <w:r>
              <w:rPr>
                <w:sz w:val="22"/>
                <w:szCs w:val="22"/>
              </w:rPr>
              <w:t>询问被检查的研究、试验、生产、加工、经营或者进口、出口的单位和个人</w:t>
            </w:r>
            <w:r>
              <w:rPr>
                <w:spacing w:val="4"/>
                <w:sz w:val="22"/>
                <w:szCs w:val="22"/>
              </w:rPr>
              <w:t xml:space="preserve">  </w:t>
            </w:r>
            <w:r>
              <w:rPr>
                <w:spacing w:val="3"/>
                <w:sz w:val="22"/>
                <w:szCs w:val="22"/>
              </w:rPr>
              <w:t>、利害关系人、证明人，并要求其提供与农业转基因生物安全</w:t>
            </w:r>
            <w:r>
              <w:rPr>
                <w:spacing w:val="2"/>
                <w:sz w:val="22"/>
                <w:szCs w:val="22"/>
              </w:rPr>
              <w:t>有关的证明材料或者其他资料；</w:t>
            </w:r>
            <w:r>
              <w:rPr>
                <w:sz w:val="22"/>
                <w:szCs w:val="22"/>
              </w:rPr>
              <w:t xml:space="preserve"> </w:t>
            </w:r>
            <w:r>
              <w:rPr>
                <w:sz w:val="22"/>
                <w:szCs w:val="22"/>
              </w:rPr>
              <w:tab/>
            </w:r>
            <w:r>
              <w:rPr>
                <w:rFonts w:hint="eastAsia"/>
                <w:sz w:val="22"/>
                <w:szCs w:val="22"/>
                <w:lang w:eastAsia="zh-CN"/>
              </w:rPr>
              <w:t>（</w:t>
            </w:r>
            <w:r>
              <w:rPr>
                <w:sz w:val="22"/>
                <w:szCs w:val="22"/>
              </w:rPr>
              <w:t>二</w:t>
            </w:r>
            <w:r>
              <w:rPr>
                <w:rFonts w:hint="eastAsia"/>
                <w:sz w:val="22"/>
                <w:szCs w:val="22"/>
                <w:lang w:eastAsia="zh-CN"/>
              </w:rPr>
              <w:t>）</w:t>
            </w:r>
            <w:r>
              <w:rPr>
                <w:sz w:val="22"/>
                <w:szCs w:val="22"/>
              </w:rPr>
              <w:t>查阅或者复制农业转基因生物研究、试验、生产、加工、经营或者进口、出口的有关档案</w:t>
            </w:r>
            <w:r>
              <w:rPr>
                <w:spacing w:val="10"/>
                <w:sz w:val="22"/>
                <w:szCs w:val="22"/>
              </w:rPr>
              <w:t xml:space="preserve"> </w:t>
            </w:r>
            <w:r>
              <w:rPr>
                <w:spacing w:val="3"/>
                <w:sz w:val="22"/>
                <w:szCs w:val="22"/>
              </w:rPr>
              <w:t>、账册和资料等；</w:t>
            </w:r>
            <w:r>
              <w:rPr>
                <w:rFonts w:hint="eastAsia"/>
                <w:spacing w:val="3"/>
                <w:sz w:val="22"/>
                <w:szCs w:val="22"/>
                <w:lang w:eastAsia="zh-CN"/>
              </w:rPr>
              <w:t>（</w:t>
            </w:r>
            <w:r>
              <w:rPr>
                <w:spacing w:val="3"/>
                <w:sz w:val="22"/>
                <w:szCs w:val="22"/>
              </w:rPr>
              <w:t>三</w:t>
            </w:r>
            <w:r>
              <w:rPr>
                <w:rFonts w:hint="eastAsia"/>
                <w:spacing w:val="3"/>
                <w:sz w:val="22"/>
                <w:szCs w:val="22"/>
                <w:lang w:eastAsia="zh-CN"/>
              </w:rPr>
              <w:t>）</w:t>
            </w:r>
            <w:r>
              <w:rPr>
                <w:spacing w:val="3"/>
                <w:sz w:val="22"/>
                <w:szCs w:val="22"/>
              </w:rPr>
              <w:t>要求有关单位和个人就有关农业转基因生</w:t>
            </w:r>
            <w:r>
              <w:rPr>
                <w:spacing w:val="2"/>
                <w:sz w:val="22"/>
                <w:szCs w:val="22"/>
              </w:rPr>
              <w:t>物安全的问题作出说明；</w:t>
            </w:r>
          </w:p>
          <w:p>
            <w:pPr>
              <w:pStyle w:val="12"/>
              <w:spacing w:before="4" w:line="214" w:lineRule="auto"/>
              <w:ind w:left="22" w:right="471" w:firstLine="90"/>
              <w:rPr>
                <w:sz w:val="22"/>
                <w:szCs w:val="22"/>
              </w:rPr>
            </w:pPr>
            <w:r>
              <w:rPr>
                <w:rFonts w:hint="eastAsia"/>
                <w:sz w:val="22"/>
                <w:szCs w:val="22"/>
                <w:lang w:eastAsia="zh-CN"/>
              </w:rPr>
              <w:t>（</w:t>
            </w:r>
            <w:r>
              <w:rPr>
                <w:sz w:val="22"/>
                <w:szCs w:val="22"/>
              </w:rPr>
              <w:t>四</w:t>
            </w:r>
            <w:r>
              <w:rPr>
                <w:rFonts w:hint="eastAsia"/>
                <w:sz w:val="22"/>
                <w:szCs w:val="22"/>
                <w:lang w:eastAsia="zh-CN"/>
              </w:rPr>
              <w:t>）</w:t>
            </w:r>
            <w:r>
              <w:rPr>
                <w:sz w:val="22"/>
                <w:szCs w:val="22"/>
              </w:rPr>
              <w:t>责令违反农业转基因生物安全管理的单位和个人停止违法行为；</w:t>
            </w:r>
            <w:r>
              <w:rPr>
                <w:rFonts w:hint="eastAsia"/>
                <w:sz w:val="22"/>
                <w:szCs w:val="22"/>
                <w:lang w:eastAsia="zh-CN"/>
              </w:rPr>
              <w:t>（</w:t>
            </w:r>
            <w:r>
              <w:rPr>
                <w:sz w:val="22"/>
                <w:szCs w:val="22"/>
              </w:rPr>
              <w:t>五</w:t>
            </w:r>
            <w:r>
              <w:rPr>
                <w:rFonts w:hint="eastAsia"/>
                <w:sz w:val="22"/>
                <w:szCs w:val="22"/>
                <w:lang w:eastAsia="zh-CN"/>
              </w:rPr>
              <w:t>）</w:t>
            </w:r>
            <w:r>
              <w:rPr>
                <w:sz w:val="22"/>
                <w:szCs w:val="22"/>
              </w:rPr>
              <w:t>在紧急情况下，对</w:t>
            </w:r>
            <w:r>
              <w:rPr>
                <w:spacing w:val="8"/>
                <w:sz w:val="22"/>
                <w:szCs w:val="22"/>
              </w:rPr>
              <w:t xml:space="preserve"> </w:t>
            </w:r>
            <w:r>
              <w:rPr>
                <w:sz w:val="22"/>
                <w:szCs w:val="22"/>
              </w:rPr>
              <w:t>非法研究、试验、生产、加工，经营或者进口、出口的农业转基因生物实施封存或者扣</w:t>
            </w:r>
            <w:r>
              <w:rPr>
                <w:spacing w:val="-1"/>
                <w:sz w:val="22"/>
                <w:szCs w:val="22"/>
              </w:rPr>
              <w:t>押。</w:t>
            </w:r>
          </w:p>
        </w:tc>
        <w:tc>
          <w:tcPr>
            <w:tcW w:w="1269"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2"/>
              <w:spacing w:before="71" w:line="214" w:lineRule="auto"/>
              <w:ind w:left="218" w:leftChars="104" w:right="72" w:firstLine="0" w:firstLineChars="0"/>
              <w:rPr>
                <w:rFonts w:hint="eastAsia" w:eastAsia="宋体"/>
                <w:sz w:val="22"/>
                <w:szCs w:val="22"/>
                <w:lang w:eastAsia="zh-CN"/>
              </w:rPr>
            </w:pPr>
            <w:r>
              <w:rPr>
                <w:rFonts w:hint="eastAsia"/>
                <w:spacing w:val="1"/>
                <w:sz w:val="22"/>
                <w:szCs w:val="22"/>
                <w:lang w:val="en-US" w:eastAsia="zh-CN"/>
              </w:rPr>
              <w:t>芒市</w:t>
            </w:r>
            <w:r>
              <w:rPr>
                <w:spacing w:val="1"/>
                <w:sz w:val="22"/>
                <w:szCs w:val="22"/>
              </w:rPr>
              <w:t>农业</w:t>
            </w:r>
            <w:r>
              <w:rPr>
                <w:spacing w:val="-2"/>
                <w:sz w:val="22"/>
                <w:szCs w:val="22"/>
              </w:rPr>
              <w:t>农村</w:t>
            </w:r>
            <w:r>
              <w:rPr>
                <w:rFonts w:hint="eastAsia"/>
                <w:spacing w:val="-2"/>
                <w:sz w:val="22"/>
                <w:szCs w:val="22"/>
                <w:lang w:val="en-US" w:eastAsia="zh-CN"/>
              </w:rPr>
              <w:t>局</w:t>
            </w:r>
          </w:p>
        </w:tc>
        <w:tc>
          <w:tcPr>
            <w:tcW w:w="9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12"/>
              <w:spacing w:before="72" w:line="221" w:lineRule="auto"/>
              <w:ind w:left="249"/>
              <w:rPr>
                <w:sz w:val="22"/>
                <w:szCs w:val="22"/>
              </w:rPr>
            </w:pPr>
            <w:r>
              <w:rPr>
                <w:spacing w:val="6"/>
                <w:sz w:val="22"/>
                <w:szCs w:val="22"/>
              </w:rPr>
              <w:t>县级</w:t>
            </w:r>
          </w:p>
          <w:p>
            <w:pPr>
              <w:pStyle w:val="12"/>
              <w:spacing w:before="27" w:line="222" w:lineRule="auto"/>
              <w:ind w:left="249"/>
              <w:rPr>
                <w:sz w:val="22"/>
                <w:szCs w:val="22"/>
              </w:rPr>
            </w:pPr>
            <w:r>
              <w:rPr>
                <w:spacing w:val="4"/>
                <w:sz w:val="22"/>
                <w:szCs w:val="22"/>
              </w:rPr>
              <w:t>以上</w:t>
            </w:r>
          </w:p>
        </w:tc>
        <w:tc>
          <w:tcPr>
            <w:tcW w:w="68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71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2"/>
              <w:spacing w:before="72"/>
              <w:ind w:left="234"/>
              <w:rPr>
                <w:sz w:val="22"/>
                <w:szCs w:val="22"/>
              </w:rPr>
            </w:pPr>
            <w:r>
              <w:rPr>
                <w:spacing w:val="-7"/>
                <w:sz w:val="22"/>
                <w:szCs w:val="22"/>
              </w:rPr>
              <w:t>16</w:t>
            </w:r>
          </w:p>
        </w:tc>
        <w:tc>
          <w:tcPr>
            <w:tcW w:w="137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2"/>
              <w:spacing w:before="72" w:line="220" w:lineRule="auto"/>
              <w:ind w:left="240" w:right="146" w:hanging="110"/>
              <w:rPr>
                <w:sz w:val="22"/>
                <w:szCs w:val="22"/>
              </w:rPr>
            </w:pPr>
            <w:r>
              <w:rPr>
                <w:spacing w:val="-2"/>
                <w:sz w:val="22"/>
                <w:szCs w:val="22"/>
              </w:rPr>
              <w:t>农产品质量</w:t>
            </w:r>
            <w:r>
              <w:rPr>
                <w:sz w:val="22"/>
                <w:szCs w:val="22"/>
              </w:rPr>
              <w:t xml:space="preserve"> </w:t>
            </w:r>
            <w:r>
              <w:rPr>
                <w:spacing w:val="2"/>
                <w:sz w:val="22"/>
                <w:szCs w:val="22"/>
              </w:rPr>
              <w:t>监督检查</w:t>
            </w:r>
          </w:p>
        </w:tc>
        <w:tc>
          <w:tcPr>
            <w:tcW w:w="161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2"/>
              <w:spacing w:before="71" w:line="238" w:lineRule="auto"/>
              <w:ind w:left="141" w:right="24" w:hanging="110"/>
              <w:rPr>
                <w:sz w:val="22"/>
                <w:szCs w:val="22"/>
              </w:rPr>
            </w:pPr>
            <w:r>
              <w:rPr>
                <w:spacing w:val="1"/>
                <w:sz w:val="22"/>
                <w:szCs w:val="22"/>
              </w:rPr>
              <w:t>本行政区域内农</w:t>
            </w:r>
            <w:r>
              <w:rPr>
                <w:spacing w:val="4"/>
                <w:sz w:val="22"/>
                <w:szCs w:val="22"/>
              </w:rPr>
              <w:t xml:space="preserve"> </w:t>
            </w:r>
            <w:r>
              <w:rPr>
                <w:spacing w:val="-2"/>
                <w:sz w:val="22"/>
                <w:szCs w:val="22"/>
              </w:rPr>
              <w:t>产品生产主体</w:t>
            </w:r>
          </w:p>
        </w:tc>
        <w:tc>
          <w:tcPr>
            <w:tcW w:w="9404" w:type="dxa"/>
            <w:vAlign w:val="top"/>
          </w:tcPr>
          <w:p>
            <w:pPr>
              <w:pStyle w:val="12"/>
              <w:spacing w:before="71" w:line="219" w:lineRule="auto"/>
              <w:rPr>
                <w:sz w:val="22"/>
                <w:szCs w:val="22"/>
              </w:rPr>
            </w:pPr>
            <w:r>
              <w:rPr>
                <w:spacing w:val="-3"/>
                <w:sz w:val="22"/>
                <w:szCs w:val="22"/>
              </w:rPr>
              <w:t>《中华人民共和国农产品质量安全法》第五十二条县级以上地方人民政府农业农村主管部门应</w:t>
            </w:r>
          </w:p>
          <w:p>
            <w:pPr>
              <w:pStyle w:val="12"/>
              <w:spacing w:before="8" w:line="224" w:lineRule="auto"/>
              <w:ind w:left="12" w:right="123"/>
              <w:rPr>
                <w:sz w:val="22"/>
                <w:szCs w:val="22"/>
              </w:rPr>
            </w:pPr>
            <w:r>
              <w:rPr>
                <w:sz w:val="22"/>
                <w:szCs w:val="22"/>
              </w:rPr>
              <w:t>当加强对农产品生产的监督管理，开展日常检查，重点检查农产品产地环境、农业投入品购买和</w:t>
            </w:r>
            <w:r>
              <w:rPr>
                <w:spacing w:val="16"/>
                <w:sz w:val="22"/>
                <w:szCs w:val="22"/>
              </w:rPr>
              <w:t xml:space="preserve"> </w:t>
            </w:r>
            <w:r>
              <w:rPr>
                <w:sz w:val="22"/>
                <w:szCs w:val="22"/>
              </w:rPr>
              <w:t>使用、农产品生产记录、承诺达标合格证开具等情况等。国家鼓励和支</w:t>
            </w:r>
            <w:r>
              <w:rPr>
                <w:spacing w:val="-1"/>
                <w:sz w:val="22"/>
                <w:szCs w:val="22"/>
              </w:rPr>
              <w:t>持基层群众性自治组织建</w:t>
            </w:r>
            <w:r>
              <w:rPr>
                <w:sz w:val="22"/>
                <w:szCs w:val="22"/>
              </w:rPr>
              <w:t>立农产品质量安全信息员工作制度，协助开展有关工作。</w:t>
            </w:r>
          </w:p>
          <w:p>
            <w:pPr>
              <w:pStyle w:val="12"/>
              <w:spacing w:before="5" w:line="226" w:lineRule="auto"/>
              <w:ind w:left="12" w:right="336"/>
              <w:rPr>
                <w:sz w:val="22"/>
                <w:szCs w:val="22"/>
              </w:rPr>
            </w:pPr>
            <w:r>
              <w:rPr>
                <w:sz w:val="22"/>
                <w:szCs w:val="22"/>
              </w:rPr>
              <w:t>第五十三条 开展农产品质量安全监督检查，有权采取下列措施：</w:t>
            </w:r>
            <w:r>
              <w:rPr>
                <w:rFonts w:hint="eastAsia"/>
                <w:sz w:val="22"/>
                <w:szCs w:val="22"/>
                <w:lang w:eastAsia="zh-CN"/>
              </w:rPr>
              <w:t>（</w:t>
            </w:r>
            <w:r>
              <w:rPr>
                <w:sz w:val="22"/>
                <w:szCs w:val="22"/>
              </w:rPr>
              <w:t>一</w:t>
            </w:r>
            <w:r>
              <w:rPr>
                <w:rFonts w:hint="eastAsia"/>
                <w:sz w:val="22"/>
                <w:szCs w:val="22"/>
                <w:lang w:eastAsia="zh-CN"/>
              </w:rPr>
              <w:t>）</w:t>
            </w:r>
            <w:r>
              <w:rPr>
                <w:spacing w:val="-1"/>
                <w:sz w:val="22"/>
                <w:szCs w:val="22"/>
              </w:rPr>
              <w:t>进入生产经营场所进行</w:t>
            </w:r>
            <w:r>
              <w:rPr>
                <w:sz w:val="22"/>
                <w:szCs w:val="22"/>
              </w:rPr>
              <w:t xml:space="preserve">  现场检查，调查了解农产品质量安全的有关情况；</w:t>
            </w:r>
            <w:r>
              <w:rPr>
                <w:rFonts w:hint="eastAsia"/>
                <w:sz w:val="22"/>
                <w:szCs w:val="22"/>
                <w:lang w:eastAsia="zh-CN"/>
              </w:rPr>
              <w:t>（</w:t>
            </w:r>
            <w:r>
              <w:rPr>
                <w:sz w:val="22"/>
                <w:szCs w:val="22"/>
              </w:rPr>
              <w:t>二</w:t>
            </w:r>
            <w:r>
              <w:rPr>
                <w:rFonts w:hint="eastAsia"/>
                <w:sz w:val="22"/>
                <w:szCs w:val="22"/>
                <w:lang w:eastAsia="zh-CN"/>
              </w:rPr>
              <w:t>）</w:t>
            </w:r>
            <w:r>
              <w:rPr>
                <w:sz w:val="22"/>
                <w:szCs w:val="22"/>
              </w:rPr>
              <w:t>查阅、复制农产品生产记录、购销台账等与农产品质量安全有关的资料；</w:t>
            </w:r>
            <w:r>
              <w:rPr>
                <w:rFonts w:hint="eastAsia"/>
                <w:sz w:val="22"/>
                <w:szCs w:val="22"/>
                <w:lang w:eastAsia="zh-CN"/>
              </w:rPr>
              <w:t>（</w:t>
            </w:r>
            <w:r>
              <w:rPr>
                <w:sz w:val="22"/>
                <w:szCs w:val="22"/>
              </w:rPr>
              <w:t>三</w:t>
            </w:r>
            <w:r>
              <w:rPr>
                <w:rFonts w:hint="eastAsia"/>
                <w:sz w:val="22"/>
                <w:szCs w:val="22"/>
                <w:lang w:eastAsia="zh-CN"/>
              </w:rPr>
              <w:t>）</w:t>
            </w:r>
            <w:r>
              <w:rPr>
                <w:sz w:val="22"/>
                <w:szCs w:val="22"/>
              </w:rPr>
              <w:t>抽样检测生产经营的农产品</w:t>
            </w:r>
            <w:r>
              <w:rPr>
                <w:spacing w:val="-1"/>
                <w:sz w:val="22"/>
                <w:szCs w:val="22"/>
              </w:rPr>
              <w:t>和使用的农业投入品以及其</w:t>
            </w:r>
            <w:r>
              <w:rPr>
                <w:sz w:val="22"/>
                <w:szCs w:val="22"/>
              </w:rPr>
              <w:t xml:space="preserve"> </w:t>
            </w:r>
            <w:r>
              <w:rPr>
                <w:spacing w:val="1"/>
                <w:sz w:val="22"/>
                <w:szCs w:val="22"/>
              </w:rPr>
              <w:t>他有关产品；</w:t>
            </w:r>
            <w:r>
              <w:rPr>
                <w:rFonts w:hint="eastAsia"/>
                <w:spacing w:val="1"/>
                <w:sz w:val="22"/>
                <w:szCs w:val="22"/>
                <w:lang w:eastAsia="zh-CN"/>
              </w:rPr>
              <w:t>（</w:t>
            </w:r>
            <w:r>
              <w:rPr>
                <w:spacing w:val="1"/>
                <w:sz w:val="22"/>
                <w:szCs w:val="22"/>
              </w:rPr>
              <w:t>四</w:t>
            </w:r>
            <w:r>
              <w:rPr>
                <w:rFonts w:hint="eastAsia"/>
                <w:spacing w:val="1"/>
                <w:sz w:val="22"/>
                <w:szCs w:val="22"/>
                <w:lang w:eastAsia="zh-CN"/>
              </w:rPr>
              <w:t>）</w:t>
            </w:r>
            <w:r>
              <w:rPr>
                <w:spacing w:val="1"/>
                <w:sz w:val="22"/>
                <w:szCs w:val="22"/>
              </w:rPr>
              <w:t>查封、扣押有证据证明存在农产品</w:t>
            </w:r>
            <w:r>
              <w:rPr>
                <w:sz w:val="22"/>
                <w:szCs w:val="22"/>
              </w:rPr>
              <w:t>质量安全隐患或者经检测不符合农产品质 量安全标准的农产品；</w:t>
            </w:r>
            <w:r>
              <w:rPr>
                <w:rFonts w:hint="eastAsia"/>
                <w:sz w:val="22"/>
                <w:szCs w:val="22"/>
                <w:lang w:eastAsia="zh-CN"/>
              </w:rPr>
              <w:t>（</w:t>
            </w:r>
            <w:r>
              <w:rPr>
                <w:sz w:val="22"/>
                <w:szCs w:val="22"/>
              </w:rPr>
              <w:t>五</w:t>
            </w:r>
            <w:r>
              <w:rPr>
                <w:rFonts w:hint="eastAsia"/>
                <w:sz w:val="22"/>
                <w:szCs w:val="22"/>
                <w:lang w:eastAsia="zh-CN"/>
              </w:rPr>
              <w:t>）</w:t>
            </w:r>
            <w:r>
              <w:rPr>
                <w:sz w:val="22"/>
                <w:szCs w:val="22"/>
              </w:rPr>
              <w:t>查封、扣押有证据证明可能危及农产品质量</w:t>
            </w:r>
            <w:r>
              <w:rPr>
                <w:spacing w:val="-1"/>
                <w:sz w:val="22"/>
                <w:szCs w:val="22"/>
              </w:rPr>
              <w:t>安全或者经检测不符合</w:t>
            </w:r>
            <w:r>
              <w:rPr>
                <w:sz w:val="22"/>
                <w:szCs w:val="22"/>
              </w:rPr>
              <w:t xml:space="preserve"> </w:t>
            </w:r>
            <w:r>
              <w:rPr>
                <w:spacing w:val="1"/>
                <w:sz w:val="22"/>
                <w:szCs w:val="22"/>
              </w:rPr>
              <w:t>产品质量标准的农业投入品以及其他有毒有害物</w:t>
            </w:r>
            <w:r>
              <w:rPr>
                <w:sz w:val="22"/>
                <w:szCs w:val="22"/>
              </w:rPr>
              <w:t>质；</w:t>
            </w:r>
            <w:r>
              <w:rPr>
                <w:rFonts w:hint="eastAsia"/>
                <w:sz w:val="22"/>
                <w:szCs w:val="22"/>
                <w:lang w:eastAsia="zh-CN"/>
              </w:rPr>
              <w:t>（</w:t>
            </w:r>
            <w:r>
              <w:rPr>
                <w:sz w:val="22"/>
                <w:szCs w:val="22"/>
              </w:rPr>
              <w:t>六</w:t>
            </w:r>
            <w:r>
              <w:rPr>
                <w:rFonts w:hint="eastAsia"/>
                <w:sz w:val="22"/>
                <w:szCs w:val="22"/>
                <w:lang w:eastAsia="zh-CN"/>
              </w:rPr>
              <w:t>）</w:t>
            </w:r>
            <w:r>
              <w:rPr>
                <w:sz w:val="22"/>
                <w:szCs w:val="22"/>
              </w:rPr>
              <w:t>查封、扣押用于违法生产经营农产品 的设施、设备、场所以及运输工具；</w:t>
            </w:r>
            <w:r>
              <w:rPr>
                <w:rFonts w:hint="eastAsia"/>
                <w:sz w:val="22"/>
                <w:szCs w:val="22"/>
                <w:lang w:eastAsia="zh-CN"/>
              </w:rPr>
              <w:t>（</w:t>
            </w:r>
            <w:r>
              <w:rPr>
                <w:sz w:val="22"/>
                <w:szCs w:val="22"/>
              </w:rPr>
              <w:t>七</w:t>
            </w:r>
            <w:r>
              <w:rPr>
                <w:rFonts w:hint="eastAsia"/>
                <w:sz w:val="22"/>
                <w:szCs w:val="22"/>
                <w:lang w:eastAsia="zh-CN"/>
              </w:rPr>
              <w:t>）</w:t>
            </w:r>
            <w:r>
              <w:rPr>
                <w:sz w:val="22"/>
                <w:szCs w:val="22"/>
              </w:rPr>
              <w:t>收缴伪造的农产品质量标志。</w:t>
            </w:r>
          </w:p>
          <w:p>
            <w:pPr>
              <w:pStyle w:val="12"/>
              <w:spacing w:line="219" w:lineRule="auto"/>
              <w:ind w:left="12"/>
              <w:rPr>
                <w:sz w:val="22"/>
                <w:szCs w:val="22"/>
              </w:rPr>
            </w:pPr>
            <w:r>
              <w:rPr>
                <w:sz w:val="22"/>
                <w:szCs w:val="22"/>
              </w:rPr>
              <w:t>农产品生产经营者应当协助、配合农产品质量安全监督检查，不得拒绝、阻挠。</w:t>
            </w:r>
          </w:p>
        </w:tc>
        <w:tc>
          <w:tcPr>
            <w:tcW w:w="126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2"/>
              <w:spacing w:line="218" w:lineRule="auto"/>
              <w:ind w:left="298"/>
              <w:rPr>
                <w:rFonts w:hint="eastAsia" w:eastAsia="宋体"/>
                <w:sz w:val="22"/>
                <w:szCs w:val="22"/>
                <w:lang w:eastAsia="zh-CN"/>
              </w:rPr>
            </w:pPr>
            <w:r>
              <w:rPr>
                <w:rFonts w:hint="eastAsia" w:ascii="宋体" w:hAnsi="宋体" w:eastAsia="宋体" w:cs="宋体"/>
                <w:spacing w:val="1"/>
                <w:sz w:val="22"/>
                <w:szCs w:val="22"/>
                <w:lang w:val="en-US" w:eastAsia="zh-CN"/>
              </w:rPr>
              <w:t>芒市农业农村局</w:t>
            </w:r>
          </w:p>
        </w:tc>
        <w:tc>
          <w:tcPr>
            <w:tcW w:w="949"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2"/>
              <w:spacing w:before="71" w:line="221" w:lineRule="auto"/>
              <w:ind w:left="249"/>
              <w:rPr>
                <w:sz w:val="22"/>
                <w:szCs w:val="22"/>
              </w:rPr>
            </w:pPr>
            <w:r>
              <w:rPr>
                <w:spacing w:val="6"/>
                <w:sz w:val="22"/>
                <w:szCs w:val="22"/>
              </w:rPr>
              <w:t>县级</w:t>
            </w:r>
          </w:p>
          <w:p>
            <w:pPr>
              <w:pStyle w:val="12"/>
              <w:spacing w:before="17" w:line="222" w:lineRule="auto"/>
              <w:ind w:left="249"/>
              <w:rPr>
                <w:sz w:val="22"/>
                <w:szCs w:val="22"/>
              </w:rPr>
            </w:pPr>
            <w:r>
              <w:rPr>
                <w:spacing w:val="4"/>
                <w:sz w:val="22"/>
                <w:szCs w:val="22"/>
              </w:rPr>
              <w:t>以上</w:t>
            </w:r>
          </w:p>
        </w:tc>
        <w:tc>
          <w:tcPr>
            <w:tcW w:w="68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940" w:h="11900"/>
          <w:pgMar w:top="726" w:right="266" w:bottom="692" w:left="475" w:header="0" w:footer="636" w:gutter="0"/>
          <w:cols w:space="720" w:num="1"/>
        </w:sectPr>
      </w:pPr>
    </w:p>
    <w:tbl>
      <w:tblPr>
        <w:tblStyle w:val="13"/>
        <w:tblpPr w:leftFromText="180" w:rightFromText="180" w:vertAnchor="text" w:horzAnchor="page" w:tblpX="368" w:tblpY="-3768"/>
        <w:tblOverlap w:val="never"/>
        <w:tblW w:w="16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369"/>
        <w:gridCol w:w="1619"/>
        <w:gridCol w:w="9394"/>
        <w:gridCol w:w="1289"/>
        <w:gridCol w:w="929"/>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45" w:type="dxa"/>
            <w:vAlign w:val="top"/>
          </w:tcPr>
          <w:p>
            <w:pPr>
              <w:pStyle w:val="12"/>
              <w:spacing w:before="252" w:line="221" w:lineRule="auto"/>
              <w:ind w:left="148"/>
              <w:rPr>
                <w:sz w:val="22"/>
                <w:szCs w:val="22"/>
              </w:rPr>
            </w:pPr>
            <w:r>
              <w:rPr>
                <w:b/>
                <w:bCs/>
                <w:spacing w:val="-5"/>
                <w:sz w:val="22"/>
                <w:szCs w:val="22"/>
              </w:rPr>
              <w:t>序号</w:t>
            </w:r>
          </w:p>
        </w:tc>
        <w:tc>
          <w:tcPr>
            <w:tcW w:w="1369" w:type="dxa"/>
            <w:vAlign w:val="top"/>
          </w:tcPr>
          <w:p>
            <w:pPr>
              <w:pStyle w:val="12"/>
              <w:spacing w:before="250" w:line="219" w:lineRule="auto"/>
              <w:ind w:left="233"/>
              <w:rPr>
                <w:sz w:val="22"/>
                <w:szCs w:val="22"/>
              </w:rPr>
            </w:pPr>
            <w:r>
              <w:rPr>
                <w:b/>
                <w:bCs/>
                <w:spacing w:val="-4"/>
                <w:sz w:val="22"/>
                <w:szCs w:val="22"/>
              </w:rPr>
              <w:t>检查事项</w:t>
            </w:r>
          </w:p>
        </w:tc>
        <w:tc>
          <w:tcPr>
            <w:tcW w:w="1619" w:type="dxa"/>
            <w:vAlign w:val="top"/>
          </w:tcPr>
          <w:p>
            <w:pPr>
              <w:pStyle w:val="12"/>
              <w:spacing w:before="250" w:line="219" w:lineRule="auto"/>
              <w:ind w:left="364"/>
              <w:rPr>
                <w:sz w:val="22"/>
                <w:szCs w:val="22"/>
              </w:rPr>
            </w:pPr>
            <w:r>
              <w:rPr>
                <w:b/>
                <w:bCs/>
                <w:spacing w:val="-4"/>
                <w:sz w:val="22"/>
                <w:szCs w:val="22"/>
              </w:rPr>
              <w:t>检查对象</w:t>
            </w:r>
          </w:p>
        </w:tc>
        <w:tc>
          <w:tcPr>
            <w:tcW w:w="9394" w:type="dxa"/>
            <w:vAlign w:val="top"/>
          </w:tcPr>
          <w:p>
            <w:pPr>
              <w:pStyle w:val="12"/>
              <w:spacing w:before="249" w:line="219" w:lineRule="auto"/>
              <w:ind w:left="4265"/>
              <w:rPr>
                <w:sz w:val="22"/>
                <w:szCs w:val="22"/>
              </w:rPr>
            </w:pPr>
            <w:r>
              <w:rPr>
                <w:b/>
                <w:bCs/>
                <w:spacing w:val="-4"/>
                <w:sz w:val="22"/>
                <w:szCs w:val="22"/>
              </w:rPr>
              <w:t>检查依据</w:t>
            </w:r>
          </w:p>
        </w:tc>
        <w:tc>
          <w:tcPr>
            <w:tcW w:w="1289" w:type="dxa"/>
            <w:vAlign w:val="top"/>
          </w:tcPr>
          <w:p>
            <w:pPr>
              <w:pStyle w:val="12"/>
              <w:spacing w:before="110" w:line="239" w:lineRule="auto"/>
              <w:ind w:left="540" w:right="37" w:hanging="389"/>
              <w:rPr>
                <w:sz w:val="22"/>
                <w:szCs w:val="22"/>
              </w:rPr>
            </w:pPr>
            <w:r>
              <w:rPr>
                <w:b/>
                <w:bCs/>
                <w:spacing w:val="-5"/>
                <w:sz w:val="22"/>
                <w:szCs w:val="22"/>
              </w:rPr>
              <w:t>法定实施主</w:t>
            </w:r>
            <w:r>
              <w:rPr>
                <w:spacing w:val="2"/>
                <w:sz w:val="22"/>
                <w:szCs w:val="22"/>
              </w:rPr>
              <w:t xml:space="preserve"> </w:t>
            </w:r>
            <w:r>
              <w:rPr>
                <w:b/>
                <w:bCs/>
                <w:spacing w:val="-3"/>
                <w:sz w:val="22"/>
                <w:szCs w:val="22"/>
              </w:rPr>
              <w:t>体</w:t>
            </w:r>
          </w:p>
        </w:tc>
        <w:tc>
          <w:tcPr>
            <w:tcW w:w="929" w:type="dxa"/>
            <w:vAlign w:val="top"/>
          </w:tcPr>
          <w:p>
            <w:pPr>
              <w:pStyle w:val="12"/>
              <w:spacing w:before="111" w:line="220" w:lineRule="auto"/>
              <w:ind w:left="132"/>
              <w:rPr>
                <w:sz w:val="22"/>
                <w:szCs w:val="22"/>
              </w:rPr>
            </w:pPr>
            <w:r>
              <w:rPr>
                <w:b/>
                <w:bCs/>
                <w:spacing w:val="-5"/>
                <w:sz w:val="22"/>
                <w:szCs w:val="22"/>
              </w:rPr>
              <w:t>法定行</w:t>
            </w:r>
          </w:p>
          <w:p>
            <w:pPr>
              <w:pStyle w:val="12"/>
              <w:spacing w:before="17" w:line="219" w:lineRule="auto"/>
              <w:ind w:left="132"/>
              <w:rPr>
                <w:sz w:val="22"/>
                <w:szCs w:val="22"/>
              </w:rPr>
            </w:pPr>
            <w:r>
              <w:rPr>
                <w:b/>
                <w:bCs/>
                <w:spacing w:val="-5"/>
                <w:sz w:val="22"/>
                <w:szCs w:val="22"/>
              </w:rPr>
              <w:t>使层级</w:t>
            </w:r>
          </w:p>
        </w:tc>
        <w:tc>
          <w:tcPr>
            <w:tcW w:w="705" w:type="dxa"/>
            <w:vAlign w:val="top"/>
          </w:tcPr>
          <w:p>
            <w:pPr>
              <w:pStyle w:val="12"/>
              <w:spacing w:before="252" w:line="221" w:lineRule="auto"/>
              <w:ind w:left="153"/>
              <w:rPr>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745" w:type="dxa"/>
            <w:tcBorders>
              <w:bottom w:val="single" w:color="auto" w:sz="4" w:space="0"/>
            </w:tcBorders>
            <w:vAlign w:val="top"/>
          </w:tcPr>
          <w:p>
            <w:pPr>
              <w:spacing w:line="264" w:lineRule="auto"/>
              <w:rPr>
                <w:rFonts w:ascii="宋体" w:hAnsi="宋体" w:eastAsia="宋体" w:cs="宋体"/>
                <w:spacing w:val="2"/>
                <w:kern w:val="2"/>
                <w:sz w:val="22"/>
                <w:szCs w:val="22"/>
                <w:lang w:val="en-US" w:eastAsia="en-US" w:bidi="ar-SA"/>
              </w:rPr>
            </w:pPr>
          </w:p>
          <w:p>
            <w:pPr>
              <w:spacing w:line="264" w:lineRule="auto"/>
              <w:rPr>
                <w:rFonts w:ascii="宋体" w:hAnsi="宋体" w:eastAsia="宋体" w:cs="宋体"/>
                <w:spacing w:val="2"/>
                <w:kern w:val="2"/>
                <w:sz w:val="22"/>
                <w:szCs w:val="22"/>
                <w:lang w:val="en-US" w:eastAsia="en-US" w:bidi="ar-SA"/>
              </w:rPr>
            </w:pPr>
          </w:p>
          <w:p>
            <w:pPr>
              <w:spacing w:line="264" w:lineRule="auto"/>
              <w:rPr>
                <w:rFonts w:ascii="宋体" w:hAnsi="宋体" w:eastAsia="宋体" w:cs="宋体"/>
                <w:spacing w:val="2"/>
                <w:kern w:val="2"/>
                <w:sz w:val="22"/>
                <w:szCs w:val="22"/>
                <w:lang w:val="en-US" w:eastAsia="en-US" w:bidi="ar-SA"/>
              </w:rPr>
            </w:pPr>
          </w:p>
          <w:p>
            <w:pPr>
              <w:spacing w:line="264" w:lineRule="auto"/>
              <w:rPr>
                <w:rFonts w:ascii="宋体" w:hAnsi="宋体" w:eastAsia="宋体" w:cs="宋体"/>
                <w:spacing w:val="2"/>
                <w:kern w:val="2"/>
                <w:sz w:val="22"/>
                <w:szCs w:val="22"/>
                <w:lang w:val="en-US" w:eastAsia="en-US" w:bidi="ar-SA"/>
              </w:rPr>
            </w:pPr>
          </w:p>
          <w:p>
            <w:pPr>
              <w:spacing w:line="265" w:lineRule="auto"/>
              <w:rPr>
                <w:rFonts w:ascii="宋体" w:hAnsi="宋体" w:eastAsia="宋体" w:cs="宋体"/>
                <w:spacing w:val="2"/>
                <w:kern w:val="2"/>
                <w:sz w:val="22"/>
                <w:szCs w:val="22"/>
                <w:lang w:val="en-US" w:eastAsia="en-US" w:bidi="ar-SA"/>
              </w:rPr>
            </w:pPr>
          </w:p>
          <w:p>
            <w:pPr>
              <w:pStyle w:val="12"/>
              <w:spacing w:before="71"/>
              <w:ind w:left="258"/>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17</w:t>
            </w:r>
          </w:p>
        </w:tc>
        <w:tc>
          <w:tcPr>
            <w:tcW w:w="1369" w:type="dxa"/>
            <w:tcBorders>
              <w:bottom w:val="single" w:color="auto" w:sz="4" w:space="0"/>
            </w:tcBorders>
            <w:vAlign w:val="top"/>
          </w:tcPr>
          <w:p>
            <w:pPr>
              <w:spacing w:line="265" w:lineRule="auto"/>
              <w:rPr>
                <w:rFonts w:ascii="宋体" w:hAnsi="宋体" w:eastAsia="宋体" w:cs="宋体"/>
                <w:spacing w:val="2"/>
                <w:kern w:val="2"/>
                <w:sz w:val="22"/>
                <w:szCs w:val="22"/>
                <w:lang w:val="en-US" w:eastAsia="en-US" w:bidi="ar-SA"/>
              </w:rPr>
            </w:pPr>
          </w:p>
          <w:p>
            <w:pPr>
              <w:spacing w:line="265" w:lineRule="auto"/>
              <w:rPr>
                <w:rFonts w:ascii="宋体" w:hAnsi="宋体" w:eastAsia="宋体" w:cs="宋体"/>
                <w:spacing w:val="2"/>
                <w:kern w:val="2"/>
                <w:sz w:val="22"/>
                <w:szCs w:val="22"/>
                <w:lang w:val="en-US" w:eastAsia="en-US" w:bidi="ar-SA"/>
              </w:rPr>
            </w:pPr>
          </w:p>
          <w:p>
            <w:pPr>
              <w:spacing w:line="265" w:lineRule="auto"/>
              <w:rPr>
                <w:rFonts w:ascii="宋体" w:hAnsi="宋体" w:eastAsia="宋体" w:cs="宋体"/>
                <w:spacing w:val="2"/>
                <w:kern w:val="2"/>
                <w:sz w:val="22"/>
                <w:szCs w:val="22"/>
                <w:lang w:val="en-US" w:eastAsia="en-US" w:bidi="ar-SA"/>
              </w:rPr>
            </w:pPr>
          </w:p>
          <w:p>
            <w:pPr>
              <w:spacing w:line="265" w:lineRule="auto"/>
              <w:rPr>
                <w:rFonts w:ascii="宋体" w:hAnsi="宋体" w:eastAsia="宋体" w:cs="宋体"/>
                <w:spacing w:val="2"/>
                <w:kern w:val="2"/>
                <w:sz w:val="22"/>
                <w:szCs w:val="22"/>
                <w:lang w:val="en-US" w:eastAsia="en-US" w:bidi="ar-SA"/>
              </w:rPr>
            </w:pPr>
          </w:p>
          <w:p>
            <w:pPr>
              <w:pStyle w:val="12"/>
              <w:spacing w:before="72" w:line="217" w:lineRule="auto"/>
              <w:ind w:left="13"/>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对农用薄膜</w:t>
            </w:r>
          </w:p>
          <w:p>
            <w:pPr>
              <w:pStyle w:val="12"/>
              <w:spacing w:line="237" w:lineRule="auto"/>
              <w:ind w:left="13" w:right="242"/>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回收的行政 检查</w:t>
            </w:r>
          </w:p>
        </w:tc>
        <w:tc>
          <w:tcPr>
            <w:tcW w:w="1619" w:type="dxa"/>
            <w:tcBorders>
              <w:bottom w:val="single" w:color="auto" w:sz="4" w:space="0"/>
            </w:tcBorders>
            <w:vAlign w:val="top"/>
          </w:tcPr>
          <w:p>
            <w:pPr>
              <w:spacing w:line="299"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pStyle w:val="12"/>
              <w:spacing w:before="71" w:line="220" w:lineRule="auto"/>
              <w:ind w:left="139" w:hanging="105"/>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农业薄膜生产、 销售使用主体</w:t>
            </w:r>
          </w:p>
        </w:tc>
        <w:tc>
          <w:tcPr>
            <w:tcW w:w="9394" w:type="dxa"/>
            <w:tcBorders>
              <w:bottom w:val="single" w:color="auto" w:sz="4" w:space="0"/>
            </w:tcBorders>
            <w:vAlign w:val="top"/>
          </w:tcPr>
          <w:p>
            <w:pPr>
              <w:pStyle w:val="12"/>
              <w:spacing w:before="71" w:line="219" w:lineRule="auto"/>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w:t>
            </w:r>
            <w:r>
              <w:rPr>
                <w:rFonts w:hint="eastAsia" w:cs="宋体"/>
                <w:spacing w:val="2"/>
                <w:kern w:val="2"/>
                <w:sz w:val="22"/>
                <w:szCs w:val="22"/>
                <w:lang w:val="en-US" w:eastAsia="zh-CN" w:bidi="ar-SA"/>
              </w:rPr>
              <w:t>中华人民共和国土壤污染防治法</w:t>
            </w:r>
            <w:r>
              <w:rPr>
                <w:rFonts w:ascii="宋体" w:hAnsi="宋体" w:eastAsia="宋体" w:cs="宋体"/>
                <w:spacing w:val="2"/>
                <w:kern w:val="2"/>
                <w:sz w:val="22"/>
                <w:szCs w:val="22"/>
                <w:lang w:val="en-US" w:eastAsia="en-US" w:bidi="ar-SA"/>
              </w:rPr>
              <w:t>》第七十七条 生态环境主管部门及其环境执法机构和其他负有土壤污染防</w:t>
            </w:r>
            <w:bookmarkStart w:id="3" w:name="_GoBack"/>
            <w:bookmarkEnd w:id="3"/>
            <w:r>
              <w:rPr>
                <w:rFonts w:ascii="宋体" w:hAnsi="宋体" w:eastAsia="宋体" w:cs="宋体"/>
                <w:spacing w:val="2"/>
                <w:kern w:val="2"/>
                <w:sz w:val="22"/>
                <w:szCs w:val="22"/>
                <w:lang w:val="en-US" w:eastAsia="en-US" w:bidi="ar-SA"/>
              </w:rPr>
              <w:t>治监督管理职责的部门，有权对从事可能造成土壤污染活动的企业事业单位和其他生产经营者进 行现场检查、取样，要求被检查者提供有关资料</w:t>
            </w:r>
            <w:r>
              <w:rPr>
                <w:rFonts w:hint="eastAsia" w:cs="宋体"/>
                <w:spacing w:val="2"/>
                <w:kern w:val="2"/>
                <w:sz w:val="22"/>
                <w:szCs w:val="22"/>
                <w:lang w:val="en-US" w:eastAsia="zh-CN" w:bidi="ar-SA"/>
              </w:rPr>
              <w:t>，就</w:t>
            </w:r>
            <w:r>
              <w:rPr>
                <w:rFonts w:ascii="宋体" w:hAnsi="宋体" w:eastAsia="宋体" w:cs="宋体"/>
                <w:spacing w:val="2"/>
                <w:kern w:val="2"/>
                <w:sz w:val="22"/>
                <w:szCs w:val="22"/>
                <w:lang w:val="en-US" w:eastAsia="en-US" w:bidi="ar-SA"/>
              </w:rPr>
              <w:t>有关问题作出说明。</w:t>
            </w:r>
          </w:p>
          <w:p>
            <w:pPr>
              <w:pStyle w:val="12"/>
              <w:spacing w:line="218" w:lineRule="auto"/>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被检查者应当配合检查工作，如实反映情况，提供必要的资料。</w:t>
            </w:r>
          </w:p>
          <w:p>
            <w:pPr>
              <w:pStyle w:val="12"/>
              <w:spacing w:before="20" w:line="218" w:lineRule="auto"/>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实施现场检查的部门、机构及其工作人员应当为被检查者保守商业秘密。</w:t>
            </w:r>
          </w:p>
          <w:p>
            <w:pPr>
              <w:pStyle w:val="12"/>
              <w:spacing w:before="1" w:line="222" w:lineRule="auto"/>
              <w:ind w:left="15" w:right="225" w:firstLine="20"/>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《农用薄膜管理办法》第五条第一款</w:t>
            </w:r>
            <w:r>
              <w:rPr>
                <w:rFonts w:hint="eastAsia" w:ascii="宋体" w:hAnsi="宋体" w:eastAsia="宋体" w:cs="宋体"/>
                <w:spacing w:val="2"/>
                <w:kern w:val="2"/>
                <w:sz w:val="22"/>
                <w:szCs w:val="22"/>
                <w:lang w:val="en-US" w:eastAsia="zh-CN" w:bidi="ar-SA"/>
              </w:rPr>
              <w:t xml:space="preserve"> </w:t>
            </w:r>
            <w:r>
              <w:rPr>
                <w:rFonts w:ascii="宋体" w:hAnsi="宋体" w:eastAsia="宋体" w:cs="宋体"/>
                <w:spacing w:val="2"/>
                <w:kern w:val="2"/>
                <w:sz w:val="22"/>
                <w:szCs w:val="22"/>
                <w:lang w:val="en-US" w:eastAsia="en-US" w:bidi="ar-SA"/>
              </w:rPr>
              <w:t>县级以上人民政府农业农村主管部门负责农用薄膜使用、 回收监督管理工作，指导农用薄膜回收利用体系建设。</w:t>
            </w:r>
          </w:p>
          <w:p>
            <w:pPr>
              <w:pStyle w:val="12"/>
              <w:spacing w:before="1" w:line="236" w:lineRule="auto"/>
              <w:ind w:left="15" w:right="357"/>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第二十一条建立农用薄膜残留监测制度，县级以上地方人民政府农业农村主管部门应当定期开展本行政区域的农用薄膜残留监测。</w:t>
            </w:r>
          </w:p>
        </w:tc>
        <w:tc>
          <w:tcPr>
            <w:tcW w:w="1289" w:type="dxa"/>
            <w:tcBorders>
              <w:bottom w:val="single" w:color="auto" w:sz="4" w:space="0"/>
            </w:tcBorders>
            <w:vAlign w:val="top"/>
          </w:tcPr>
          <w:p>
            <w:pPr>
              <w:spacing w:line="299"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spacing w:line="300" w:lineRule="auto"/>
              <w:rPr>
                <w:rFonts w:ascii="宋体" w:hAnsi="宋体" w:eastAsia="宋体" w:cs="宋体"/>
                <w:spacing w:val="2"/>
                <w:kern w:val="2"/>
                <w:sz w:val="22"/>
                <w:szCs w:val="22"/>
                <w:lang w:val="en-US" w:eastAsia="en-US" w:bidi="ar-SA"/>
              </w:rPr>
            </w:pPr>
          </w:p>
          <w:p>
            <w:pPr>
              <w:pStyle w:val="12"/>
              <w:spacing w:before="72" w:line="219" w:lineRule="auto"/>
              <w:ind w:left="330" w:right="42" w:hanging="179"/>
              <w:rPr>
                <w:rFonts w:hint="eastAsia" w:ascii="宋体" w:hAnsi="宋体" w:eastAsia="宋体" w:cs="宋体"/>
                <w:spacing w:val="2"/>
                <w:kern w:val="2"/>
                <w:sz w:val="22"/>
                <w:szCs w:val="22"/>
                <w:lang w:val="en-US" w:eastAsia="zh-CN" w:bidi="ar-SA"/>
              </w:rPr>
            </w:pPr>
            <w:r>
              <w:rPr>
                <w:rFonts w:hint="eastAsia" w:ascii="宋体" w:hAnsi="宋体" w:eastAsia="宋体" w:cs="宋体"/>
                <w:spacing w:val="1"/>
                <w:sz w:val="22"/>
                <w:szCs w:val="22"/>
                <w:lang w:val="en-US" w:eastAsia="zh-CN"/>
              </w:rPr>
              <w:t>芒市</w:t>
            </w:r>
            <w:r>
              <w:rPr>
                <w:rFonts w:hint="eastAsia" w:ascii="宋体" w:hAnsi="宋体" w:eastAsia="宋体" w:cs="宋体"/>
                <w:spacing w:val="1"/>
                <w:sz w:val="22"/>
                <w:szCs w:val="22"/>
                <w:lang w:val="en-US" w:eastAsia="en-US"/>
              </w:rPr>
              <w:t>农业 农村</w:t>
            </w:r>
            <w:r>
              <w:rPr>
                <w:rFonts w:hint="eastAsia" w:ascii="宋体" w:hAnsi="宋体" w:eastAsia="宋体" w:cs="宋体"/>
                <w:spacing w:val="1"/>
                <w:sz w:val="22"/>
                <w:szCs w:val="22"/>
                <w:lang w:val="en-US" w:eastAsia="zh-CN"/>
              </w:rPr>
              <w:t>局</w:t>
            </w:r>
          </w:p>
        </w:tc>
        <w:tc>
          <w:tcPr>
            <w:tcW w:w="929" w:type="dxa"/>
            <w:tcBorders>
              <w:bottom w:val="single" w:color="auto" w:sz="4" w:space="0"/>
            </w:tcBorders>
            <w:vAlign w:val="top"/>
          </w:tcPr>
          <w:p>
            <w:pPr>
              <w:rPr>
                <w:rFonts w:ascii="宋体" w:hAnsi="宋体" w:eastAsia="宋体" w:cs="宋体"/>
                <w:spacing w:val="2"/>
                <w:kern w:val="2"/>
                <w:sz w:val="22"/>
                <w:szCs w:val="22"/>
                <w:lang w:val="en-US" w:eastAsia="en-US" w:bidi="ar-SA"/>
              </w:rPr>
            </w:pPr>
          </w:p>
          <w:p>
            <w:pPr>
              <w:rPr>
                <w:rFonts w:ascii="宋体" w:hAnsi="宋体" w:eastAsia="宋体" w:cs="宋体"/>
                <w:spacing w:val="2"/>
                <w:kern w:val="2"/>
                <w:sz w:val="22"/>
                <w:szCs w:val="22"/>
                <w:lang w:val="en-US" w:eastAsia="en-US" w:bidi="ar-SA"/>
              </w:rPr>
            </w:pPr>
          </w:p>
          <w:p>
            <w:pPr>
              <w:rPr>
                <w:rFonts w:ascii="宋体" w:hAnsi="宋体" w:eastAsia="宋体" w:cs="宋体"/>
                <w:spacing w:val="2"/>
                <w:kern w:val="2"/>
                <w:sz w:val="22"/>
                <w:szCs w:val="22"/>
                <w:lang w:val="en-US" w:eastAsia="en-US" w:bidi="ar-SA"/>
              </w:rPr>
            </w:pPr>
          </w:p>
          <w:p>
            <w:pPr>
              <w:rPr>
                <w:rFonts w:ascii="宋体" w:hAnsi="宋体" w:eastAsia="宋体" w:cs="宋体"/>
                <w:spacing w:val="2"/>
                <w:kern w:val="2"/>
                <w:sz w:val="22"/>
                <w:szCs w:val="22"/>
                <w:lang w:val="en-US" w:eastAsia="en-US" w:bidi="ar-SA"/>
              </w:rPr>
            </w:pPr>
          </w:p>
          <w:p>
            <w:pPr>
              <w:spacing w:line="241" w:lineRule="auto"/>
              <w:rPr>
                <w:rFonts w:ascii="宋体" w:hAnsi="宋体" w:eastAsia="宋体" w:cs="宋体"/>
                <w:spacing w:val="2"/>
                <w:kern w:val="2"/>
                <w:sz w:val="22"/>
                <w:szCs w:val="22"/>
                <w:lang w:val="en-US" w:eastAsia="en-US" w:bidi="ar-SA"/>
              </w:rPr>
            </w:pPr>
          </w:p>
          <w:p>
            <w:pPr>
              <w:pStyle w:val="12"/>
              <w:spacing w:before="71" w:line="219" w:lineRule="auto"/>
              <w:ind w:left="242"/>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县级</w:t>
            </w:r>
          </w:p>
          <w:p>
            <w:pPr>
              <w:pStyle w:val="12"/>
              <w:spacing w:line="222" w:lineRule="auto"/>
              <w:ind w:left="242"/>
              <w:rPr>
                <w:rFonts w:ascii="宋体" w:hAnsi="宋体" w:eastAsia="宋体" w:cs="宋体"/>
                <w:spacing w:val="2"/>
                <w:kern w:val="2"/>
                <w:sz w:val="22"/>
                <w:szCs w:val="22"/>
                <w:lang w:val="en-US" w:eastAsia="en-US" w:bidi="ar-SA"/>
              </w:rPr>
            </w:pPr>
            <w:r>
              <w:rPr>
                <w:rFonts w:ascii="宋体" w:hAnsi="宋体" w:eastAsia="宋体" w:cs="宋体"/>
                <w:spacing w:val="2"/>
                <w:kern w:val="2"/>
                <w:sz w:val="22"/>
                <w:szCs w:val="22"/>
                <w:lang w:val="en-US" w:eastAsia="en-US" w:bidi="ar-SA"/>
              </w:rPr>
              <w:t>以上</w:t>
            </w:r>
          </w:p>
        </w:tc>
        <w:tc>
          <w:tcPr>
            <w:tcW w:w="705" w:type="dxa"/>
            <w:tcBorders>
              <w:bottom w:val="single" w:color="auto" w:sz="4"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45" w:type="dxa"/>
            <w:tcBorders>
              <w:top w:val="single" w:color="auto" w:sz="4" w:space="0"/>
            </w:tcBorders>
            <w:vAlign w:val="top"/>
          </w:tcPr>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eastAsia" w:ascii="宋体" w:hAnsi="宋体" w:eastAsia="宋体" w:cs="宋体"/>
                <w:spacing w:val="2"/>
                <w:kern w:val="2"/>
                <w:sz w:val="22"/>
                <w:szCs w:val="22"/>
                <w:lang w:val="en-US" w:eastAsia="zh-CN" w:bidi="ar-SA"/>
              </w:rPr>
            </w:pPr>
          </w:p>
          <w:p>
            <w:pPr>
              <w:pStyle w:val="12"/>
              <w:spacing w:before="20" w:line="218" w:lineRule="auto"/>
              <w:jc w:val="center"/>
              <w:rPr>
                <w:rFonts w:hint="default"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18</w:t>
            </w:r>
          </w:p>
        </w:tc>
        <w:tc>
          <w:tcPr>
            <w:tcW w:w="1369" w:type="dxa"/>
            <w:tcBorders>
              <w:top w:val="single" w:color="auto" w:sz="4" w:space="0"/>
            </w:tcBorders>
            <w:vAlign w:val="center"/>
          </w:tcPr>
          <w:p>
            <w:pPr>
              <w:pStyle w:val="12"/>
              <w:spacing w:before="20" w:line="218" w:lineRule="auto"/>
              <w:rPr>
                <w:rFonts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乳品质量安全监督检查</w:t>
            </w:r>
          </w:p>
        </w:tc>
        <w:tc>
          <w:tcPr>
            <w:tcW w:w="1619" w:type="dxa"/>
            <w:tcBorders>
              <w:top w:val="single" w:color="auto" w:sz="4" w:space="0"/>
            </w:tcBorders>
            <w:vAlign w:val="center"/>
          </w:tcPr>
          <w:p>
            <w:pPr>
              <w:pStyle w:val="12"/>
              <w:spacing w:before="20" w:line="218" w:lineRule="auto"/>
              <w:rPr>
                <w:rFonts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本行政区域内乳品生产、加工经营主体</w:t>
            </w:r>
          </w:p>
        </w:tc>
        <w:tc>
          <w:tcPr>
            <w:tcW w:w="9394" w:type="dxa"/>
            <w:tcBorders>
              <w:top w:val="single" w:color="auto" w:sz="4" w:space="0"/>
            </w:tcBorders>
            <w:vAlign w:val="center"/>
          </w:tcPr>
          <w:p>
            <w:pPr>
              <w:pStyle w:val="12"/>
              <w:spacing w:before="20" w:line="218" w:lineRule="auto"/>
              <w:rPr>
                <w:rFonts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《乳品质量安全监督管理条例》第四条第二款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w:t>
            </w:r>
            <w:r>
              <w:rPr>
                <w:rFonts w:hint="eastAsia" w:cs="宋体"/>
                <w:spacing w:val="2"/>
                <w:kern w:val="2"/>
                <w:sz w:val="22"/>
                <w:szCs w:val="22"/>
                <w:lang w:val="en-US" w:eastAsia="zh-CN" w:bidi="ar-SA"/>
              </w:rPr>
              <w:t>食品质量</w:t>
            </w:r>
            <w:r>
              <w:rPr>
                <w:rFonts w:hint="eastAsia" w:ascii="宋体" w:hAnsi="宋体" w:eastAsia="宋体" w:cs="宋体"/>
                <w:spacing w:val="2"/>
                <w:kern w:val="2"/>
                <w:sz w:val="22"/>
                <w:szCs w:val="22"/>
                <w:lang w:val="en-US" w:eastAsia="zh-CN" w:bidi="ar-SA"/>
              </w:rPr>
              <w:t>安全监督管理的综合协调、组织查处食品安全重大事故。县级以上人民政府其他有关部门在各自职责范围内负责乳品质量安全监督管理的其他工作。</w:t>
            </w:r>
            <w:r>
              <w:rPr>
                <w:rFonts w:hint="eastAsia" w:ascii="宋体" w:hAnsi="宋体" w:eastAsia="宋体" w:cs="宋体"/>
                <w:spacing w:val="2"/>
                <w:kern w:val="2"/>
                <w:sz w:val="22"/>
                <w:szCs w:val="22"/>
                <w:lang w:val="en-US" w:eastAsia="zh-CN" w:bidi="ar-SA"/>
              </w:rPr>
              <w:br w:type="textWrapping"/>
            </w:r>
            <w:r>
              <w:rPr>
                <w:rFonts w:hint="eastAsia" w:ascii="宋体" w:hAnsi="宋体" w:eastAsia="宋体" w:cs="宋体"/>
                <w:spacing w:val="2"/>
                <w:kern w:val="2"/>
                <w:sz w:val="22"/>
                <w:szCs w:val="22"/>
                <w:lang w:val="en-US" w:eastAsia="zh-CN" w:bidi="ar-SA"/>
              </w:rPr>
              <w:t>《乳品质量安全监督管理条例》第四十六条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Fonts w:hint="eastAsia" w:ascii="宋体" w:hAnsi="宋体" w:eastAsia="宋体" w:cs="宋体"/>
                <w:spacing w:val="2"/>
                <w:kern w:val="2"/>
                <w:sz w:val="22"/>
                <w:szCs w:val="22"/>
                <w:lang w:val="en-US" w:eastAsia="zh-CN" w:bidi="ar-SA"/>
              </w:rPr>
              <w:br w:type="textWrapping"/>
            </w:r>
            <w:r>
              <w:rPr>
                <w:rFonts w:hint="eastAsia" w:ascii="宋体" w:hAnsi="宋体" w:eastAsia="宋体" w:cs="宋体"/>
                <w:spacing w:val="2"/>
                <w:kern w:val="2"/>
                <w:sz w:val="22"/>
                <w:szCs w:val="22"/>
                <w:lang w:val="en-US" w:eastAsia="zh-CN" w:bidi="ar-SA"/>
              </w:rPr>
              <w:t>畜牧兽医、质量监督、工商行政管理等部门应当定期开展监督抽查，并记录监督抽查的情况和处理结果。需要对乳品进行抽样检查的，不得收取任何费用，所需费用由同级财政列支。</w:t>
            </w:r>
            <w:r>
              <w:rPr>
                <w:rFonts w:hint="eastAsia" w:ascii="宋体" w:hAnsi="宋体" w:eastAsia="宋体" w:cs="宋体"/>
                <w:spacing w:val="2"/>
                <w:kern w:val="2"/>
                <w:sz w:val="22"/>
                <w:szCs w:val="22"/>
                <w:lang w:val="en-US" w:eastAsia="zh-CN" w:bidi="ar-SA"/>
              </w:rPr>
              <w:br w:type="textWrapping"/>
            </w:r>
            <w:r>
              <w:rPr>
                <w:rFonts w:hint="eastAsia" w:ascii="宋体" w:hAnsi="宋体" w:eastAsia="宋体" w:cs="宋体"/>
                <w:spacing w:val="2"/>
                <w:kern w:val="2"/>
                <w:sz w:val="22"/>
                <w:szCs w:val="22"/>
                <w:lang w:val="en-US" w:eastAsia="zh-CN" w:bidi="ar-SA"/>
              </w:rPr>
              <w:t>第四十七条 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w:t>
            </w:r>
          </w:p>
        </w:tc>
        <w:tc>
          <w:tcPr>
            <w:tcW w:w="1289" w:type="dxa"/>
            <w:tcBorders>
              <w:top w:val="single" w:color="auto" w:sz="4" w:space="0"/>
            </w:tcBorders>
            <w:vAlign w:val="center"/>
          </w:tcPr>
          <w:p>
            <w:pPr>
              <w:pStyle w:val="12"/>
              <w:spacing w:before="20" w:line="218" w:lineRule="auto"/>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芒市农业</w:t>
            </w:r>
          </w:p>
          <w:p>
            <w:pPr>
              <w:pStyle w:val="12"/>
              <w:spacing w:before="20" w:line="218" w:lineRule="auto"/>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农村局</w:t>
            </w:r>
          </w:p>
        </w:tc>
        <w:tc>
          <w:tcPr>
            <w:tcW w:w="929" w:type="dxa"/>
            <w:tcBorders>
              <w:top w:val="single" w:color="auto" w:sz="4" w:space="0"/>
            </w:tcBorders>
            <w:vAlign w:val="center"/>
          </w:tcPr>
          <w:p>
            <w:pPr>
              <w:pStyle w:val="12"/>
              <w:spacing w:before="20" w:line="218" w:lineRule="auto"/>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县级</w:t>
            </w:r>
          </w:p>
          <w:p>
            <w:pPr>
              <w:pStyle w:val="12"/>
              <w:spacing w:before="20" w:line="218" w:lineRule="auto"/>
              <w:jc w:val="center"/>
              <w:rPr>
                <w:rFonts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以上</w:t>
            </w:r>
          </w:p>
        </w:tc>
        <w:tc>
          <w:tcPr>
            <w:tcW w:w="705" w:type="dxa"/>
            <w:tcBorders>
              <w:top w:val="single" w:color="auto" w:sz="4" w:space="0"/>
            </w:tcBorders>
            <w:vAlign w:val="top"/>
          </w:tcPr>
          <w:p>
            <w:pPr>
              <w:rPr>
                <w:rFonts w:ascii="Arial"/>
                <w:sz w:val="21"/>
              </w:rPr>
            </w:pPr>
          </w:p>
        </w:tc>
      </w:tr>
    </w:tbl>
    <w:p>
      <w:pPr>
        <w:spacing w:line="33" w:lineRule="exact"/>
      </w:pPr>
    </w:p>
    <w:p>
      <w:pPr>
        <w:rPr>
          <w:rFonts w:ascii="Arial"/>
          <w:sz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1" w:lineRule="auto"/>
      <w:ind w:left="7675"/>
      <w:rPr>
        <w:sz w:val="24"/>
        <w:szCs w:val="24"/>
      </w:rPr>
    </w:pPr>
    <w:r>
      <w:rPr>
        <w:spacing w:val="-3"/>
        <w:sz w:val="24"/>
        <w:szCs w:val="24"/>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1" w:lineRule="auto"/>
      <w:ind w:left="7605"/>
      <w:rPr>
        <w:sz w:val="24"/>
        <w:szCs w:val="24"/>
      </w:rPr>
    </w:pPr>
    <w:r>
      <w:rPr>
        <w:spacing w:val="-2"/>
        <w:sz w:val="24"/>
        <w:szCs w:val="24"/>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7635"/>
      <w:rPr>
        <w:sz w:val="24"/>
        <w:szCs w:val="24"/>
      </w:rPr>
    </w:pPr>
    <w:r>
      <w:rPr>
        <w:spacing w:val="-2"/>
        <w:sz w:val="24"/>
        <w:szCs w:val="24"/>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7575"/>
      <w:rPr>
        <w:sz w:val="24"/>
        <w:szCs w:val="24"/>
      </w:rPr>
    </w:pPr>
    <w:r>
      <w:rPr>
        <w:spacing w:val="-2"/>
        <w:sz w:val="24"/>
        <w:szCs w:val="24"/>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2" w:lineRule="auto"/>
      <w:ind w:left="7624"/>
      <w:rPr>
        <w:sz w:val="26"/>
        <w:szCs w:val="26"/>
      </w:rPr>
    </w:pPr>
    <w:r>
      <w:rPr>
        <w:spacing w:val="-3"/>
        <w:sz w:val="26"/>
        <w:szCs w:val="26"/>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7605"/>
      <w:rPr>
        <w:sz w:val="24"/>
        <w:szCs w:val="24"/>
      </w:rPr>
    </w:pPr>
    <w:r>
      <w:rPr>
        <w:spacing w:val="-2"/>
        <w:sz w:val="24"/>
        <w:szCs w:val="24"/>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2" w:lineRule="auto"/>
      <w:ind w:left="7594"/>
      <w:rPr>
        <w:sz w:val="26"/>
        <w:szCs w:val="26"/>
      </w:rPr>
    </w:pPr>
    <w:r>
      <w:rPr>
        <w:spacing w:val="-3"/>
        <w:sz w:val="26"/>
        <w:szCs w:val="26"/>
      </w:rPr>
      <w:t>—15—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4445516A"/>
    <w:rsid w:val="03F471DF"/>
    <w:rsid w:val="155C09E2"/>
    <w:rsid w:val="17C91F61"/>
    <w:rsid w:val="19020DC0"/>
    <w:rsid w:val="1E897502"/>
    <w:rsid w:val="219810D7"/>
    <w:rsid w:val="25DB768C"/>
    <w:rsid w:val="29CE3CF8"/>
    <w:rsid w:val="2D8E7254"/>
    <w:rsid w:val="37E66CE8"/>
    <w:rsid w:val="396A5307"/>
    <w:rsid w:val="3C43758F"/>
    <w:rsid w:val="3C450747"/>
    <w:rsid w:val="3F7D26B7"/>
    <w:rsid w:val="40DD1363"/>
    <w:rsid w:val="4445516A"/>
    <w:rsid w:val="4665608F"/>
    <w:rsid w:val="49247797"/>
    <w:rsid w:val="4B61329A"/>
    <w:rsid w:val="536573DD"/>
    <w:rsid w:val="56600FA8"/>
    <w:rsid w:val="5EA614B4"/>
    <w:rsid w:val="61135EB8"/>
    <w:rsid w:val="633200E7"/>
    <w:rsid w:val="681F6E56"/>
    <w:rsid w:val="6CAF3A27"/>
    <w:rsid w:val="74365F64"/>
    <w:rsid w:val="7AFC445F"/>
    <w:rsid w:val="7B32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0"/>
      <w:szCs w:val="80"/>
      <w:lang w:val="en-US" w:eastAsia="en-US" w:bidi="ar-SA"/>
    </w:rPr>
  </w:style>
  <w:style w:type="paragraph" w:styleId="3">
    <w:name w:val="Body Text Indent"/>
    <w:basedOn w:val="1"/>
    <w:next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left="0" w:firstLine="420" w:firstLineChars="200"/>
    </w:pPr>
  </w:style>
  <w:style w:type="character" w:styleId="10">
    <w:name w:val="Strong"/>
    <w:basedOn w:val="9"/>
    <w:qFormat/>
    <w:uiPriority w:val="0"/>
    <w:rPr>
      <w:b/>
    </w:rPr>
  </w:style>
  <w:style w:type="table" w:customStyle="1" w:styleId="11">
    <w:name w:val="c_tb"/>
    <w:basedOn w:val="8"/>
    <w:qFormat/>
    <w:uiPriority w:val="0"/>
    <w:rPr>
      <w:rFonts w:ascii="Times New Roman" w:hAnsi="Times New Roman"/>
    </w:rPr>
    <w:tblPr>
      <w:tblCellMar>
        <w:top w:w="0" w:type="dxa"/>
        <w:left w:w="108" w:type="dxa"/>
        <w:bottom w:w="0" w:type="dxa"/>
        <w:right w:w="108" w:type="dxa"/>
      </w:tblCellMar>
    </w:tbl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7029</Words>
  <Characters>7038</Characters>
  <Lines>0</Lines>
  <Paragraphs>0</Paragraphs>
  <TotalTime>3</TotalTime>
  <ScaleCrop>false</ScaleCrop>
  <LinksUpToDate>false</LinksUpToDate>
  <CharactersWithSpaces>7158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2025-04-30T08:37:00Z</dcterms:created>
  <dc:creator>Administrator</dc:creator>
  <cp:lastModifiedBy>杨永县</cp:lastModifiedBy>
  <dcterms:modified xsi:type="dcterms:W3CDTF">2025-05-13T02:47:23Z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07F9DBCB778D4F8AB72F8C888C2BE48E_13</vt:lpwstr>
  </property>
  <property fmtid="{D5CDD505-2E9C-101B-9397-08002B2CF9AE}" pid="4" name="KSOTemplateDocerSaveRecord">
    <vt:lpwstr>eyJoZGlkIjoiZDJiZTQ1NmE0NWM5OTRhZGU0ODIwZDdmMGExNzU3MTAiLCJ1c2VySWQiOiIxMTY1MjQxNjU5In0=</vt:lpwstr>
  </property>
</Properties>
</file>