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b/>
          <w:bCs/>
          <w:color w:val="auto"/>
          <w:kern w:val="0"/>
          <w:sz w:val="44"/>
          <w:szCs w:val="44"/>
          <w:lang w:val="en-US" w:eastAsia="zh-CN" w:bidi="ar"/>
        </w:rPr>
      </w:pPr>
      <w:r>
        <w:rPr>
          <w:rFonts w:hint="eastAsia" w:ascii="方正小标宋_GBK" w:hAnsi="方正小标宋_GBK" w:eastAsia="方正小标宋_GBK" w:cs="方正小标宋_GBK"/>
          <w:b/>
          <w:bCs/>
          <w:color w:val="auto"/>
          <w:kern w:val="0"/>
          <w:sz w:val="44"/>
          <w:szCs w:val="44"/>
          <w:lang w:val="en-US" w:eastAsia="zh-CN" w:bidi="ar"/>
        </w:rPr>
        <w:t>芒市农业农村局2024年度法治政府建设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b/>
          <w:bCs/>
          <w:color w:val="auto"/>
          <w:kern w:val="0"/>
          <w:sz w:val="44"/>
          <w:szCs w:val="44"/>
          <w:lang w:val="en-US" w:eastAsia="zh-CN" w:bidi="ar"/>
        </w:rPr>
      </w:pPr>
      <w:r>
        <w:rPr>
          <w:rFonts w:hint="eastAsia" w:ascii="方正小标宋_GBK" w:hAnsi="方正小标宋_GBK" w:eastAsia="方正小标宋_GBK" w:cs="方正小标宋_GBK"/>
          <w:b/>
          <w:bCs/>
          <w:color w:val="auto"/>
          <w:kern w:val="0"/>
          <w:sz w:val="44"/>
          <w:szCs w:val="44"/>
          <w:lang w:val="en-US" w:eastAsia="zh-CN" w:bidi="ar"/>
        </w:rPr>
        <w:t>情况报告</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宋体" w:hAnsi="宋体" w:eastAsia="方正仿宋_GBK" w:cs="方正仿宋_GBK"/>
          <w:b w:val="0"/>
          <w:bCs w:val="0"/>
          <w:color w:val="auto"/>
          <w:kern w:val="0"/>
          <w:sz w:val="32"/>
          <w:szCs w:val="32"/>
          <w:lang w:val="en-US" w:eastAsia="zh-CN" w:bidi="ar"/>
        </w:rPr>
      </w:pPr>
      <w:r>
        <w:rPr>
          <w:rFonts w:hint="eastAsia" w:ascii="宋体" w:hAnsi="宋体" w:eastAsia="方正仿宋_GBK" w:cs="方正仿宋_GBK"/>
          <w:b w:val="0"/>
          <w:bCs w:val="0"/>
          <w:color w:val="auto"/>
          <w:kern w:val="0"/>
          <w:sz w:val="32"/>
          <w:szCs w:val="32"/>
          <w:lang w:val="en-US" w:eastAsia="zh-CN" w:bidi="ar"/>
        </w:rPr>
        <w:t>2024年，芒市农业农村局深入贯彻落实习近平法治思想，严格按照法治建设“一规划两纲要”要求，扎实推进农业农村领域法治建设各项工作，为全面实施乡村振兴战略提供坚实法治保障</w:t>
      </w:r>
      <w:r>
        <w:rPr>
          <w:rFonts w:hint="eastAsia" w:cs="方正仿宋_GBK"/>
          <w:b w:val="0"/>
          <w:bCs w:val="0"/>
          <w:color w:val="auto"/>
          <w:kern w:val="0"/>
          <w:sz w:val="32"/>
          <w:szCs w:val="32"/>
          <w:lang w:val="en-US" w:eastAsia="zh-CN" w:bidi="ar"/>
        </w:rPr>
        <w:t>，</w:t>
      </w:r>
      <w:r>
        <w:rPr>
          <w:rFonts w:hint="eastAsia" w:ascii="宋体" w:hAnsi="宋体" w:eastAsia="方正仿宋_GBK" w:cs="方正仿宋_GBK"/>
          <w:b w:val="0"/>
          <w:bCs w:val="0"/>
          <w:color w:val="auto"/>
          <w:kern w:val="0"/>
          <w:sz w:val="32"/>
          <w:szCs w:val="32"/>
          <w:lang w:val="en-US" w:eastAsia="zh-CN" w:bidi="ar"/>
        </w:rPr>
        <w:t>现将有关情况报告如下</w:t>
      </w:r>
      <w:r>
        <w:rPr>
          <w:rFonts w:hint="eastAsia" w:cs="方正仿宋_GBK"/>
          <w:b w:val="0"/>
          <w:bCs w:val="0"/>
          <w:color w:val="auto"/>
          <w:kern w:val="0"/>
          <w:sz w:val="32"/>
          <w:szCs w:val="32"/>
          <w:lang w:val="en-US" w:eastAsia="zh-CN" w:bidi="ar"/>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600" w:lineRule="exact"/>
        <w:ind w:right="0" w:firstLine="643" w:firstLineChars="200"/>
        <w:jc w:val="both"/>
        <w:textAlignment w:val="auto"/>
        <w:rPr>
          <w:rFonts w:hint="eastAsia" w:ascii="方正黑体_GBK" w:hAnsi="方正黑体_GBK" w:eastAsia="方正黑体_GBK" w:cs="方正黑体_GBK"/>
          <w:color w:val="333333"/>
          <w:sz w:val="32"/>
          <w:szCs w:val="32"/>
        </w:rPr>
      </w:pPr>
      <w:r>
        <w:rPr>
          <w:rStyle w:val="15"/>
          <w:rFonts w:hint="eastAsia" w:ascii="方正黑体_GBK" w:hAnsi="方正黑体_GBK" w:eastAsia="方正黑体_GBK" w:cs="方正黑体_GBK"/>
          <w:i w:val="0"/>
          <w:iCs w:val="0"/>
          <w:caps w:val="0"/>
          <w:color w:val="333333"/>
          <w:spacing w:val="0"/>
          <w:sz w:val="32"/>
          <w:szCs w:val="32"/>
          <w:shd w:val="clear" w:fill="FFFFFF"/>
        </w:rPr>
        <w:t>一、主要举措和成效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楷体_GBK" w:hAnsi="方正楷体_GBK" w:eastAsia="方正楷体_GBK" w:cs="方正楷体_GBK"/>
          <w:b w:val="0"/>
          <w:bCs w:val="0"/>
          <w:color w:val="auto"/>
          <w:kern w:val="0"/>
          <w:sz w:val="32"/>
          <w:szCs w:val="32"/>
          <w:lang w:val="en-US" w:eastAsia="zh-CN" w:bidi="ar"/>
        </w:rPr>
      </w:pPr>
      <w:r>
        <w:rPr>
          <w:rFonts w:hint="eastAsia" w:ascii="方正楷体_GBK" w:hAnsi="方正楷体_GBK" w:eastAsia="方正楷体_GBK" w:cs="方正楷体_GBK"/>
          <w:b w:val="0"/>
          <w:bCs w:val="0"/>
          <w:color w:val="auto"/>
          <w:kern w:val="0"/>
          <w:sz w:val="32"/>
          <w:szCs w:val="32"/>
          <w:lang w:val="en-US" w:eastAsia="zh-CN" w:bidi="ar"/>
        </w:rPr>
        <w:t>（一）牢牢坚持习近平法治思想在法治建设中的指导地位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宋体" w:hAnsi="宋体" w:eastAsia="方正仿宋_GBK" w:cs="方正仿宋_GBK"/>
          <w:b w:val="0"/>
          <w:bCs w:val="0"/>
          <w:color w:val="auto"/>
          <w:kern w:val="0"/>
          <w:sz w:val="32"/>
          <w:szCs w:val="32"/>
          <w:lang w:val="en-US" w:eastAsia="zh-CN" w:bidi="ar"/>
        </w:rPr>
      </w:pPr>
      <w:r>
        <w:rPr>
          <w:rFonts w:hint="eastAsia" w:ascii="宋体" w:hAnsi="宋体" w:eastAsia="方正仿宋_GBK" w:cs="方正仿宋_GBK"/>
          <w:b/>
          <w:bCs/>
          <w:color w:val="auto"/>
          <w:kern w:val="0"/>
          <w:sz w:val="32"/>
          <w:szCs w:val="32"/>
          <w:lang w:val="en-US" w:eastAsia="zh-CN" w:bidi="ar"/>
        </w:rPr>
        <w:t>一是深入学习贯彻习近平总书记全面依法治国新理念新思想新战略。</w:t>
      </w:r>
      <w:r>
        <w:rPr>
          <w:rFonts w:hint="eastAsia" w:ascii="宋体" w:hAnsi="宋体" w:eastAsia="方正仿宋_GBK" w:cs="方正仿宋_GBK"/>
          <w:b w:val="0"/>
          <w:bCs w:val="0"/>
          <w:color w:val="auto"/>
          <w:kern w:val="0"/>
          <w:sz w:val="32"/>
          <w:szCs w:val="32"/>
          <w:lang w:val="en-US" w:eastAsia="zh-CN" w:bidi="ar"/>
        </w:rPr>
        <w:t>认真组织学习习近平总书记关于法治建设的重要指示精神，履行局党组书记、局长在推进法治建设中作为第一责任人的职责，切实用习近平法治思想武装头脑，指导实践，将习近平法治思想作为局党组</w:t>
      </w:r>
      <w:r>
        <w:rPr>
          <w:rFonts w:hint="eastAsia" w:cs="方正仿宋_GBK"/>
          <w:b w:val="0"/>
          <w:bCs w:val="0"/>
          <w:color w:val="auto"/>
          <w:kern w:val="0"/>
          <w:sz w:val="32"/>
          <w:szCs w:val="32"/>
          <w:lang w:val="en-US" w:eastAsia="zh-CN" w:bidi="ar"/>
        </w:rPr>
        <w:t>理论学习中心组</w:t>
      </w:r>
      <w:r>
        <w:rPr>
          <w:rFonts w:hint="eastAsia" w:ascii="宋体" w:hAnsi="宋体" w:eastAsia="方正仿宋_GBK" w:cs="方正仿宋_GBK"/>
          <w:b w:val="0"/>
          <w:bCs w:val="0"/>
          <w:color w:val="auto"/>
          <w:kern w:val="0"/>
          <w:sz w:val="32"/>
          <w:szCs w:val="32"/>
          <w:lang w:val="en-US" w:eastAsia="zh-CN" w:bidi="ar"/>
        </w:rPr>
        <w:t>学习的重要内容，深刻领会“两个确立”的决定性意义，把习近平法治思想落实到全民普法工作全过程。</w:t>
      </w:r>
      <w:r>
        <w:rPr>
          <w:rFonts w:hint="eastAsia" w:ascii="宋体" w:hAnsi="宋体" w:eastAsia="方正仿宋_GBK" w:cs="方正仿宋_GBK"/>
          <w:b/>
          <w:bCs/>
          <w:color w:val="auto"/>
          <w:kern w:val="0"/>
          <w:sz w:val="32"/>
          <w:szCs w:val="32"/>
          <w:lang w:val="en-US" w:eastAsia="zh-CN" w:bidi="ar"/>
        </w:rPr>
        <w:t>二是</w:t>
      </w:r>
      <w:r>
        <w:rPr>
          <w:rFonts w:hint="eastAsia" w:cs="方正仿宋_GBK"/>
          <w:b/>
          <w:bCs/>
          <w:color w:val="auto"/>
          <w:sz w:val="32"/>
          <w:szCs w:val="32"/>
          <w:lang w:val="en-US" w:eastAsia="zh-CN"/>
        </w:rPr>
        <w:t>开展</w:t>
      </w:r>
      <w:r>
        <w:rPr>
          <w:rFonts w:hint="eastAsia" w:ascii="宋体" w:hAnsi="宋体" w:eastAsia="方正仿宋_GBK" w:cs="方正仿宋_GBK"/>
          <w:b/>
          <w:bCs/>
          <w:color w:val="auto"/>
          <w:sz w:val="32"/>
          <w:szCs w:val="32"/>
        </w:rPr>
        <w:t>法治建设工作</w:t>
      </w:r>
      <w:r>
        <w:rPr>
          <w:rFonts w:hint="eastAsia" w:ascii="宋体" w:hAnsi="宋体" w:eastAsia="方正仿宋_GBK" w:cs="方正仿宋_GBK"/>
          <w:b/>
          <w:bCs/>
          <w:color w:val="auto"/>
          <w:sz w:val="32"/>
          <w:szCs w:val="32"/>
          <w:lang w:eastAsia="zh-CN"/>
        </w:rPr>
        <w:t>。</w:t>
      </w:r>
      <w:r>
        <w:rPr>
          <w:rFonts w:hint="eastAsia" w:ascii="宋体" w:hAnsi="宋体" w:eastAsia="方正仿宋_GBK" w:cs="方正仿宋_GBK"/>
          <w:b w:val="0"/>
          <w:bCs w:val="0"/>
          <w:color w:val="auto"/>
          <w:kern w:val="0"/>
          <w:sz w:val="32"/>
          <w:szCs w:val="32"/>
          <w:lang w:val="en-US" w:eastAsia="zh-CN" w:bidi="ar"/>
        </w:rPr>
        <w:t>将法治建设工作全面纳入局党组和局班子会议的重要议事日程，使其与日常业务工作紧密结合，做到同部署、同推进、同督促，形成协同发展的良好局面。自2024 年以来，局党组高度重视法治建设工作，组织召开党组会</w:t>
      </w:r>
      <w:r>
        <w:rPr>
          <w:rFonts w:hint="eastAsia" w:ascii="宋体" w:hAnsi="宋体" w:cs="方正仿宋_GBK"/>
          <w:b w:val="0"/>
          <w:bCs w:val="0"/>
          <w:color w:val="auto"/>
          <w:kern w:val="0"/>
          <w:sz w:val="32"/>
          <w:szCs w:val="32"/>
          <w:lang w:val="en-US" w:eastAsia="zh-CN" w:bidi="ar"/>
        </w:rPr>
        <w:t>1次，</w:t>
      </w:r>
      <w:r>
        <w:rPr>
          <w:rFonts w:hint="eastAsia" w:ascii="宋体" w:hAnsi="宋体" w:eastAsia="方正仿宋_GBK" w:cs="方正仿宋_GBK"/>
          <w:b w:val="0"/>
          <w:bCs w:val="0"/>
          <w:color w:val="auto"/>
          <w:kern w:val="0"/>
          <w:sz w:val="32"/>
          <w:szCs w:val="32"/>
          <w:lang w:val="en-US" w:eastAsia="zh-CN" w:bidi="ar"/>
        </w:rPr>
        <w:t>深入研究行政执法事项清单备案报告工作，为规范行政执法行为、加强执法监督提供了有力保障。同时，召开党组</w:t>
      </w:r>
      <w:r>
        <w:rPr>
          <w:rFonts w:hint="eastAsia" w:cs="方正仿宋_GBK"/>
          <w:b w:val="0"/>
          <w:bCs w:val="0"/>
          <w:color w:val="auto"/>
          <w:kern w:val="0"/>
          <w:sz w:val="32"/>
          <w:szCs w:val="32"/>
          <w:lang w:val="en-US" w:eastAsia="zh-CN" w:bidi="ar"/>
        </w:rPr>
        <w:t>理论学习中心组</w:t>
      </w:r>
      <w:r>
        <w:rPr>
          <w:rFonts w:hint="eastAsia" w:ascii="宋体" w:hAnsi="宋体" w:eastAsia="方正仿宋_GBK" w:cs="方正仿宋_GBK"/>
          <w:b w:val="0"/>
          <w:bCs w:val="0"/>
          <w:color w:val="auto"/>
          <w:kern w:val="0"/>
          <w:sz w:val="32"/>
          <w:szCs w:val="32"/>
          <w:lang w:val="en-US" w:eastAsia="zh-CN" w:bidi="ar"/>
        </w:rPr>
        <w:t>会议</w:t>
      </w:r>
      <w:r>
        <w:rPr>
          <w:rFonts w:hint="eastAsia" w:ascii="宋体" w:hAnsi="宋体" w:cs="方正仿宋_GBK"/>
          <w:b w:val="0"/>
          <w:bCs w:val="0"/>
          <w:color w:val="auto"/>
          <w:kern w:val="0"/>
          <w:sz w:val="32"/>
          <w:szCs w:val="32"/>
          <w:lang w:val="en-US" w:eastAsia="zh-CN" w:bidi="ar"/>
        </w:rPr>
        <w:t>3次</w:t>
      </w:r>
      <w:r>
        <w:rPr>
          <w:rFonts w:hint="eastAsia" w:ascii="宋体" w:hAnsi="宋体" w:eastAsia="方正仿宋_GBK" w:cs="方正仿宋_GBK"/>
          <w:b w:val="0"/>
          <w:bCs w:val="0"/>
          <w:color w:val="auto"/>
          <w:kern w:val="0"/>
          <w:sz w:val="32"/>
          <w:szCs w:val="32"/>
          <w:lang w:val="en-US" w:eastAsia="zh-CN" w:bidi="ar"/>
        </w:rPr>
        <w:t>，认真传达学习《习近平法治思想学习纲要》《领导干部应知应会党内法规和国家法律汇编》以及其他相关法律法规，切实增强了领导干部的法治意识和依法办事能力，为全局法治建设工作的扎实开展奠定了坚实基础，有力推动了全局法治建设工作向纵深发展，确保各项工作在法治轨道上有序运行。</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lang w:eastAsia="zh-CN"/>
        </w:rPr>
        <w:t>（二）</w:t>
      </w:r>
      <w:r>
        <w:rPr>
          <w:rFonts w:hint="eastAsia" w:ascii="方正楷体_GBK" w:hAnsi="方正楷体_GBK" w:eastAsia="方正楷体_GBK" w:cs="方正楷体_GBK"/>
          <w:b w:val="0"/>
          <w:bCs w:val="0"/>
          <w:color w:val="auto"/>
          <w:sz w:val="32"/>
          <w:szCs w:val="32"/>
        </w:rPr>
        <w:t>落实重大行政决策程序</w:t>
      </w:r>
      <w:r>
        <w:rPr>
          <w:rFonts w:hint="eastAsia" w:ascii="方正楷体_GBK" w:hAnsi="方正楷体_GBK" w:eastAsia="方正楷体_GBK" w:cs="方正楷体_GBK"/>
          <w:b w:val="0"/>
          <w:bCs w:val="0"/>
          <w:color w:val="auto"/>
          <w:sz w:val="32"/>
          <w:szCs w:val="32"/>
          <w:lang w:eastAsia="zh-CN"/>
        </w:rPr>
        <w:t>、</w:t>
      </w:r>
      <w:r>
        <w:rPr>
          <w:rFonts w:hint="eastAsia" w:ascii="方正楷体_GBK" w:hAnsi="方正楷体_GBK" w:eastAsia="方正楷体_GBK" w:cs="方正楷体_GBK"/>
          <w:b w:val="0"/>
          <w:bCs w:val="0"/>
          <w:color w:val="auto"/>
          <w:sz w:val="32"/>
          <w:szCs w:val="32"/>
        </w:rPr>
        <w:t>行政执法</w:t>
      </w:r>
      <w:r>
        <w:rPr>
          <w:rFonts w:hint="eastAsia" w:ascii="方正楷体_GBK" w:hAnsi="方正楷体_GBK" w:eastAsia="方正楷体_GBK" w:cs="方正楷体_GBK"/>
          <w:b w:val="0"/>
          <w:bCs w:val="0"/>
          <w:color w:val="auto"/>
          <w:sz w:val="32"/>
          <w:szCs w:val="32"/>
          <w:lang w:eastAsia="zh-CN"/>
        </w:rPr>
        <w:t>法治化</w:t>
      </w:r>
      <w:r>
        <w:rPr>
          <w:rFonts w:hint="eastAsia" w:ascii="方正楷体_GBK" w:hAnsi="方正楷体_GBK" w:eastAsia="方正楷体_GBK" w:cs="方正楷体_GBK"/>
          <w:b w:val="0"/>
          <w:bCs w:val="0"/>
          <w:color w:val="auto"/>
          <w:sz w:val="32"/>
          <w:szCs w:val="32"/>
        </w:rPr>
        <w:t>制度</w:t>
      </w:r>
      <w:r>
        <w:rPr>
          <w:rFonts w:hint="eastAsia" w:ascii="方正楷体_GBK" w:hAnsi="方正楷体_GBK" w:eastAsia="方正楷体_GBK" w:cs="方正楷体_GBK"/>
          <w:b w:val="0"/>
          <w:bCs w:val="0"/>
          <w:color w:val="auto"/>
          <w:sz w:val="32"/>
          <w:szCs w:val="32"/>
          <w:lang w:eastAsia="zh-CN"/>
        </w:rPr>
        <w:t>，</w:t>
      </w:r>
      <w:r>
        <w:rPr>
          <w:rFonts w:hint="eastAsia" w:ascii="方正楷体_GBK" w:hAnsi="方正楷体_GBK" w:eastAsia="方正楷体_GBK" w:cs="方正楷体_GBK"/>
          <w:b w:val="0"/>
          <w:bCs w:val="0"/>
          <w:color w:val="auto"/>
          <w:sz w:val="32"/>
          <w:szCs w:val="32"/>
        </w:rPr>
        <w:t>推进严格规范公正文明执法</w:t>
      </w:r>
    </w:p>
    <w:p>
      <w:pPr>
        <w:pStyle w:val="12"/>
        <w:keepNext w:val="0"/>
        <w:keepLines w:val="0"/>
        <w:pageBreakBefore w:val="0"/>
        <w:numPr>
          <w:ilvl w:val="0"/>
          <w:numId w:val="0"/>
        </w:numPr>
        <w:kinsoku/>
        <w:wordWrap/>
        <w:overflowPunct/>
        <w:topLinePunct w:val="0"/>
        <w:bidi w:val="0"/>
        <w:adjustRightInd/>
        <w:spacing w:beforeAutospacing="0" w:afterAutospacing="0" w:line="600" w:lineRule="exact"/>
        <w:ind w:firstLine="640" w:firstLineChars="200"/>
        <w:textAlignment w:val="auto"/>
        <w:rPr>
          <w:rFonts w:hint="eastAsia" w:ascii="宋体" w:hAnsi="宋体" w:eastAsia="方正仿宋_GBK" w:cs="方正仿宋_GBK"/>
          <w:b w:val="0"/>
          <w:bCs w:val="0"/>
          <w:color w:val="auto"/>
          <w:kern w:val="0"/>
          <w:sz w:val="32"/>
          <w:szCs w:val="32"/>
          <w:lang w:val="en-US" w:eastAsia="zh-CN" w:bidi="ar"/>
        </w:rPr>
      </w:pPr>
      <w:r>
        <w:rPr>
          <w:rFonts w:hint="eastAsia" w:ascii="宋体" w:hAnsi="宋体" w:eastAsia="方正仿宋_GBK" w:cs="方正仿宋_GBK"/>
          <w:b w:val="0"/>
          <w:bCs w:val="0"/>
          <w:color w:val="auto"/>
          <w:kern w:val="0"/>
          <w:sz w:val="32"/>
          <w:szCs w:val="32"/>
          <w:lang w:val="en-US" w:eastAsia="zh-CN" w:bidi="ar"/>
        </w:rPr>
        <w:t>严格执行《重大行政决策程序暂行条例》，明确重大行政决策范围、权限、规则和程序，认真清理现有行政规范性文件、审核行政规范性文件制定程序、落实规范性文件的备案报告，</w:t>
      </w:r>
      <w:r>
        <w:rPr>
          <w:rFonts w:hint="eastAsia" w:ascii="宋体" w:hAnsi="宋体" w:eastAsia="方正仿宋_GBK" w:cs="方正仿宋_GBK"/>
          <w:b w:val="0"/>
          <w:bCs w:val="0"/>
          <w:color w:val="auto"/>
          <w:sz w:val="32"/>
          <w:szCs w:val="32"/>
        </w:rPr>
        <w:t>全面</w:t>
      </w:r>
      <w:r>
        <w:rPr>
          <w:rFonts w:hint="eastAsia" w:ascii="宋体" w:hAnsi="宋体" w:eastAsia="方正仿宋_GBK" w:cs="方正仿宋_GBK"/>
          <w:b w:val="0"/>
          <w:bCs w:val="0"/>
          <w:color w:val="auto"/>
          <w:sz w:val="32"/>
          <w:szCs w:val="32"/>
          <w:lang w:eastAsia="zh-CN"/>
        </w:rPr>
        <w:t>依法</w:t>
      </w:r>
      <w:r>
        <w:rPr>
          <w:rFonts w:hint="eastAsia" w:ascii="宋体" w:hAnsi="宋体" w:eastAsia="方正仿宋_GBK" w:cs="方正仿宋_GBK"/>
          <w:b w:val="0"/>
          <w:bCs w:val="0"/>
          <w:color w:val="auto"/>
          <w:sz w:val="32"/>
          <w:szCs w:val="32"/>
        </w:rPr>
        <w:t>推进政务公开</w:t>
      </w:r>
      <w:r>
        <w:rPr>
          <w:rFonts w:hint="eastAsia" w:ascii="宋体" w:hAnsi="宋体" w:eastAsia="方正仿宋_GBK" w:cs="方正仿宋_GBK"/>
          <w:b w:val="0"/>
          <w:bCs w:val="0"/>
          <w:color w:val="auto"/>
          <w:sz w:val="32"/>
          <w:szCs w:val="32"/>
          <w:lang w:eastAsia="zh-CN"/>
        </w:rPr>
        <w:t>工作。</w:t>
      </w:r>
      <w:r>
        <w:rPr>
          <w:rFonts w:hint="eastAsia" w:ascii="宋体" w:hAnsi="宋体" w:eastAsia="方正仿宋_GBK" w:cs="方正仿宋_GBK"/>
          <w:b w:val="0"/>
          <w:bCs w:val="0"/>
          <w:color w:val="auto"/>
          <w:kern w:val="2"/>
          <w:sz w:val="32"/>
          <w:szCs w:val="32"/>
          <w:lang w:val="en-US" w:eastAsia="zh-CN" w:bidi="ar-SA"/>
        </w:rPr>
        <w:t>落实证明事项告知承诺制，大力推动许可事项全程电子化办理。</w:t>
      </w:r>
      <w:r>
        <w:rPr>
          <w:rFonts w:hint="eastAsia" w:ascii="宋体" w:hAnsi="宋体" w:eastAsia="方正仿宋_GBK" w:cs="方正仿宋_GBK"/>
          <w:b w:val="0"/>
          <w:bCs w:val="0"/>
          <w:color w:val="auto"/>
          <w:sz w:val="32"/>
          <w:szCs w:val="32"/>
          <w:lang w:val="en-US" w:eastAsia="zh-CN"/>
        </w:rPr>
        <w:t>今年以来，政务服务综合窗口受理新办《农药经营许可证》69件，延续换证78件。开展巡查检查385次，出动检查人员1111人，检查种子、农药、肥料、兽药、饲料等经营店1318家次，芒市农业综合行政执法大队办结农药案件13件。加强</w:t>
      </w:r>
      <w:r>
        <w:rPr>
          <w:rFonts w:hint="eastAsia" w:ascii="宋体" w:hAnsi="宋体" w:eastAsia="方正仿宋_GBK" w:cs="方正仿宋_GBK"/>
          <w:b w:val="0"/>
          <w:bCs w:val="0"/>
          <w:color w:val="auto"/>
          <w:kern w:val="0"/>
          <w:sz w:val="32"/>
          <w:szCs w:val="32"/>
          <w:lang w:val="en-US" w:eastAsia="zh-CN" w:bidi="ar"/>
        </w:rPr>
        <w:t>芒市农业综合行政执法大队队伍建设，现有执法人员6人，开展农药监督抽查1次，抽样送检农药样品10批次，经检验合格率达100%。强化农业行政案件查处，2024年</w:t>
      </w:r>
      <w:r>
        <w:rPr>
          <w:rFonts w:hint="eastAsia" w:ascii="方正仿宋_GBK" w:hAnsi="方正仿宋_GBK" w:eastAsia="方正仿宋_GBK" w:cs="方正仿宋_GBK"/>
          <w:sz w:val="32"/>
          <w:szCs w:val="32"/>
          <w:lang w:val="en-US" w:eastAsia="zh-CN"/>
        </w:rPr>
        <w:t>共开展集中</w:t>
      </w:r>
      <w:r>
        <w:rPr>
          <w:rFonts w:hint="eastAsia" w:ascii="方正仿宋_GBK" w:hAnsi="方正仿宋_GBK" w:eastAsia="方正仿宋_GBK" w:cs="方正仿宋_GBK"/>
          <w:sz w:val="32"/>
          <w:szCs w:val="32"/>
        </w:rPr>
        <w:t>执法</w:t>
      </w:r>
      <w:r>
        <w:rPr>
          <w:rFonts w:hint="eastAsia" w:ascii="方正仿宋_GBK" w:hAnsi="方正仿宋_GBK" w:eastAsia="方正仿宋_GBK" w:cs="方正仿宋_GBK"/>
          <w:sz w:val="32"/>
          <w:szCs w:val="32"/>
          <w:lang w:val="en-US" w:eastAsia="zh-CN"/>
        </w:rPr>
        <w:t>52</w:t>
      </w:r>
      <w:r>
        <w:rPr>
          <w:rFonts w:hint="eastAsia" w:ascii="方正仿宋_GBK" w:hAnsi="方正仿宋_GBK" w:eastAsia="方正仿宋_GBK" w:cs="方正仿宋_GBK"/>
          <w:sz w:val="32"/>
          <w:szCs w:val="32"/>
        </w:rPr>
        <w:t>次，</w:t>
      </w:r>
      <w:r>
        <w:rPr>
          <w:rFonts w:hint="eastAsia" w:ascii="方正仿宋_GBK" w:hAnsi="方正仿宋_GBK" w:eastAsia="方正仿宋_GBK" w:cs="方正仿宋_GBK"/>
          <w:sz w:val="32"/>
          <w:szCs w:val="32"/>
          <w:lang w:val="en-US" w:eastAsia="zh-CN"/>
        </w:rPr>
        <w:t>一般程序行政处罚案件42件，简易执法程序案件6件，</w:t>
      </w:r>
      <w:r>
        <w:rPr>
          <w:rFonts w:hint="eastAsia" w:ascii="宋体" w:hAnsi="宋体" w:eastAsia="方正仿宋_GBK" w:cs="方正仿宋_GBK"/>
          <w:b w:val="0"/>
          <w:bCs w:val="0"/>
          <w:color w:val="auto"/>
          <w:kern w:val="0"/>
          <w:sz w:val="32"/>
          <w:szCs w:val="32"/>
          <w:lang w:val="en-US" w:eastAsia="zh-CN" w:bidi="ar"/>
        </w:rPr>
        <w:t xml:space="preserve">执法案件涉及畜禽产品应检疫未检疫、种子、农药、肥料、农机、农产品质量安全、非法电捕鱼等方面。         </w:t>
      </w:r>
      <w:r>
        <w:rPr>
          <w:rFonts w:hint="eastAsia" w:ascii="宋体" w:hAnsi="宋体" w:eastAsia="方正仿宋_GBK" w:cs="方正仿宋_GBK"/>
          <w:b w:val="0"/>
          <w:bCs w:val="0"/>
          <w:color w:val="0000FF"/>
          <w:kern w:val="0"/>
          <w:sz w:val="32"/>
          <w:szCs w:val="32"/>
          <w:lang w:val="en-US" w:eastAsia="zh-CN" w:bidi="ar"/>
        </w:rPr>
        <w:t xml:space="preserve"> </w:t>
      </w:r>
      <w:r>
        <w:rPr>
          <w:rFonts w:hint="eastAsia" w:ascii="宋体" w:hAnsi="宋体" w:eastAsia="方正仿宋_GBK" w:cs="方正仿宋_GBK"/>
          <w:b w:val="0"/>
          <w:bCs w:val="0"/>
          <w:color w:val="auto"/>
          <w:kern w:val="0"/>
          <w:sz w:val="32"/>
          <w:szCs w:val="32"/>
          <w:lang w:val="en-US" w:eastAsia="zh-CN" w:bidi="ar"/>
        </w:rPr>
        <w:t xml:space="preserve">                  </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textAlignment w:val="auto"/>
        <w:rPr>
          <w:rFonts w:hint="eastAsia" w:ascii="宋体" w:hAnsi="宋体" w:eastAsia="方正仿宋_GBK" w:cs="方正仿宋_GBK"/>
          <w:b w:val="0"/>
          <w:bCs w:val="0"/>
          <w:color w:val="auto"/>
          <w:sz w:val="32"/>
          <w:szCs w:val="32"/>
        </w:rPr>
      </w:pPr>
      <w:r>
        <w:rPr>
          <w:rFonts w:hint="eastAsia" w:ascii="方正楷体_GBK" w:hAnsi="方正楷体_GBK" w:eastAsia="方正楷体_GBK" w:cs="方正楷体_GBK"/>
          <w:b w:val="0"/>
          <w:bCs w:val="0"/>
          <w:color w:val="auto"/>
          <w:sz w:val="32"/>
          <w:szCs w:val="32"/>
          <w:lang w:eastAsia="zh-CN"/>
        </w:rPr>
        <w:t>（三）</w:t>
      </w:r>
      <w:r>
        <w:rPr>
          <w:rFonts w:hint="eastAsia" w:ascii="方正楷体_GBK" w:hAnsi="方正楷体_GBK" w:eastAsia="方正楷体_GBK" w:cs="方正楷体_GBK"/>
          <w:b w:val="0"/>
          <w:bCs w:val="0"/>
          <w:color w:val="auto"/>
          <w:sz w:val="32"/>
          <w:szCs w:val="32"/>
        </w:rPr>
        <w:t>加强法治队伍建设</w:t>
      </w:r>
      <w:r>
        <w:rPr>
          <w:rFonts w:hint="eastAsia" w:ascii="方正楷体_GBK" w:hAnsi="方正楷体_GBK" w:eastAsia="方正楷体_GBK" w:cs="方正楷体_GBK"/>
          <w:b w:val="0"/>
          <w:bCs w:val="0"/>
          <w:color w:val="auto"/>
          <w:sz w:val="32"/>
          <w:szCs w:val="32"/>
          <w:lang w:eastAsia="zh-CN"/>
        </w:rPr>
        <w:t>，</w:t>
      </w:r>
      <w:r>
        <w:rPr>
          <w:rFonts w:hint="eastAsia" w:ascii="方正楷体_GBK" w:hAnsi="方正楷体_GBK" w:eastAsia="方正楷体_GBK" w:cs="方正楷体_GBK"/>
          <w:b w:val="0"/>
          <w:bCs w:val="0"/>
          <w:color w:val="auto"/>
          <w:sz w:val="32"/>
          <w:szCs w:val="32"/>
        </w:rPr>
        <w:t>落实“谁执法谁普法”责任制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宋体" w:hAnsi="宋体" w:eastAsia="方正仿宋_GBK" w:cs="方正仿宋_GBK"/>
          <w:b w:val="0"/>
          <w:bCs w:val="0"/>
          <w:color w:val="auto"/>
          <w:kern w:val="0"/>
          <w:sz w:val="32"/>
          <w:szCs w:val="32"/>
          <w:lang w:val="en-US" w:eastAsia="zh-CN" w:bidi="ar"/>
        </w:rPr>
      </w:pPr>
      <w:r>
        <w:rPr>
          <w:rFonts w:hint="eastAsia" w:cs="方正仿宋_GBK"/>
          <w:b w:val="0"/>
          <w:bCs w:val="0"/>
          <w:color w:val="auto"/>
          <w:kern w:val="2"/>
          <w:sz w:val="32"/>
          <w:szCs w:val="32"/>
          <w:lang w:val="en-US" w:eastAsia="zh-CN" w:bidi="ar-SA"/>
        </w:rPr>
        <w:t>执法</w:t>
      </w:r>
      <w:r>
        <w:rPr>
          <w:rFonts w:hint="eastAsia" w:ascii="宋体" w:hAnsi="宋体" w:eastAsia="方正仿宋_GBK" w:cs="方正仿宋_GBK"/>
          <w:b w:val="0"/>
          <w:bCs w:val="0"/>
          <w:color w:val="auto"/>
          <w:kern w:val="2"/>
          <w:sz w:val="32"/>
          <w:szCs w:val="32"/>
          <w:lang w:val="en-US" w:eastAsia="zh-CN" w:bidi="ar-SA"/>
        </w:rPr>
        <w:t>队伍在法治化、正规化、专业化建设上迈上了新台阶。通过举办培训班、线上答题、</w:t>
      </w:r>
      <w:r>
        <w:rPr>
          <w:rFonts w:hint="eastAsia" w:ascii="宋体" w:hAnsi="宋体" w:eastAsia="方正仿宋_GBK" w:cs="方正仿宋_GBK"/>
          <w:b w:val="0"/>
          <w:bCs w:val="0"/>
          <w:color w:val="auto"/>
          <w:kern w:val="0"/>
          <w:sz w:val="32"/>
          <w:szCs w:val="32"/>
          <w:lang w:val="en-US" w:eastAsia="zh-CN" w:bidi="ar"/>
        </w:rPr>
        <w:t>“以案释法”等多种形式提升干部职工运用法治思维和法治方式解决问题的能力。</w:t>
      </w:r>
      <w:r>
        <w:rPr>
          <w:rFonts w:hint="eastAsia" w:cs="方正仿宋_GBK"/>
          <w:b w:val="0"/>
          <w:bCs w:val="0"/>
          <w:color w:val="auto"/>
          <w:kern w:val="2"/>
          <w:sz w:val="32"/>
          <w:szCs w:val="32"/>
          <w:lang w:val="en-US" w:eastAsia="zh-CN" w:bidi="ar-SA"/>
        </w:rPr>
        <w:t>我</w:t>
      </w:r>
      <w:r>
        <w:rPr>
          <w:rFonts w:hint="eastAsia" w:ascii="宋体" w:hAnsi="宋体" w:eastAsia="方正仿宋_GBK" w:cs="方正仿宋_GBK"/>
          <w:b w:val="0"/>
          <w:bCs w:val="0"/>
          <w:color w:val="auto"/>
          <w:kern w:val="2"/>
          <w:sz w:val="32"/>
          <w:szCs w:val="32"/>
          <w:lang w:val="en-US" w:eastAsia="zh-CN" w:bidi="ar-SA"/>
        </w:rPr>
        <w:t>局10</w:t>
      </w:r>
      <w:r>
        <w:rPr>
          <w:rFonts w:hint="eastAsia" w:cs="方正仿宋_GBK"/>
          <w:b w:val="0"/>
          <w:bCs w:val="0"/>
          <w:color w:val="auto"/>
          <w:kern w:val="2"/>
          <w:sz w:val="32"/>
          <w:szCs w:val="32"/>
          <w:lang w:val="en-US" w:eastAsia="zh-CN" w:bidi="ar-SA"/>
        </w:rPr>
        <w:t>1</w:t>
      </w:r>
      <w:r>
        <w:rPr>
          <w:rFonts w:hint="eastAsia" w:ascii="宋体" w:hAnsi="宋体" w:eastAsia="方正仿宋_GBK" w:cs="方正仿宋_GBK"/>
          <w:b w:val="0"/>
          <w:bCs w:val="0"/>
          <w:color w:val="auto"/>
          <w:kern w:val="2"/>
          <w:sz w:val="32"/>
          <w:szCs w:val="32"/>
          <w:lang w:val="en-US" w:eastAsia="zh-CN" w:bidi="ar-SA"/>
        </w:rPr>
        <w:t>名</w:t>
      </w:r>
      <w:r>
        <w:rPr>
          <w:rFonts w:hint="eastAsia" w:cs="方正仿宋_GBK"/>
          <w:b w:val="0"/>
          <w:bCs w:val="0"/>
          <w:color w:val="auto"/>
          <w:kern w:val="2"/>
          <w:sz w:val="32"/>
          <w:szCs w:val="32"/>
          <w:lang w:val="en-US" w:eastAsia="zh-CN" w:bidi="ar-SA"/>
        </w:rPr>
        <w:t>人员持有行政执法证，今年以来组织执法人员开展行政执法人员公共法律知识培训班3期，培训人员293人次，进一步提升了行业监管和行政执法人员的理论水平和业务素质，确保了日常监管和执法工作的顺利开展。</w:t>
      </w:r>
      <w:r>
        <w:rPr>
          <w:rFonts w:hint="eastAsia" w:ascii="宋体" w:hAnsi="宋体" w:eastAsia="方正仿宋_GBK" w:cs="方正仿宋_GBK"/>
          <w:b w:val="0"/>
          <w:bCs w:val="0"/>
          <w:color w:val="auto"/>
          <w:sz w:val="32"/>
          <w:szCs w:val="32"/>
          <w:lang w:val="en-US" w:eastAsia="zh-CN"/>
        </w:rPr>
        <w:t>组织开展农药经营人员为期56学时的培训班</w:t>
      </w:r>
      <w:r>
        <w:rPr>
          <w:rFonts w:hint="eastAsia" w:cs="方正仿宋_GBK"/>
          <w:b w:val="0"/>
          <w:bCs w:val="0"/>
          <w:color w:val="auto"/>
          <w:sz w:val="32"/>
          <w:szCs w:val="32"/>
          <w:lang w:val="en-US" w:eastAsia="zh-CN"/>
        </w:rPr>
        <w:t>1</w:t>
      </w:r>
      <w:r>
        <w:rPr>
          <w:rFonts w:hint="eastAsia" w:ascii="宋体" w:hAnsi="宋体" w:eastAsia="方正仿宋_GBK" w:cs="方正仿宋_GBK"/>
          <w:b w:val="0"/>
          <w:bCs w:val="0"/>
          <w:color w:val="auto"/>
          <w:sz w:val="32"/>
          <w:szCs w:val="32"/>
          <w:lang w:val="en-US" w:eastAsia="zh-CN"/>
        </w:rPr>
        <w:t>期，培训人员</w:t>
      </w:r>
      <w:r>
        <w:rPr>
          <w:rFonts w:hint="eastAsia" w:cs="方正仿宋_GBK"/>
          <w:b w:val="0"/>
          <w:bCs w:val="0"/>
          <w:color w:val="auto"/>
          <w:sz w:val="32"/>
          <w:szCs w:val="32"/>
          <w:lang w:val="en-US" w:eastAsia="zh-CN"/>
        </w:rPr>
        <w:t>72</w:t>
      </w:r>
      <w:r>
        <w:rPr>
          <w:rFonts w:hint="eastAsia" w:ascii="宋体" w:hAnsi="宋体" w:eastAsia="方正仿宋_GBK" w:cs="方正仿宋_GBK"/>
          <w:b w:val="0"/>
          <w:bCs w:val="0"/>
          <w:color w:val="auto"/>
          <w:sz w:val="32"/>
          <w:szCs w:val="32"/>
          <w:lang w:val="en-US" w:eastAsia="zh-CN"/>
        </w:rPr>
        <w:t>人次，深入到各村委会、田间地头开展科学安全用药培训25场次，培训人数1455人次。通过放心农资下乡宣传</w:t>
      </w:r>
      <w:r>
        <w:rPr>
          <w:rFonts w:hint="eastAsia" w:cs="方正仿宋_GBK"/>
          <w:b w:val="0"/>
          <w:bCs w:val="0"/>
          <w:color w:val="auto"/>
          <w:sz w:val="32"/>
          <w:szCs w:val="32"/>
          <w:lang w:val="en-US" w:eastAsia="zh-CN"/>
        </w:rPr>
        <w:t>、高素质农民培训</w:t>
      </w:r>
      <w:r>
        <w:rPr>
          <w:rFonts w:hint="eastAsia" w:ascii="宋体" w:hAnsi="宋体" w:eastAsia="方正仿宋_GBK" w:cs="方正仿宋_GBK"/>
          <w:b w:val="0"/>
          <w:bCs w:val="0"/>
          <w:color w:val="auto"/>
          <w:sz w:val="32"/>
          <w:szCs w:val="32"/>
          <w:lang w:val="en-US" w:eastAsia="zh-CN"/>
        </w:rPr>
        <w:t>等活动，</w:t>
      </w:r>
      <w:r>
        <w:rPr>
          <w:rFonts w:hint="eastAsia" w:ascii="宋体" w:hAnsi="宋体" w:eastAsia="方正仿宋_GBK" w:cs="方正仿宋_GBK"/>
          <w:b w:val="0"/>
          <w:bCs w:val="0"/>
          <w:i w:val="0"/>
          <w:iCs w:val="0"/>
          <w:caps w:val="0"/>
          <w:color w:val="auto"/>
          <w:spacing w:val="0"/>
          <w:sz w:val="32"/>
          <w:szCs w:val="32"/>
          <w:shd w:val="clear" w:color="auto" w:fill="FFFFFF"/>
          <w:lang w:val="en-US" w:eastAsia="zh-CN"/>
        </w:rPr>
        <w:t>对</w:t>
      </w:r>
      <w:r>
        <w:rPr>
          <w:rFonts w:hint="eastAsia" w:cs="方正仿宋_GBK"/>
          <w:b w:val="0"/>
          <w:bCs w:val="0"/>
          <w:i w:val="0"/>
          <w:iCs w:val="0"/>
          <w:caps w:val="0"/>
          <w:color w:val="auto"/>
          <w:spacing w:val="0"/>
          <w:sz w:val="32"/>
          <w:szCs w:val="32"/>
          <w:shd w:val="clear" w:color="auto" w:fill="FFFFFF"/>
          <w:lang w:val="en-US" w:eastAsia="zh-CN"/>
        </w:rPr>
        <w:t>《中华人民共和国宪法》</w:t>
      </w:r>
      <w:r>
        <w:rPr>
          <w:rFonts w:hint="eastAsia" w:ascii="宋体" w:hAnsi="宋体" w:eastAsia="方正仿宋_GBK" w:cs="方正仿宋_GBK"/>
          <w:b w:val="0"/>
          <w:bCs w:val="0"/>
          <w:i w:val="0"/>
          <w:iCs w:val="0"/>
          <w:caps w:val="0"/>
          <w:color w:val="auto"/>
          <w:spacing w:val="0"/>
          <w:sz w:val="32"/>
          <w:szCs w:val="32"/>
          <w:shd w:val="clear" w:color="auto" w:fill="FFFFFF"/>
          <w:lang w:val="en-US" w:eastAsia="zh-CN"/>
        </w:rPr>
        <w:t>《</w:t>
      </w:r>
      <w:r>
        <w:rPr>
          <w:rFonts w:hint="eastAsia" w:cs="方正仿宋_GBK"/>
          <w:b w:val="0"/>
          <w:bCs w:val="0"/>
          <w:i w:val="0"/>
          <w:iCs w:val="0"/>
          <w:caps w:val="0"/>
          <w:color w:val="auto"/>
          <w:spacing w:val="0"/>
          <w:sz w:val="32"/>
          <w:szCs w:val="32"/>
          <w:shd w:val="clear" w:color="auto" w:fill="FFFFFF"/>
          <w:lang w:val="en-US" w:eastAsia="zh-CN"/>
        </w:rPr>
        <w:t>中华人民共和国</w:t>
      </w:r>
      <w:r>
        <w:rPr>
          <w:rFonts w:hint="eastAsia" w:ascii="宋体" w:hAnsi="宋体" w:eastAsia="方正仿宋_GBK" w:cs="方正仿宋_GBK"/>
          <w:b w:val="0"/>
          <w:bCs w:val="0"/>
          <w:i w:val="0"/>
          <w:iCs w:val="0"/>
          <w:caps w:val="0"/>
          <w:color w:val="auto"/>
          <w:spacing w:val="0"/>
          <w:sz w:val="32"/>
          <w:szCs w:val="32"/>
          <w:shd w:val="clear" w:color="auto" w:fill="FFFFFF"/>
          <w:lang w:val="en-US" w:eastAsia="zh-CN"/>
        </w:rPr>
        <w:t>民法典》《</w:t>
      </w:r>
      <w:r>
        <w:rPr>
          <w:rFonts w:hint="eastAsia" w:cs="方正仿宋_GBK"/>
          <w:b w:val="0"/>
          <w:bCs w:val="0"/>
          <w:i w:val="0"/>
          <w:iCs w:val="0"/>
          <w:caps w:val="0"/>
          <w:color w:val="auto"/>
          <w:spacing w:val="0"/>
          <w:sz w:val="32"/>
          <w:szCs w:val="32"/>
          <w:shd w:val="clear" w:color="auto" w:fill="FFFFFF"/>
          <w:lang w:val="en-US" w:eastAsia="zh-CN"/>
        </w:rPr>
        <w:t>中华人民共和国</w:t>
      </w:r>
      <w:r>
        <w:rPr>
          <w:rFonts w:hint="eastAsia" w:ascii="宋体" w:hAnsi="宋体" w:eastAsia="方正仿宋_GBK" w:cs="方正仿宋_GBK"/>
          <w:b w:val="0"/>
          <w:bCs w:val="0"/>
          <w:i w:val="0"/>
          <w:iCs w:val="0"/>
          <w:caps w:val="0"/>
          <w:color w:val="auto"/>
          <w:spacing w:val="0"/>
          <w:sz w:val="32"/>
          <w:szCs w:val="32"/>
          <w:shd w:val="clear" w:color="auto" w:fill="FFFFFF"/>
          <w:lang w:val="en-US" w:eastAsia="zh-CN"/>
        </w:rPr>
        <w:t>农产品质量安全法》等法律法规进行了广泛的宣传，发放宣传资料</w:t>
      </w:r>
      <w:r>
        <w:rPr>
          <w:rFonts w:hint="eastAsia" w:cs="方正仿宋_GBK"/>
          <w:b w:val="0"/>
          <w:bCs w:val="0"/>
          <w:i w:val="0"/>
          <w:iCs w:val="0"/>
          <w:caps w:val="0"/>
          <w:color w:val="auto"/>
          <w:spacing w:val="0"/>
          <w:sz w:val="32"/>
          <w:szCs w:val="32"/>
          <w:shd w:val="clear" w:color="auto" w:fill="FFFFFF"/>
          <w:lang w:val="en-US" w:eastAsia="zh-CN"/>
        </w:rPr>
        <w:t>近6</w:t>
      </w:r>
      <w:r>
        <w:rPr>
          <w:rFonts w:hint="eastAsia" w:ascii="宋体" w:hAnsi="宋体" w:eastAsia="方正仿宋_GBK" w:cs="方正仿宋_GBK"/>
          <w:b w:val="0"/>
          <w:bCs w:val="0"/>
          <w:i w:val="0"/>
          <w:iCs w:val="0"/>
          <w:caps w:val="0"/>
          <w:color w:val="auto"/>
          <w:spacing w:val="0"/>
          <w:sz w:val="32"/>
          <w:szCs w:val="32"/>
          <w:shd w:val="clear" w:color="auto" w:fill="FFFFFF"/>
          <w:lang w:val="en-US" w:eastAsia="zh-CN"/>
        </w:rPr>
        <w:t>000份，接受群众咨询1100余人次</w:t>
      </w:r>
      <w:r>
        <w:rPr>
          <w:rFonts w:hint="eastAsia" w:cs="方正仿宋_GBK"/>
          <w:b w:val="0"/>
          <w:bCs w:val="0"/>
          <w:i w:val="0"/>
          <w:iCs w:val="0"/>
          <w:caps w:val="0"/>
          <w:color w:val="auto"/>
          <w:spacing w:val="0"/>
          <w:sz w:val="32"/>
          <w:szCs w:val="32"/>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shd w:val="clear" w:color="auto" w:fill="FFFFFF"/>
          <w:lang w:val="en-US" w:eastAsia="zh-CN"/>
        </w:rPr>
        <w:t>营造全民学法、懂法、尊法、守法、用法的良好氛围</w:t>
      </w:r>
      <w:r>
        <w:rPr>
          <w:rFonts w:hint="eastAsia" w:ascii="宋体" w:hAnsi="宋体" w:eastAsia="方正仿宋_GBK" w:cs="方正仿宋_GBK"/>
          <w:b w:val="0"/>
          <w:bCs w:val="0"/>
          <w:color w:val="auto"/>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楷体_GBK" w:hAnsi="方正楷体_GBK" w:eastAsia="方正楷体_GBK" w:cs="方正楷体_GBK"/>
          <w:b w:val="0"/>
          <w:bCs w:val="0"/>
          <w:color w:val="auto"/>
          <w:kern w:val="0"/>
          <w:sz w:val="32"/>
          <w:szCs w:val="32"/>
          <w:lang w:val="en-US" w:eastAsia="zh-CN" w:bidi="ar"/>
        </w:rPr>
      </w:pPr>
      <w:r>
        <w:rPr>
          <w:rFonts w:hint="eastAsia" w:ascii="方正楷体_GBK" w:hAnsi="方正楷体_GBK" w:eastAsia="方正楷体_GBK" w:cs="方正楷体_GBK"/>
          <w:b w:val="0"/>
          <w:bCs w:val="0"/>
          <w:color w:val="auto"/>
          <w:kern w:val="0"/>
          <w:sz w:val="32"/>
          <w:szCs w:val="32"/>
          <w:lang w:val="en-US" w:eastAsia="zh-CN" w:bidi="ar"/>
        </w:rPr>
        <w:t>（四）加大执法力度，开展全方位农业综合行政执法工作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宋体" w:hAnsi="宋体" w:eastAsia="方正仿宋_GBK" w:cs="方正仿宋_GBK"/>
          <w:b w:val="0"/>
          <w:bCs w:val="0"/>
          <w:color w:val="auto"/>
          <w:kern w:val="0"/>
          <w:sz w:val="32"/>
          <w:szCs w:val="32"/>
          <w:lang w:val="en-US" w:eastAsia="zh-CN" w:bidi="ar"/>
        </w:rPr>
      </w:pPr>
      <w:r>
        <w:rPr>
          <w:rFonts w:hint="eastAsia" w:ascii="宋体" w:hAnsi="宋体" w:eastAsia="方正仿宋_GBK" w:cs="方正仿宋_GBK"/>
          <w:b w:val="0"/>
          <w:bCs w:val="0"/>
          <w:color w:val="auto"/>
          <w:kern w:val="0"/>
          <w:sz w:val="32"/>
          <w:szCs w:val="32"/>
          <w:lang w:val="en-US" w:eastAsia="zh-CN" w:bidi="ar"/>
        </w:rPr>
        <w:t>坚持以习近平新时代中国特色社会主义思想为指导，全面贯彻落实党的二十大精神，深入贯彻习近平法治思想和习近平总书记考察云南重要讲话</w:t>
      </w:r>
      <w:r>
        <w:rPr>
          <w:rFonts w:hint="eastAsia" w:cs="方正仿宋_GBK"/>
          <w:b w:val="0"/>
          <w:bCs w:val="0"/>
          <w:color w:val="auto"/>
          <w:kern w:val="0"/>
          <w:sz w:val="32"/>
          <w:szCs w:val="32"/>
          <w:lang w:val="en-US" w:eastAsia="zh-CN" w:bidi="ar"/>
        </w:rPr>
        <w:t>精神</w:t>
      </w:r>
      <w:r>
        <w:rPr>
          <w:rFonts w:hint="eastAsia" w:ascii="宋体" w:hAnsi="宋体" w:eastAsia="方正仿宋_GBK" w:cs="方正仿宋_GBK"/>
          <w:b w:val="0"/>
          <w:bCs w:val="0"/>
          <w:color w:val="auto"/>
          <w:kern w:val="0"/>
          <w:sz w:val="32"/>
          <w:szCs w:val="32"/>
          <w:lang w:val="en-US" w:eastAsia="zh-CN" w:bidi="ar"/>
        </w:rPr>
        <w:t>，坚持问题导向，目标导向，效果导向，认真组织开展行政执法突出问题专项整治工作，经过认真排查我单位不存在运动式执法、“一刀切”执法、简单粗暴执法、野蛮执法、过度执法、机械执法、逐利执法等不作为乱作为问题</w:t>
      </w:r>
      <w:r>
        <w:rPr>
          <w:rFonts w:hint="eastAsia" w:cs="方正仿宋_GBK"/>
          <w:b w:val="0"/>
          <w:bCs w:val="0"/>
          <w:color w:val="auto"/>
          <w:kern w:val="0"/>
          <w:sz w:val="32"/>
          <w:szCs w:val="32"/>
          <w:lang w:val="en-US" w:eastAsia="zh-CN" w:bidi="ar"/>
        </w:rPr>
        <w:t>，列出问题清单，限期进行整改落实，不断提升依法行政水平。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方正楷体_GBK" w:hAnsi="方正楷体_GBK" w:eastAsia="方正楷体_GBK" w:cs="方正楷体_GBK"/>
          <w:b w:val="0"/>
          <w:bCs w:val="0"/>
          <w:color w:val="auto"/>
          <w:kern w:val="0"/>
          <w:sz w:val="32"/>
          <w:szCs w:val="32"/>
          <w:lang w:val="en-US" w:eastAsia="zh-CN" w:bidi="ar"/>
        </w:rPr>
      </w:pPr>
      <w:r>
        <w:rPr>
          <w:rFonts w:hint="eastAsia" w:ascii="方正仿宋_GBK" w:hAnsi="方正仿宋_GBK" w:eastAsia="方正仿宋_GBK" w:cs="方正仿宋_GBK"/>
          <w:sz w:val="32"/>
          <w:szCs w:val="32"/>
          <w:lang w:val="en-US" w:eastAsia="zh-CN"/>
        </w:rPr>
        <w:t>芒市</w:t>
      </w:r>
      <w:r>
        <w:rPr>
          <w:rFonts w:hint="eastAsia" w:ascii="方正仿宋_GBK" w:hAnsi="方正仿宋_GBK" w:eastAsia="方正仿宋_GBK" w:cs="方正仿宋_GBK"/>
          <w:sz w:val="32"/>
          <w:szCs w:val="32"/>
        </w:rPr>
        <w:t>农业</w:t>
      </w:r>
      <w:r>
        <w:rPr>
          <w:rFonts w:hint="eastAsia" w:ascii="方正仿宋_GBK" w:hAnsi="方正仿宋_GBK" w:eastAsia="方正仿宋_GBK" w:cs="方正仿宋_GBK"/>
          <w:sz w:val="32"/>
          <w:szCs w:val="32"/>
          <w:lang w:val="en-US" w:eastAsia="zh-CN"/>
        </w:rPr>
        <w:t>综合</w:t>
      </w:r>
      <w:r>
        <w:rPr>
          <w:rFonts w:hint="eastAsia" w:ascii="方正仿宋_GBK" w:hAnsi="方正仿宋_GBK" w:eastAsia="方正仿宋_GBK" w:cs="方正仿宋_GBK"/>
          <w:sz w:val="32"/>
          <w:szCs w:val="32"/>
        </w:rPr>
        <w:t>行政执法大队</w:t>
      </w:r>
      <w:r>
        <w:rPr>
          <w:rFonts w:hint="eastAsia" w:ascii="方正仿宋_GBK" w:hAnsi="方正仿宋_GBK" w:cs="方正仿宋_GBK"/>
          <w:sz w:val="32"/>
          <w:szCs w:val="32"/>
          <w:lang w:val="en-US" w:eastAsia="zh-CN"/>
        </w:rPr>
        <w:t>2024年</w:t>
      </w:r>
      <w:r>
        <w:rPr>
          <w:rFonts w:hint="eastAsia" w:ascii="方正仿宋_GBK" w:hAnsi="方正仿宋_GBK" w:eastAsia="方正仿宋_GBK" w:cs="方正仿宋_GBK"/>
          <w:sz w:val="32"/>
          <w:szCs w:val="32"/>
          <w:lang w:val="en-US" w:eastAsia="zh-CN"/>
        </w:rPr>
        <w:t>开展集中</w:t>
      </w:r>
      <w:r>
        <w:rPr>
          <w:rFonts w:hint="eastAsia" w:ascii="方正仿宋_GBK" w:hAnsi="方正仿宋_GBK" w:eastAsia="方正仿宋_GBK" w:cs="方正仿宋_GBK"/>
          <w:sz w:val="32"/>
          <w:szCs w:val="32"/>
        </w:rPr>
        <w:t>执法</w:t>
      </w:r>
      <w:r>
        <w:rPr>
          <w:rFonts w:hint="eastAsia" w:ascii="方正仿宋_GBK" w:hAnsi="方正仿宋_GBK" w:cs="方正仿宋_GBK"/>
          <w:sz w:val="32"/>
          <w:szCs w:val="32"/>
          <w:lang w:val="en-US" w:eastAsia="zh-CN"/>
        </w:rPr>
        <w:t>52</w:t>
      </w:r>
      <w:r>
        <w:rPr>
          <w:rFonts w:hint="eastAsia" w:ascii="方正仿宋_GBK" w:hAnsi="方正仿宋_GBK" w:eastAsia="方正仿宋_GBK" w:cs="方正仿宋_GBK"/>
          <w:sz w:val="32"/>
          <w:szCs w:val="32"/>
        </w:rPr>
        <w:t>次，出动人员</w:t>
      </w:r>
      <w:r>
        <w:rPr>
          <w:rFonts w:hint="eastAsia" w:ascii="方正仿宋_GBK" w:hAnsi="方正仿宋_GBK" w:eastAsia="方正仿宋_GBK" w:cs="方正仿宋_GBK"/>
          <w:sz w:val="32"/>
          <w:szCs w:val="32"/>
          <w:lang w:val="en-US" w:eastAsia="zh-CN"/>
        </w:rPr>
        <w:t>108</w:t>
      </w:r>
      <w:r>
        <w:rPr>
          <w:rFonts w:hint="eastAsia" w:ascii="方正仿宋_GBK" w:hAnsi="方正仿宋_GBK" w:eastAsia="方正仿宋_GBK" w:cs="方正仿宋_GBK"/>
          <w:sz w:val="32"/>
          <w:szCs w:val="32"/>
        </w:rPr>
        <w:t>余人</w:t>
      </w:r>
      <w:r>
        <w:rPr>
          <w:rFonts w:hint="eastAsia" w:ascii="方正仿宋_GBK" w:hAnsi="方正仿宋_GBK" w:eastAsia="方正仿宋_GBK" w:cs="方正仿宋_GBK"/>
          <w:sz w:val="32"/>
          <w:szCs w:val="32"/>
          <w:lang w:val="en-US" w:eastAsia="zh-CN"/>
        </w:rPr>
        <w:t>次</w:t>
      </w:r>
      <w:r>
        <w:rPr>
          <w:rFonts w:hint="eastAsia" w:ascii="方正仿宋_GBK" w:hAnsi="方正仿宋_GBK" w:eastAsia="方正仿宋_GBK" w:cs="方正仿宋_GBK"/>
          <w:sz w:val="32"/>
          <w:szCs w:val="32"/>
        </w:rPr>
        <w:t>，出动执法检查车辆</w:t>
      </w:r>
      <w:r>
        <w:rPr>
          <w:rFonts w:hint="eastAsia" w:ascii="方正仿宋_GBK" w:hAnsi="方正仿宋_GBK" w:cs="方正仿宋_GBK"/>
          <w:sz w:val="32"/>
          <w:szCs w:val="32"/>
          <w:lang w:val="en-US" w:eastAsia="zh-CN"/>
        </w:rPr>
        <w:t>58</w:t>
      </w:r>
      <w:r>
        <w:rPr>
          <w:rFonts w:hint="eastAsia" w:ascii="方正仿宋_GBK" w:hAnsi="方正仿宋_GBK" w:eastAsia="方正仿宋_GBK" w:cs="方正仿宋_GBK"/>
          <w:sz w:val="32"/>
          <w:szCs w:val="32"/>
        </w:rPr>
        <w:t>车次，检查整顿各类市场</w:t>
      </w:r>
      <w:r>
        <w:rPr>
          <w:rFonts w:hint="eastAsia" w:ascii="方正仿宋_GBK" w:hAnsi="方正仿宋_GBK" w:eastAsia="方正仿宋_GBK" w:cs="方正仿宋_GBK"/>
          <w:sz w:val="32"/>
          <w:szCs w:val="32"/>
          <w:lang w:val="en-US" w:eastAsia="zh-CN"/>
        </w:rPr>
        <w:t>16</w:t>
      </w:r>
      <w:r>
        <w:rPr>
          <w:rFonts w:hint="eastAsia" w:ascii="方正仿宋_GBK" w:hAnsi="方正仿宋_GBK" w:eastAsia="方正仿宋_GBK" w:cs="方正仿宋_GBK"/>
          <w:sz w:val="32"/>
          <w:szCs w:val="32"/>
        </w:rPr>
        <w:t>个</w:t>
      </w:r>
      <w:r>
        <w:rPr>
          <w:rFonts w:hint="eastAsia" w:ascii="方正仿宋_GBK" w:hAnsi="方正仿宋_GBK" w:eastAsia="方正仿宋_GBK" w:cs="方正仿宋_GBK"/>
          <w:sz w:val="32"/>
          <w:szCs w:val="32"/>
          <w:lang w:val="en-US" w:eastAsia="zh-CN"/>
        </w:rPr>
        <w:t>次</w:t>
      </w:r>
      <w:r>
        <w:rPr>
          <w:rFonts w:hint="eastAsia" w:ascii="方正仿宋_GBK" w:hAnsi="方正仿宋_GBK" w:eastAsia="方正仿宋_GBK" w:cs="方正仿宋_GBK"/>
          <w:sz w:val="32"/>
          <w:szCs w:val="32"/>
        </w:rPr>
        <w:t>，检查整顿经营单位</w:t>
      </w:r>
      <w:r>
        <w:rPr>
          <w:rFonts w:hint="eastAsia" w:ascii="方正仿宋_GBK" w:hAnsi="方正仿宋_GBK" w:eastAsia="方正仿宋_GBK" w:cs="方正仿宋_GBK"/>
          <w:sz w:val="32"/>
          <w:szCs w:val="32"/>
          <w:lang w:val="en-US" w:eastAsia="zh-CN"/>
        </w:rPr>
        <w:t>32</w:t>
      </w:r>
      <w:r>
        <w:rPr>
          <w:rFonts w:hint="eastAsia" w:ascii="方正仿宋_GBK" w:hAnsi="方正仿宋_GBK" w:eastAsia="方正仿宋_GBK" w:cs="方正仿宋_GBK"/>
          <w:sz w:val="32"/>
          <w:szCs w:val="32"/>
        </w:rPr>
        <w:t>个</w:t>
      </w:r>
      <w:r>
        <w:rPr>
          <w:rFonts w:hint="eastAsia" w:ascii="方正仿宋_GBK" w:hAnsi="方正仿宋_GBK" w:eastAsia="方正仿宋_GBK" w:cs="方正仿宋_GBK"/>
          <w:sz w:val="32"/>
          <w:szCs w:val="32"/>
          <w:lang w:val="en-US" w:eastAsia="zh-CN"/>
        </w:rPr>
        <w:t>次</w:t>
      </w:r>
      <w:r>
        <w:rPr>
          <w:rFonts w:hint="eastAsia" w:ascii="方正仿宋_GBK" w:hAnsi="方正仿宋_GBK" w:eastAsia="方正仿宋_GBK" w:cs="方正仿宋_GBK"/>
          <w:sz w:val="32"/>
          <w:szCs w:val="32"/>
        </w:rPr>
        <w:t>，共查获</w:t>
      </w:r>
      <w:r>
        <w:rPr>
          <w:rFonts w:hint="eastAsia" w:ascii="方正仿宋_GBK" w:hAnsi="方正仿宋_GBK" w:eastAsia="方正仿宋_GBK" w:cs="方正仿宋_GBK"/>
          <w:sz w:val="32"/>
          <w:szCs w:val="32"/>
          <w:lang w:val="en-US" w:eastAsia="zh-CN"/>
        </w:rPr>
        <w:t>禁限使用</w:t>
      </w:r>
      <w:r>
        <w:rPr>
          <w:rFonts w:hint="eastAsia" w:ascii="方正仿宋_GBK" w:hAnsi="方正仿宋_GBK" w:eastAsia="方正仿宋_GBK" w:cs="方正仿宋_GBK"/>
          <w:sz w:val="32"/>
          <w:szCs w:val="32"/>
        </w:rPr>
        <w:t>农药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过期假劣农药360多</w:t>
      </w:r>
      <w:r>
        <w:rPr>
          <w:rFonts w:hint="eastAsia" w:ascii="方正仿宋_GBK" w:hAnsi="方正仿宋_GBK" w:eastAsia="方正仿宋_GBK" w:cs="方正仿宋_GBK"/>
          <w:sz w:val="32"/>
          <w:szCs w:val="32"/>
        </w:rPr>
        <w:t>公斤，</w:t>
      </w:r>
      <w:r>
        <w:rPr>
          <w:rFonts w:hint="eastAsia" w:ascii="方正仿宋_GBK" w:hAnsi="方正仿宋_GBK" w:eastAsia="方正仿宋_GBK" w:cs="方正仿宋_GBK"/>
          <w:sz w:val="32"/>
          <w:szCs w:val="32"/>
          <w:lang w:val="en-US" w:eastAsia="zh-CN"/>
        </w:rPr>
        <w:t>收缴电捕鱼工具2套，芒市农业综合行政执法大队共办理一般程序行政处罚案件42起，其中：无证经营农药5起，无证经营限制使用农药3起，经营过期农药及假农药案4起，经营农药未建立进货、销售台账2起；经营依法应当检疫而未经检疫动物产品案16起。其中：经营依法应当检疫而未经检疫鲜牛肉案12起，经营、运输依法应当检疫而未经检疫活牛案3起，经营、运输依法应当检疫而未经检疫活狗案1起；销售境外种子案4起，销售未经备案马铃薯种薯案2起；销售农残超标草莓案1起；经营假劣肥料案2起；非法电捕鱼3起。共办理简易程序行政处罚案件6起，其中：拖拉机无证驾驶1起；拖拉机无牌行驶3起，联合收割机无牌作业1起；联合收割机无证驾驶1起，</w:t>
      </w:r>
      <w:r>
        <w:rPr>
          <w:rFonts w:hint="eastAsia" w:ascii="方正仿宋_GBK" w:hAnsi="方正仿宋_GBK" w:eastAsia="方正仿宋_GBK" w:cs="方正仿宋_GBK"/>
          <w:sz w:val="32"/>
          <w:szCs w:val="32"/>
        </w:rPr>
        <w:t>并按有关法律法规程序</w:t>
      </w:r>
      <w:r>
        <w:rPr>
          <w:rFonts w:hint="eastAsia" w:ascii="方正仿宋_GBK" w:hAnsi="方正仿宋_GBK" w:eastAsia="方正仿宋_GBK" w:cs="方正仿宋_GBK"/>
          <w:sz w:val="32"/>
          <w:szCs w:val="32"/>
          <w:lang w:val="en-US" w:eastAsia="zh-CN"/>
        </w:rPr>
        <w:t>作出行政</w:t>
      </w:r>
      <w:r>
        <w:rPr>
          <w:rFonts w:hint="eastAsia" w:ascii="方正仿宋_GBK" w:hAnsi="方正仿宋_GBK" w:eastAsia="方正仿宋_GBK" w:cs="方正仿宋_GBK"/>
          <w:sz w:val="32"/>
          <w:szCs w:val="32"/>
        </w:rPr>
        <w:t>处罚</w:t>
      </w:r>
      <w:r>
        <w:rPr>
          <w:rFonts w:hint="eastAsia" w:ascii="方正仿宋_GBK" w:hAnsi="方正仿宋_GBK" w:eastAsia="方正仿宋_GBK" w:cs="方正仿宋_GBK"/>
          <w:sz w:val="32"/>
          <w:szCs w:val="32"/>
          <w:lang w:eastAsia="zh-CN"/>
        </w:rPr>
        <w:t>，</w:t>
      </w:r>
      <w:r>
        <w:rPr>
          <w:rFonts w:hint="eastAsia" w:ascii="方正仿宋_GBK" w:hAnsi="方正仿宋_GBK" w:cs="方正仿宋_GBK"/>
          <w:sz w:val="32"/>
          <w:szCs w:val="32"/>
          <w:lang w:eastAsia="zh-CN"/>
        </w:rPr>
        <w:t>截至9月</w:t>
      </w:r>
      <w:r>
        <w:rPr>
          <w:rFonts w:hint="eastAsia" w:ascii="方正仿宋_GBK" w:hAnsi="方正仿宋_GBK" w:eastAsia="方正仿宋_GBK" w:cs="方正仿宋_GBK"/>
          <w:sz w:val="32"/>
          <w:szCs w:val="32"/>
          <w:lang w:val="en-US" w:eastAsia="zh-CN"/>
        </w:rPr>
        <w:t>30日，共处罚金额14.09万元，没收违法所得0.81万元。</w:t>
      </w:r>
      <w:r>
        <w:rPr>
          <w:rFonts w:hint="eastAsia" w:ascii="方正仿宋_GBK" w:hAnsi="方正仿宋_GBK" w:cs="方正仿宋_GBK"/>
          <w:sz w:val="32"/>
          <w:szCs w:val="32"/>
          <w:lang w:val="en-US" w:eastAsia="zh-CN"/>
        </w:rPr>
        <w:t>与</w:t>
      </w:r>
      <w:r>
        <w:rPr>
          <w:rFonts w:hint="eastAsia" w:ascii="方正仿宋_GBK" w:hAnsi="方正仿宋_GBK" w:eastAsia="方正仿宋_GBK" w:cs="方正仿宋_GBK"/>
          <w:sz w:val="32"/>
          <w:szCs w:val="32"/>
          <w:lang w:val="en-US" w:eastAsia="zh-CN"/>
        </w:rPr>
        <w:t>此同时，还积极参与其他部门开展相关工作，一是加强部门联动，与市农经站配合到各乡镇开展实地卫片图斑核查，共核查卫片</w:t>
      </w:r>
      <w:r>
        <w:rPr>
          <w:rFonts w:hint="eastAsia" w:ascii="方正仿宋_GBK" w:hAnsi="方正仿宋_GBK" w:eastAsia="方正仿宋_GBK" w:cs="方正仿宋_GBK"/>
          <w:b w:val="0"/>
          <w:bCs w:val="0"/>
          <w:sz w:val="32"/>
          <w:szCs w:val="32"/>
          <w:lang w:val="en-US" w:eastAsia="zh-CN"/>
        </w:rPr>
        <w:t>图斑18个；</w:t>
      </w:r>
      <w:r>
        <w:rPr>
          <w:rFonts w:hint="eastAsia" w:ascii="方正仿宋_GBK" w:hAnsi="方正仿宋_GBK" w:eastAsia="方正仿宋_GBK" w:cs="方正仿宋_GBK"/>
          <w:sz w:val="32"/>
          <w:szCs w:val="32"/>
          <w:lang w:val="en-US" w:eastAsia="zh-CN"/>
        </w:rPr>
        <w:t>二是参与芒市农业农村局属站所开展监管督查工作，</w:t>
      </w:r>
      <w:r>
        <w:rPr>
          <w:rFonts w:hint="eastAsia" w:ascii="方正仿宋_GBK" w:hAnsi="方正仿宋_GBK" w:eastAsia="方正仿宋_GBK" w:cs="方正仿宋_GBK"/>
          <w:b w:val="0"/>
          <w:bCs w:val="0"/>
          <w:sz w:val="32"/>
          <w:szCs w:val="32"/>
          <w:lang w:val="en-US" w:eastAsia="zh-CN"/>
        </w:rPr>
        <w:t>出动人员26人次，出动车辆8车次，受宣传教育人数98人次；三是</w:t>
      </w:r>
      <w:r>
        <w:rPr>
          <w:rFonts w:hint="eastAsia" w:ascii="方正仿宋_GBK" w:hAnsi="方正仿宋_GBK" w:eastAsia="方正仿宋_GBK" w:cs="方正仿宋_GBK"/>
          <w:sz w:val="32"/>
          <w:szCs w:val="32"/>
          <w:lang w:val="en-US" w:eastAsia="zh-CN"/>
        </w:rPr>
        <w:t>积极参与省、州、市农产品质量监督抽样抽查工作、</w:t>
      </w:r>
      <w:r>
        <w:rPr>
          <w:rFonts w:hint="eastAsia" w:ascii="方正仿宋_GBK" w:hAnsi="方正仿宋_GBK" w:eastAsia="方正仿宋_GBK" w:cs="方正仿宋_GBK"/>
          <w:sz w:val="32"/>
          <w:szCs w:val="32"/>
        </w:rPr>
        <w:t>加强源头治理、市场整顿和长效机制建设为重点，以推进放心农资下乡进村和开展定点农资市场创建活动为着力点。</w:t>
      </w:r>
      <w:r>
        <w:rPr>
          <w:rFonts w:hint="eastAsia" w:ascii="方正仿宋_GBK" w:hAnsi="方正仿宋_GBK" w:eastAsia="方正仿宋_GBK" w:cs="方正仿宋_GBK"/>
          <w:sz w:val="32"/>
          <w:szCs w:val="32"/>
          <w:lang w:val="en-US" w:eastAsia="zh-CN"/>
        </w:rPr>
        <w:t>通过开展针对蔬菜</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肉类、</w:t>
      </w:r>
      <w:r>
        <w:rPr>
          <w:rFonts w:hint="eastAsia" w:ascii="方正仿宋_GBK" w:hAnsi="方正仿宋_GBK" w:eastAsia="方正仿宋_GBK" w:cs="方正仿宋_GBK"/>
          <w:sz w:val="32"/>
          <w:szCs w:val="32"/>
        </w:rPr>
        <w:t>农药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种子、水产品</w:t>
      </w:r>
      <w:r>
        <w:rPr>
          <w:rFonts w:hint="eastAsia" w:ascii="方正仿宋_GBK" w:hAnsi="方正仿宋_GBK" w:eastAsia="方正仿宋_GBK" w:cs="方正仿宋_GBK"/>
          <w:sz w:val="32"/>
          <w:szCs w:val="32"/>
        </w:rPr>
        <w:t>的抽查检验工作，体现了“两个转变”，三个“延伸”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sz w:val="32"/>
          <w:szCs w:val="32"/>
          <w:lang w:val="en-US" w:eastAsia="zh-CN"/>
        </w:rPr>
        <w:t>与相关职能部门联合开展农资市场及大牲畜交易市场检查12家次，</w:t>
      </w:r>
      <w:r>
        <w:rPr>
          <w:rFonts w:hint="eastAsia" w:ascii="方正仿宋_GBK" w:hAnsi="方正仿宋_GBK" w:eastAsia="方正仿宋_GBK" w:cs="方正仿宋_GBK"/>
          <w:sz w:val="32"/>
          <w:szCs w:val="32"/>
          <w:lang w:val="en-US" w:eastAsia="zh-CN"/>
        </w:rPr>
        <w:t>共出动人员28人次，</w:t>
      </w:r>
      <w:r>
        <w:rPr>
          <w:rFonts w:hint="eastAsia" w:ascii="方正仿宋_GBK" w:hAnsi="方正仿宋_GBK" w:eastAsia="方正仿宋_GBK" w:cs="方正仿宋_GBK"/>
          <w:b w:val="0"/>
          <w:bCs w:val="0"/>
          <w:sz w:val="32"/>
          <w:szCs w:val="32"/>
          <w:lang w:val="en-US" w:eastAsia="zh-CN"/>
        </w:rPr>
        <w:t>并要求</w:t>
      </w:r>
      <w:r>
        <w:rPr>
          <w:rFonts w:hint="eastAsia" w:ascii="方正仿宋_GBK" w:hAnsi="方正仿宋_GBK" w:eastAsia="方正仿宋_GBK" w:cs="方正仿宋_GBK"/>
          <w:b w:val="0"/>
          <w:bCs w:val="0"/>
          <w:sz w:val="32"/>
          <w:szCs w:val="32"/>
        </w:rPr>
        <w:t>各生产经营主体做好</w:t>
      </w:r>
      <w:r>
        <w:rPr>
          <w:rFonts w:hint="eastAsia" w:ascii="方正仿宋_GBK" w:hAnsi="方正仿宋_GBK" w:eastAsia="方正仿宋_GBK" w:cs="方正仿宋_GBK"/>
          <w:b w:val="0"/>
          <w:bCs w:val="0"/>
          <w:sz w:val="32"/>
          <w:szCs w:val="32"/>
          <w:lang w:eastAsia="zh-CN"/>
        </w:rPr>
        <w:t>各项相关</w:t>
      </w:r>
      <w:r>
        <w:rPr>
          <w:rFonts w:hint="eastAsia" w:ascii="方正仿宋_GBK" w:hAnsi="方正仿宋_GBK" w:eastAsia="方正仿宋_GBK" w:cs="方正仿宋_GBK"/>
          <w:b w:val="0"/>
          <w:bCs w:val="0"/>
          <w:sz w:val="32"/>
          <w:szCs w:val="32"/>
        </w:rPr>
        <w:t>工作</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通过强化监管</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整顿，全</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的农资市场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大牲畜交易市场</w:t>
      </w:r>
      <w:r>
        <w:rPr>
          <w:rFonts w:hint="eastAsia" w:ascii="方正仿宋_GBK" w:hAnsi="方正仿宋_GBK" w:eastAsia="方正仿宋_GBK" w:cs="方正仿宋_GBK"/>
          <w:sz w:val="32"/>
          <w:szCs w:val="32"/>
        </w:rPr>
        <w:t>秩序得到规范管理。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楷体_GBK" w:hAnsi="方正楷体_GBK" w:eastAsia="方正楷体_GBK" w:cs="方正楷体_GBK"/>
          <w:b w:val="0"/>
          <w:bCs w:val="0"/>
          <w:color w:val="auto"/>
          <w:kern w:val="0"/>
          <w:sz w:val="32"/>
          <w:szCs w:val="32"/>
          <w:lang w:val="en-US" w:eastAsia="zh-CN" w:bidi="ar"/>
        </w:rPr>
      </w:pPr>
      <w:r>
        <w:rPr>
          <w:rFonts w:hint="eastAsia" w:ascii="方正楷体_GBK" w:hAnsi="方正楷体_GBK" w:eastAsia="方正楷体_GBK" w:cs="方正楷体_GBK"/>
          <w:b w:val="0"/>
          <w:bCs w:val="0"/>
          <w:color w:val="auto"/>
          <w:kern w:val="0"/>
          <w:sz w:val="32"/>
          <w:szCs w:val="32"/>
          <w:lang w:val="en-US" w:eastAsia="zh-CN" w:bidi="ar"/>
        </w:rPr>
        <w:t>（五）持续落实法律顾问制度，推进法治政府建设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宋体" w:hAnsi="宋体" w:eastAsia="方正仿宋_GBK" w:cs="方正仿宋_GBK"/>
          <w:b w:val="0"/>
          <w:bCs w:val="0"/>
          <w:color w:val="auto"/>
          <w:kern w:val="0"/>
          <w:sz w:val="32"/>
          <w:szCs w:val="32"/>
          <w:lang w:val="en-US" w:eastAsia="zh-CN" w:bidi="ar"/>
        </w:rPr>
      </w:pPr>
      <w:r>
        <w:rPr>
          <w:rFonts w:hint="eastAsia" w:cs="方正仿宋_GBK"/>
          <w:b w:val="0"/>
          <w:bCs w:val="0"/>
          <w:color w:val="auto"/>
          <w:kern w:val="0"/>
          <w:sz w:val="32"/>
          <w:szCs w:val="32"/>
          <w:lang w:val="en-US" w:eastAsia="zh-CN" w:bidi="ar"/>
        </w:rPr>
        <w:t>落实</w:t>
      </w:r>
      <w:r>
        <w:rPr>
          <w:rFonts w:hint="eastAsia" w:ascii="宋体" w:hAnsi="宋体" w:eastAsia="方正仿宋_GBK" w:cs="方正仿宋_GBK"/>
          <w:b w:val="0"/>
          <w:bCs w:val="0"/>
          <w:color w:val="auto"/>
          <w:kern w:val="0"/>
          <w:sz w:val="32"/>
          <w:szCs w:val="32"/>
          <w:lang w:val="en-US" w:eastAsia="zh-CN" w:bidi="ar"/>
        </w:rPr>
        <w:t>推进法律顾问制度</w:t>
      </w:r>
      <w:r>
        <w:rPr>
          <w:rFonts w:hint="eastAsia" w:cs="方正仿宋_GBK"/>
          <w:b w:val="0"/>
          <w:bCs w:val="0"/>
          <w:color w:val="auto"/>
          <w:kern w:val="0"/>
          <w:sz w:val="32"/>
          <w:szCs w:val="32"/>
          <w:lang w:val="en-US" w:eastAsia="zh-CN" w:bidi="ar"/>
        </w:rPr>
        <w:t>，充分发挥法律顾问在依法行政、依法决策、规范执法及普法宣传中发挥积极作用：今年以来，</w:t>
      </w:r>
      <w:r>
        <w:rPr>
          <w:rFonts w:hint="eastAsia" w:ascii="宋体" w:hAnsi="宋体" w:eastAsia="方正仿宋_GBK" w:cs="方正仿宋_GBK"/>
          <w:b w:val="0"/>
          <w:bCs w:val="0"/>
          <w:color w:val="auto"/>
          <w:kern w:val="0"/>
          <w:sz w:val="32"/>
          <w:szCs w:val="32"/>
          <w:lang w:val="en-US" w:eastAsia="zh-CN" w:bidi="ar"/>
        </w:rPr>
        <w:t>法律顾问协助修改、审核各类合同、协议、函件等法律文件78份</w:t>
      </w:r>
      <w:r>
        <w:rPr>
          <w:rFonts w:hint="eastAsia" w:cs="方正仿宋_GBK"/>
          <w:b w:val="0"/>
          <w:bCs w:val="0"/>
          <w:color w:val="auto"/>
          <w:kern w:val="0"/>
          <w:sz w:val="32"/>
          <w:szCs w:val="32"/>
          <w:lang w:val="en-US" w:eastAsia="zh-CN" w:bidi="ar"/>
        </w:rPr>
        <w:t>，</w:t>
      </w:r>
      <w:r>
        <w:rPr>
          <w:rFonts w:hint="eastAsia" w:ascii="宋体" w:hAnsi="宋体" w:eastAsia="方正仿宋_GBK" w:cs="方正仿宋_GBK"/>
          <w:b w:val="0"/>
          <w:bCs w:val="0"/>
          <w:color w:val="auto"/>
          <w:kern w:val="0"/>
          <w:sz w:val="32"/>
          <w:szCs w:val="32"/>
          <w:lang w:val="en-US" w:eastAsia="zh-CN" w:bidi="ar"/>
        </w:rPr>
        <w:t>及时提供高质量的法律意见，向执法大队现场沟通、提供行政处罚案件的相关法律意见，充分发挥法律顾问的参谋指导作用</w:t>
      </w:r>
      <w:r>
        <w:rPr>
          <w:rFonts w:hint="eastAsia" w:cs="方正仿宋_GBK"/>
          <w:b w:val="0"/>
          <w:bCs w:val="0"/>
          <w:color w:val="auto"/>
          <w:kern w:val="0"/>
          <w:sz w:val="32"/>
          <w:szCs w:val="32"/>
          <w:lang w:val="en-US" w:eastAsia="zh-CN" w:bidi="ar"/>
        </w:rPr>
        <w:t>；</w:t>
      </w:r>
      <w:r>
        <w:rPr>
          <w:rFonts w:hint="eastAsia" w:ascii="宋体" w:hAnsi="宋体" w:eastAsia="方正仿宋_GBK" w:cs="方正仿宋_GBK"/>
          <w:b w:val="0"/>
          <w:bCs w:val="0"/>
          <w:color w:val="auto"/>
          <w:kern w:val="0"/>
          <w:sz w:val="32"/>
          <w:szCs w:val="32"/>
          <w:lang w:val="en-US" w:eastAsia="zh-CN" w:bidi="ar"/>
        </w:rPr>
        <w:t>定期组织执法办案人员与法律顾问开展座谈交流，以案明法、以案释法，不断提升执法办案水平</w:t>
      </w:r>
      <w:r>
        <w:rPr>
          <w:rFonts w:hint="eastAsia" w:cs="方正仿宋_GBK"/>
          <w:b w:val="0"/>
          <w:bCs w:val="0"/>
          <w:color w:val="auto"/>
          <w:kern w:val="0"/>
          <w:sz w:val="32"/>
          <w:szCs w:val="32"/>
          <w:lang w:val="en-US" w:eastAsia="zh-CN" w:bidi="ar"/>
        </w:rPr>
        <w:t>；</w:t>
      </w:r>
      <w:r>
        <w:rPr>
          <w:rFonts w:hint="eastAsia" w:ascii="宋体" w:hAnsi="宋体" w:eastAsia="方正仿宋_GBK" w:cs="方正仿宋_GBK"/>
          <w:b w:val="0"/>
          <w:bCs w:val="0"/>
          <w:color w:val="auto"/>
          <w:kern w:val="0"/>
          <w:sz w:val="32"/>
          <w:szCs w:val="32"/>
          <w:lang w:val="en-US" w:eastAsia="zh-CN" w:bidi="ar"/>
        </w:rPr>
        <w:t>邀请法律顾问协助开展农业农村系统行政执法人员培训、学法用法示范户培训、行政执法案卷评查工作</w:t>
      </w:r>
      <w:r>
        <w:rPr>
          <w:rFonts w:hint="eastAsia" w:cs="方正仿宋_GBK"/>
          <w:b w:val="0"/>
          <w:bCs w:val="0"/>
          <w:color w:val="auto"/>
          <w:kern w:val="0"/>
          <w:sz w:val="32"/>
          <w:szCs w:val="32"/>
          <w:lang w:val="en-US" w:eastAsia="zh-CN" w:bidi="ar"/>
        </w:rPr>
        <w:t>等执法普法教育</w:t>
      </w:r>
      <w:r>
        <w:rPr>
          <w:rFonts w:hint="eastAsia" w:ascii="宋体" w:hAnsi="宋体" w:eastAsia="方正仿宋_GBK" w:cs="方正仿宋_GBK"/>
          <w:b w:val="0"/>
          <w:bCs w:val="0"/>
          <w:color w:val="auto"/>
          <w:kern w:val="0"/>
          <w:sz w:val="32"/>
          <w:szCs w:val="32"/>
          <w:lang w:val="en-US" w:eastAsia="zh-CN" w:bidi="ar"/>
        </w:rPr>
        <w:t>活动，</w:t>
      </w:r>
      <w:r>
        <w:rPr>
          <w:rFonts w:hint="eastAsia" w:cs="方正仿宋_GBK"/>
          <w:b w:val="0"/>
          <w:bCs w:val="0"/>
          <w:color w:val="auto"/>
          <w:kern w:val="0"/>
          <w:sz w:val="32"/>
          <w:szCs w:val="32"/>
          <w:lang w:val="en-US" w:eastAsia="zh-CN" w:bidi="ar"/>
        </w:rPr>
        <w:t>当好农业行业</w:t>
      </w:r>
      <w:r>
        <w:rPr>
          <w:rFonts w:hint="eastAsia" w:ascii="宋体" w:hAnsi="宋体" w:eastAsia="方正仿宋_GBK" w:cs="方正仿宋_GBK"/>
          <w:b w:val="0"/>
          <w:bCs w:val="0"/>
          <w:color w:val="auto"/>
          <w:kern w:val="0"/>
          <w:sz w:val="32"/>
          <w:szCs w:val="32"/>
          <w:lang w:val="en-US" w:eastAsia="zh-CN" w:bidi="ar"/>
        </w:rPr>
        <w:t>普法“宣传员”。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楷体_GBK" w:hAnsi="方正楷体_GBK" w:eastAsia="方正楷体_GBK" w:cs="方正楷体_GBK"/>
          <w:b w:val="0"/>
          <w:bCs w:val="0"/>
          <w:color w:val="auto"/>
          <w:spacing w:val="0"/>
          <w:kern w:val="0"/>
          <w:sz w:val="32"/>
          <w:szCs w:val="32"/>
          <w:lang w:val="en-US" w:eastAsia="zh-CN" w:bidi="ar"/>
        </w:rPr>
      </w:pPr>
      <w:r>
        <w:rPr>
          <w:rFonts w:hint="eastAsia" w:ascii="方正楷体_GBK" w:hAnsi="方正楷体_GBK" w:eastAsia="方正楷体_GBK" w:cs="方正楷体_GBK"/>
          <w:b w:val="0"/>
          <w:bCs w:val="0"/>
          <w:color w:val="auto"/>
          <w:kern w:val="0"/>
          <w:sz w:val="32"/>
          <w:szCs w:val="32"/>
          <w:lang w:val="en-US" w:eastAsia="zh-CN" w:bidi="ar"/>
        </w:rPr>
        <w:t>（六）</w:t>
      </w:r>
      <w:r>
        <w:rPr>
          <w:rFonts w:hint="eastAsia" w:ascii="方正楷体_GBK" w:hAnsi="方正楷体_GBK" w:eastAsia="方正楷体_GBK" w:cs="方正楷体_GBK"/>
          <w:b w:val="0"/>
          <w:bCs w:val="0"/>
          <w:color w:val="auto"/>
          <w:spacing w:val="0"/>
          <w:kern w:val="0"/>
          <w:sz w:val="32"/>
          <w:szCs w:val="32"/>
          <w:lang w:val="en-US" w:eastAsia="zh-CN" w:bidi="ar"/>
        </w:rPr>
        <w:t>高效处理涉农纠纷，维护农村和谐稳定。</w:t>
      </w:r>
    </w:p>
    <w:p>
      <w:pPr>
        <w:keepNext w:val="0"/>
        <w:keepLines w:val="0"/>
        <w:pageBreakBefore w:val="0"/>
        <w:numPr>
          <w:ilvl w:val="0"/>
          <w:numId w:val="0"/>
        </w:numPr>
        <w:kinsoku/>
        <w:wordWrap/>
        <w:overflowPunct/>
        <w:topLinePunct w:val="0"/>
        <w:bidi w:val="0"/>
        <w:adjustRightInd/>
        <w:spacing w:beforeAutospacing="0" w:afterAutospacing="0" w:line="600" w:lineRule="exact"/>
        <w:ind w:firstLine="640" w:firstLineChars="200"/>
        <w:textAlignment w:val="auto"/>
        <w:rPr>
          <w:rFonts w:hint="eastAsia" w:ascii="宋体" w:hAnsi="宋体" w:eastAsia="方正仿宋_GBK" w:cs="方正仿宋_GBK"/>
          <w:color w:val="auto"/>
          <w:kern w:val="0"/>
          <w:sz w:val="32"/>
          <w:szCs w:val="32"/>
          <w:lang w:val="en-US" w:eastAsia="zh-CN" w:bidi="ar"/>
        </w:rPr>
      </w:pPr>
      <w:r>
        <w:rPr>
          <w:rFonts w:hint="eastAsia" w:ascii="宋体" w:hAnsi="宋体" w:eastAsia="方正仿宋_GBK" w:cs="方正仿宋_GBK"/>
          <w:color w:val="auto"/>
          <w:kern w:val="0"/>
          <w:sz w:val="32"/>
          <w:szCs w:val="32"/>
          <w:lang w:val="en-US" w:eastAsia="zh-CN" w:bidi="ar"/>
        </w:rPr>
        <w:t>芒市农业农村局把开展矛盾纠纷集中排查调处作为一项重点工作来抓，摆上重要议事日程。</w:t>
      </w:r>
      <w:r>
        <w:rPr>
          <w:rFonts w:hint="eastAsia" w:ascii="宋体" w:hAnsi="宋体" w:eastAsia="方正仿宋_GBK" w:cs="方正仿宋_GBK"/>
          <w:b/>
          <w:bCs/>
          <w:color w:val="auto"/>
          <w:kern w:val="0"/>
          <w:sz w:val="32"/>
          <w:szCs w:val="32"/>
          <w:lang w:val="en-US" w:eastAsia="zh-CN" w:bidi="ar"/>
        </w:rPr>
        <w:t>一是</w:t>
      </w:r>
      <w:r>
        <w:rPr>
          <w:rFonts w:hint="eastAsia" w:ascii="宋体" w:hAnsi="宋体" w:eastAsia="方正仿宋_GBK" w:cs="方正仿宋_GBK"/>
          <w:color w:val="auto"/>
          <w:kern w:val="0"/>
          <w:sz w:val="32"/>
          <w:szCs w:val="32"/>
          <w:lang w:val="en-US" w:eastAsia="zh-CN" w:bidi="ar"/>
        </w:rPr>
        <w:t>成立了芒市农业农村局开展矛盾纠纷集中排查调处工作</w:t>
      </w:r>
      <w:r>
        <w:rPr>
          <w:rFonts w:hint="eastAsia" w:cs="方正仿宋_GBK"/>
          <w:color w:val="auto"/>
          <w:kern w:val="0"/>
          <w:sz w:val="32"/>
          <w:szCs w:val="32"/>
          <w:lang w:val="en-US" w:eastAsia="zh-CN" w:bidi="ar"/>
        </w:rPr>
        <w:t>领导小组</w:t>
      </w:r>
      <w:r>
        <w:rPr>
          <w:rFonts w:hint="eastAsia" w:ascii="宋体" w:hAnsi="宋体" w:eastAsia="方正仿宋_GBK" w:cs="方正仿宋_GBK"/>
          <w:color w:val="auto"/>
          <w:kern w:val="0"/>
          <w:sz w:val="32"/>
          <w:szCs w:val="32"/>
          <w:lang w:val="en-US" w:eastAsia="zh-CN" w:bidi="ar"/>
        </w:rPr>
        <w:t>下设办公室，负责指导、协调和督促“矛盾纠纷集中排查调处”的日常工作和协调相关单位的“矛盾纠纷集中排查调处”工作和信访维稳工作。</w:t>
      </w:r>
      <w:r>
        <w:rPr>
          <w:rFonts w:hint="eastAsia" w:ascii="宋体" w:hAnsi="宋体" w:eastAsia="方正仿宋_GBK" w:cs="方正仿宋_GBK"/>
          <w:b/>
          <w:bCs/>
          <w:color w:val="auto"/>
          <w:kern w:val="0"/>
          <w:sz w:val="32"/>
          <w:szCs w:val="32"/>
          <w:lang w:val="en-US" w:eastAsia="zh-CN" w:bidi="ar"/>
        </w:rPr>
        <w:t>二是</w:t>
      </w:r>
      <w:r>
        <w:rPr>
          <w:rFonts w:hint="eastAsia" w:ascii="宋体" w:hAnsi="宋体" w:eastAsia="方正仿宋_GBK" w:cs="方正仿宋_GBK"/>
          <w:color w:val="auto"/>
          <w:kern w:val="0"/>
          <w:sz w:val="32"/>
          <w:szCs w:val="32"/>
          <w:lang w:val="en-US" w:eastAsia="zh-CN" w:bidi="ar"/>
        </w:rPr>
        <w:t>坚持信访工作“分级负责、归口办理，谁主管、谁负责，依法解决问题与思想疏导教育相结合”的原则，认真处理群众来信、来访和网上信访工作，及时化解各类矛盾纠纷，确保了部门稳定和全市农业农村经济健康稳定发展。</w:t>
      </w:r>
      <w:r>
        <w:rPr>
          <w:rFonts w:hint="eastAsia" w:ascii="宋体" w:hAnsi="宋体" w:eastAsia="方正仿宋_GBK" w:cs="方正仿宋_GBK"/>
          <w:b/>
          <w:bCs/>
          <w:color w:val="auto"/>
          <w:kern w:val="0"/>
          <w:sz w:val="32"/>
          <w:szCs w:val="32"/>
          <w:lang w:val="en-US" w:eastAsia="zh-CN" w:bidi="ar"/>
        </w:rPr>
        <w:t>三是</w:t>
      </w:r>
      <w:r>
        <w:rPr>
          <w:rFonts w:hint="eastAsia" w:ascii="宋体" w:hAnsi="宋体" w:eastAsia="方正仿宋_GBK" w:cs="方正仿宋_GBK"/>
          <w:color w:val="auto"/>
          <w:kern w:val="0"/>
          <w:sz w:val="32"/>
          <w:szCs w:val="32"/>
          <w:lang w:val="en-US" w:eastAsia="zh-CN" w:bidi="ar"/>
        </w:rPr>
        <w:t>对排查出来的重点矛盾纠纷能严格按照“一个问题、一名领导、一套班子、一个方案、一抓到底”的要求，落实责任，完善责任体系，不断强化矛盾的化解工作，真正做到底子清、情况明、稳控得住。</w:t>
      </w:r>
      <w:bookmarkStart w:id="0" w:name="OLE_LINK1"/>
      <w:r>
        <w:rPr>
          <w:rFonts w:hint="eastAsia" w:ascii="宋体" w:hAnsi="宋体" w:eastAsia="方正仿宋_GBK" w:cs="方正仿宋_GBK"/>
          <w:color w:val="auto"/>
          <w:kern w:val="0"/>
          <w:sz w:val="32"/>
          <w:szCs w:val="32"/>
          <w:lang w:val="en-US" w:eastAsia="zh-CN" w:bidi="ar"/>
        </w:rPr>
        <w:t>截至12月25日，我局共处理答复德宏州政务信息平台“12345”投诉25件，回复及时率、满意率均为100%。</w:t>
      </w:r>
    </w:p>
    <w:bookmarkEnd w:id="0"/>
    <w:p>
      <w:pPr>
        <w:pStyle w:val="26"/>
        <w:keepNext w:val="0"/>
        <w:keepLines w:val="0"/>
        <w:pageBreakBefore w:val="0"/>
        <w:widowControl w:val="0"/>
        <w:numPr>
          <w:ilvl w:val="0"/>
          <w:numId w:val="0"/>
        </w:numPr>
        <w:pBdr>
          <w:bottom w:val="single" w:color="FFFFFF" w:sz="4" w:space="15"/>
        </w:pBdr>
        <w:tabs>
          <w:tab w:val="left" w:pos="1440"/>
        </w:tabs>
        <w:kinsoku/>
        <w:wordWrap/>
        <w:overflowPunct/>
        <w:topLinePunct w:val="0"/>
        <w:autoSpaceDE w:val="0"/>
        <w:autoSpaceDN w:val="0"/>
        <w:bidi w:val="0"/>
        <w:adjustRightInd/>
        <w:snapToGrid w:val="0"/>
        <w:spacing w:beforeAutospacing="0" w:afterAutospacing="0" w:line="600" w:lineRule="exact"/>
        <w:ind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二、存在的问题和不足</w:t>
      </w:r>
    </w:p>
    <w:p>
      <w:pPr>
        <w:pStyle w:val="26"/>
        <w:keepNext w:val="0"/>
        <w:keepLines w:val="0"/>
        <w:pageBreakBefore w:val="0"/>
        <w:widowControl w:val="0"/>
        <w:numPr>
          <w:ilvl w:val="0"/>
          <w:numId w:val="0"/>
        </w:numPr>
        <w:pBdr>
          <w:bottom w:val="single" w:color="FFFFFF" w:sz="4" w:space="15"/>
        </w:pBdr>
        <w:tabs>
          <w:tab w:val="left" w:pos="1440"/>
        </w:tabs>
        <w:kinsoku/>
        <w:wordWrap/>
        <w:overflowPunct/>
        <w:topLinePunct w:val="0"/>
        <w:autoSpaceDE w:val="0"/>
        <w:autoSpaceDN w:val="0"/>
        <w:bidi w:val="0"/>
        <w:adjustRightInd/>
        <w:snapToGrid w:val="0"/>
        <w:spacing w:beforeAutospacing="0" w:afterAutospacing="0" w:line="600" w:lineRule="exact"/>
        <w:ind w:firstLine="640" w:firstLineChars="200"/>
        <w:jc w:val="both"/>
        <w:textAlignment w:val="auto"/>
        <w:rPr>
          <w:rFonts w:hint="eastAsia" w:ascii="宋体" w:hAnsi="宋体" w:eastAsia="方正仿宋_GBK" w:cs="方正仿宋_GBK"/>
          <w:b w:val="0"/>
          <w:bCs w:val="0"/>
          <w:color w:val="auto"/>
          <w:kern w:val="0"/>
          <w:sz w:val="32"/>
          <w:szCs w:val="32"/>
          <w:lang w:val="en-US" w:eastAsia="zh-CN" w:bidi="ar"/>
        </w:rPr>
      </w:pPr>
      <w:r>
        <w:rPr>
          <w:rFonts w:hint="eastAsia" w:ascii="宋体" w:hAnsi="宋体" w:eastAsia="方正仿宋_GBK" w:cs="方正仿宋_GBK"/>
          <w:b w:val="0"/>
          <w:bCs w:val="0"/>
          <w:color w:val="auto"/>
          <w:kern w:val="0"/>
          <w:sz w:val="32"/>
          <w:szCs w:val="32"/>
          <w:lang w:val="en-US" w:eastAsia="zh-CN" w:bidi="ar"/>
        </w:rPr>
        <w:t>在法治建设工作，虽然取得了一定成绩，但还存在着许多困难和问题，主要表现在：部分干部对法治建设工作的长期性、复杂性认识不足，学法的时间没有保障，用法的水平不高；农业综合执法人员配备有待加强，综合执法业务能力有待进一步提升。</w:t>
      </w:r>
    </w:p>
    <w:p>
      <w:pPr>
        <w:pStyle w:val="26"/>
        <w:keepNext w:val="0"/>
        <w:keepLines w:val="0"/>
        <w:pageBreakBefore w:val="0"/>
        <w:widowControl w:val="0"/>
        <w:numPr>
          <w:ilvl w:val="0"/>
          <w:numId w:val="0"/>
        </w:numPr>
        <w:pBdr>
          <w:bottom w:val="single" w:color="FFFFFF" w:sz="4" w:space="15"/>
        </w:pBdr>
        <w:tabs>
          <w:tab w:val="left" w:pos="1440"/>
        </w:tabs>
        <w:kinsoku/>
        <w:wordWrap/>
        <w:overflowPunct/>
        <w:topLinePunct w:val="0"/>
        <w:autoSpaceDE w:val="0"/>
        <w:autoSpaceDN w:val="0"/>
        <w:bidi w:val="0"/>
        <w:adjustRightInd/>
        <w:snapToGrid w:val="0"/>
        <w:spacing w:beforeAutospacing="0" w:afterAutospacing="0" w:line="600" w:lineRule="exact"/>
        <w:ind w:firstLine="640" w:firstLineChars="200"/>
        <w:jc w:val="both"/>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三、下一步工作打算</w:t>
      </w:r>
    </w:p>
    <w:p>
      <w:pPr>
        <w:pStyle w:val="26"/>
        <w:keepNext w:val="0"/>
        <w:keepLines w:val="0"/>
        <w:pageBreakBefore w:val="0"/>
        <w:widowControl w:val="0"/>
        <w:numPr>
          <w:ilvl w:val="0"/>
          <w:numId w:val="0"/>
        </w:numPr>
        <w:pBdr>
          <w:bottom w:val="single" w:color="FFFFFF" w:sz="4" w:space="15"/>
        </w:pBdr>
        <w:tabs>
          <w:tab w:val="left" w:pos="1440"/>
        </w:tabs>
        <w:kinsoku/>
        <w:wordWrap/>
        <w:overflowPunct/>
        <w:topLinePunct w:val="0"/>
        <w:autoSpaceDE w:val="0"/>
        <w:autoSpaceDN w:val="0"/>
        <w:bidi w:val="0"/>
        <w:adjustRightInd/>
        <w:snapToGrid w:val="0"/>
        <w:spacing w:beforeAutospacing="0" w:afterAutospacing="0" w:line="600" w:lineRule="exact"/>
        <w:ind w:firstLine="640" w:firstLineChars="200"/>
        <w:jc w:val="both"/>
        <w:textAlignment w:val="auto"/>
        <w:rPr>
          <w:rFonts w:hint="eastAsia" w:ascii="宋体" w:hAnsi="宋体" w:eastAsia="方正仿宋_GBK" w:cs="方正仿宋_GBK"/>
          <w:b w:val="0"/>
          <w:bCs w:val="0"/>
          <w:color w:val="auto"/>
          <w:sz w:val="32"/>
          <w:szCs w:val="32"/>
        </w:rPr>
      </w:pPr>
      <w:r>
        <w:rPr>
          <w:rFonts w:hint="eastAsia" w:ascii="方正楷体_GBK" w:hAnsi="方正楷体_GBK" w:eastAsia="方正楷体_GBK" w:cs="方正楷体_GBK"/>
          <w:b w:val="0"/>
          <w:bCs w:val="0"/>
          <w:color w:val="auto"/>
          <w:sz w:val="32"/>
          <w:szCs w:val="32"/>
          <w:lang w:eastAsia="zh-CN"/>
        </w:rPr>
        <w:t>（一）立足于法定职责，进一步加强依法行政责任落实</w:t>
      </w:r>
      <w:r>
        <w:rPr>
          <w:rFonts w:hint="eastAsia" w:ascii="方正楷体_GBK" w:hAnsi="方正楷体_GBK" w:eastAsia="方正楷体_GBK" w:cs="方正楷体_GBK"/>
          <w:b w:val="0"/>
          <w:bCs w:val="0"/>
          <w:color w:val="auto"/>
          <w:sz w:val="32"/>
          <w:szCs w:val="32"/>
        </w:rPr>
        <w:t>。</w:t>
      </w:r>
      <w:r>
        <w:rPr>
          <w:rFonts w:hint="eastAsia" w:ascii="宋体" w:hAnsi="宋体" w:eastAsia="方正仿宋_GBK" w:cs="方正仿宋_GBK"/>
          <w:b w:val="0"/>
          <w:bCs w:val="0"/>
          <w:color w:val="auto"/>
          <w:sz w:val="32"/>
          <w:szCs w:val="32"/>
        </w:rPr>
        <w:t>大力推行权力事项</w:t>
      </w:r>
      <w:r>
        <w:rPr>
          <w:rFonts w:hint="eastAsia" w:ascii="宋体" w:hAnsi="宋体" w:eastAsia="方正仿宋_GBK" w:cs="方正仿宋_GBK"/>
          <w:b w:val="0"/>
          <w:bCs w:val="0"/>
          <w:color w:val="auto"/>
          <w:sz w:val="32"/>
          <w:szCs w:val="32"/>
          <w:lang w:eastAsia="zh-CN"/>
        </w:rPr>
        <w:t>网上办理等</w:t>
      </w:r>
      <w:r>
        <w:rPr>
          <w:rFonts w:hint="eastAsia" w:ascii="宋体" w:hAnsi="宋体" w:eastAsia="方正仿宋_GBK" w:cs="方正仿宋_GBK"/>
          <w:b w:val="0"/>
          <w:bCs w:val="0"/>
          <w:color w:val="auto"/>
          <w:sz w:val="32"/>
          <w:szCs w:val="32"/>
        </w:rPr>
        <w:t>工作，加强事中、事后监管</w:t>
      </w:r>
      <w:r>
        <w:rPr>
          <w:rFonts w:hint="eastAsia" w:ascii="宋体" w:hAnsi="宋体" w:eastAsia="方正仿宋_GBK"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持续做好农业涉法事务的合法性审查、合理性论证工作</w:t>
      </w:r>
      <w:r>
        <w:rPr>
          <w:rFonts w:hint="eastAsia" w:ascii="宋体" w:hAnsi="宋体" w:eastAsia="方正仿宋_GBK"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充分发挥法律顾问在农业法治建设和依法行政工作中诉讼应对、矛盾处置等事</w:t>
      </w:r>
      <w:r>
        <w:rPr>
          <w:rFonts w:hint="eastAsia" w:ascii="宋体" w:hAnsi="宋体" w:eastAsia="方正仿宋_GBK" w:cs="方正仿宋_GBK"/>
          <w:b w:val="0"/>
          <w:bCs w:val="0"/>
          <w:color w:val="auto"/>
          <w:sz w:val="32"/>
          <w:szCs w:val="32"/>
          <w:lang w:eastAsia="zh-CN"/>
        </w:rPr>
        <w:t>项</w:t>
      </w:r>
      <w:r>
        <w:rPr>
          <w:rFonts w:hint="eastAsia" w:ascii="宋体" w:hAnsi="宋体" w:eastAsia="方正仿宋_GBK" w:cs="方正仿宋_GBK"/>
          <w:b w:val="0"/>
          <w:bCs w:val="0"/>
          <w:color w:val="auto"/>
          <w:sz w:val="32"/>
          <w:szCs w:val="32"/>
        </w:rPr>
        <w:t>的</w:t>
      </w:r>
      <w:r>
        <w:rPr>
          <w:rFonts w:hint="eastAsia" w:ascii="宋体" w:hAnsi="宋体" w:eastAsia="方正仿宋_GBK" w:cs="方正仿宋_GBK"/>
          <w:b w:val="0"/>
          <w:bCs w:val="0"/>
          <w:color w:val="auto"/>
          <w:sz w:val="32"/>
          <w:szCs w:val="32"/>
          <w:lang w:eastAsia="zh-CN"/>
        </w:rPr>
        <w:t>顾问参谋</w:t>
      </w:r>
      <w:r>
        <w:rPr>
          <w:rFonts w:hint="eastAsia" w:ascii="宋体" w:hAnsi="宋体" w:eastAsia="方正仿宋_GBK" w:cs="方正仿宋_GBK"/>
          <w:b w:val="0"/>
          <w:bCs w:val="0"/>
          <w:color w:val="auto"/>
          <w:sz w:val="32"/>
          <w:szCs w:val="32"/>
        </w:rPr>
        <w:t>作用。</w:t>
      </w:r>
    </w:p>
    <w:p>
      <w:pPr>
        <w:pStyle w:val="26"/>
        <w:keepNext w:val="0"/>
        <w:keepLines w:val="0"/>
        <w:pageBreakBefore w:val="0"/>
        <w:widowControl w:val="0"/>
        <w:numPr>
          <w:ilvl w:val="0"/>
          <w:numId w:val="0"/>
        </w:numPr>
        <w:pBdr>
          <w:bottom w:val="single" w:color="FFFFFF" w:sz="4" w:space="15"/>
        </w:pBdr>
        <w:tabs>
          <w:tab w:val="left" w:pos="1440"/>
        </w:tabs>
        <w:kinsoku/>
        <w:wordWrap/>
        <w:overflowPunct/>
        <w:topLinePunct w:val="0"/>
        <w:autoSpaceDE w:val="0"/>
        <w:autoSpaceDN w:val="0"/>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eastAsia="zh-CN"/>
        </w:rPr>
        <w:t>（二）</w:t>
      </w:r>
      <w:r>
        <w:rPr>
          <w:rFonts w:hint="default" w:ascii="Times New Roman" w:hAnsi="Times New Roman" w:eastAsia="方正楷体_GBK" w:cs="Times New Roman"/>
          <w:b w:val="0"/>
          <w:bCs w:val="0"/>
          <w:color w:val="auto"/>
          <w:sz w:val="32"/>
          <w:szCs w:val="32"/>
          <w:lang w:eastAsia="zh-CN"/>
        </w:rPr>
        <w:t>立足于氛围营造，进一步推进普法责任制</w:t>
      </w:r>
      <w:r>
        <w:rPr>
          <w:rFonts w:hint="eastAsia" w:eastAsia="方正楷体_GBK" w:cs="Times New Roman"/>
          <w:b w:val="0"/>
          <w:bCs w:val="0"/>
          <w:color w:val="auto"/>
          <w:sz w:val="32"/>
          <w:szCs w:val="32"/>
          <w:lang w:eastAsia="zh-CN"/>
        </w:rPr>
        <w:t>落实</w:t>
      </w:r>
      <w:r>
        <w:rPr>
          <w:rFonts w:hint="default" w:ascii="Times New Roman" w:hAnsi="Times New Roman" w:eastAsia="方正楷体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加强法治宣传阵地</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 xml:space="preserve">努力打造良好的法治环境。广泛开展乡村学法用法教育，让群众知法、学法、守法、用法，提升干部群众依法管理、依法办事的意识和能力。 </w:t>
      </w:r>
    </w:p>
    <w:p>
      <w:pPr>
        <w:pStyle w:val="26"/>
        <w:keepNext w:val="0"/>
        <w:keepLines w:val="0"/>
        <w:pageBreakBefore w:val="0"/>
        <w:widowControl w:val="0"/>
        <w:numPr>
          <w:ilvl w:val="0"/>
          <w:numId w:val="0"/>
        </w:numPr>
        <w:pBdr>
          <w:bottom w:val="single" w:color="FFFFFF" w:sz="4" w:space="15"/>
        </w:pBdr>
        <w:tabs>
          <w:tab w:val="left" w:pos="1440"/>
        </w:tabs>
        <w:kinsoku/>
        <w:wordWrap/>
        <w:overflowPunct/>
        <w:topLinePunct w:val="0"/>
        <w:autoSpaceDE w:val="0"/>
        <w:autoSpaceDN w:val="0"/>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eastAsia" w:ascii="方正楷体_GBK" w:hAnsi="方正楷体_GBK" w:eastAsia="方正楷体_GBK" w:cs="方正楷体_GBK"/>
          <w:b w:val="0"/>
          <w:bCs w:val="0"/>
          <w:color w:val="auto"/>
          <w:sz w:val="32"/>
          <w:szCs w:val="32"/>
          <w:lang w:val="en-US" w:eastAsia="zh-CN"/>
        </w:rPr>
        <w:t>（三）立足于示范引导，进一步推动依法行政能力提升。</w:t>
      </w:r>
      <w:r>
        <w:rPr>
          <w:rFonts w:hint="eastAsia" w:ascii="宋体" w:hAnsi="宋体" w:eastAsia="方正仿宋_GBK" w:cs="方正仿宋_GBK"/>
          <w:b w:val="0"/>
          <w:bCs w:val="0"/>
          <w:color w:val="auto"/>
          <w:sz w:val="32"/>
          <w:szCs w:val="32"/>
          <w:lang w:val="en-US" w:eastAsia="zh-CN"/>
        </w:rPr>
        <w:t>把领导干部带头学法、模范守法作为树立法治意识的关键，开展以案释法、旁听庭审、警示教育等活动，推动领导干部当好合格的“关键少数”。广泛开展乡村学法用法教育，推动乡村学法用法示范户培育工作</w:t>
      </w:r>
      <w:r>
        <w:rPr>
          <w:rFonts w:hint="default" w:ascii="Times New Roman" w:hAnsi="Times New Roman" w:eastAsia="方正仿宋_GBK" w:cs="Times New Roman"/>
          <w:b w:val="0"/>
          <w:bCs w:val="0"/>
          <w:color w:val="auto"/>
          <w:sz w:val="32"/>
          <w:szCs w:val="32"/>
        </w:rPr>
        <w:t>，加大对农业领域</w:t>
      </w:r>
      <w:r>
        <w:rPr>
          <w:rFonts w:hint="default" w:ascii="Times New Roman" w:hAnsi="Times New Roman" w:eastAsia="方正仿宋_GBK" w:cs="Times New Roman"/>
          <w:b w:val="0"/>
          <w:bCs w:val="0"/>
          <w:color w:val="auto"/>
          <w:sz w:val="32"/>
          <w:szCs w:val="32"/>
          <w:lang w:eastAsia="zh-CN"/>
        </w:rPr>
        <w:t>干部</w:t>
      </w:r>
      <w:r>
        <w:rPr>
          <w:rFonts w:hint="default" w:ascii="Times New Roman" w:hAnsi="Times New Roman" w:eastAsia="方正仿宋_GBK" w:cs="Times New Roman"/>
          <w:b w:val="0"/>
          <w:bCs w:val="0"/>
          <w:color w:val="auto"/>
          <w:sz w:val="32"/>
          <w:szCs w:val="32"/>
        </w:rPr>
        <w:t>的思想政治素质、专业法律知识、职业道德的培训教育工作。</w:t>
      </w:r>
    </w:p>
    <w:p>
      <w:pPr>
        <w:pStyle w:val="26"/>
        <w:keepNext w:val="0"/>
        <w:keepLines w:val="0"/>
        <w:pageBreakBefore w:val="0"/>
        <w:widowControl w:val="0"/>
        <w:numPr>
          <w:ilvl w:val="0"/>
          <w:numId w:val="0"/>
        </w:numPr>
        <w:pBdr>
          <w:bottom w:val="single" w:color="FFFFFF" w:sz="4" w:space="15"/>
        </w:pBdr>
        <w:tabs>
          <w:tab w:val="left" w:pos="1440"/>
        </w:tabs>
        <w:kinsoku/>
        <w:wordWrap/>
        <w:overflowPunct/>
        <w:topLinePunct w:val="0"/>
        <w:autoSpaceDE w:val="0"/>
        <w:autoSpaceDN w:val="0"/>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p>
    <w:p>
      <w:pPr>
        <w:pStyle w:val="26"/>
        <w:keepNext w:val="0"/>
        <w:keepLines w:val="0"/>
        <w:pageBreakBefore w:val="0"/>
        <w:widowControl w:val="0"/>
        <w:numPr>
          <w:ilvl w:val="0"/>
          <w:numId w:val="0"/>
        </w:numPr>
        <w:pBdr>
          <w:bottom w:val="single" w:color="FFFFFF" w:sz="4" w:space="15"/>
        </w:pBdr>
        <w:tabs>
          <w:tab w:val="left" w:pos="1440"/>
        </w:tabs>
        <w:kinsoku/>
        <w:wordWrap/>
        <w:overflowPunct/>
        <w:topLinePunct w:val="0"/>
        <w:autoSpaceDE w:val="0"/>
        <w:autoSpaceDN w:val="0"/>
        <w:bidi w:val="0"/>
        <w:adjustRightInd/>
        <w:snapToGrid w:val="0"/>
        <w:spacing w:beforeAutospacing="0" w:afterAutospacing="0" w:line="600" w:lineRule="exact"/>
        <w:jc w:val="both"/>
        <w:textAlignment w:val="auto"/>
        <w:rPr>
          <w:rFonts w:hint="default" w:eastAsia="方正仿宋_GBK" w:cs="Times New Roman"/>
          <w:b w:val="0"/>
          <w:bCs w:val="0"/>
          <w:color w:val="auto"/>
          <w:sz w:val="32"/>
          <w:szCs w:val="32"/>
          <w:lang w:val="en-US" w:eastAsia="zh-CN"/>
        </w:rPr>
      </w:pPr>
      <w:r>
        <w:rPr>
          <w:rFonts w:hint="eastAsia" w:eastAsia="方正仿宋_GBK" w:cs="Times New Roman"/>
          <w:b w:val="0"/>
          <w:bCs w:val="0"/>
          <w:color w:val="auto"/>
          <w:sz w:val="32"/>
          <w:szCs w:val="32"/>
          <w:lang w:val="en-US" w:eastAsia="zh-CN"/>
        </w:rPr>
        <w:t xml:space="preserve"> </w:t>
      </w:r>
    </w:p>
    <w:p>
      <w:pPr>
        <w:pStyle w:val="26"/>
        <w:keepNext w:val="0"/>
        <w:keepLines w:val="0"/>
        <w:pageBreakBefore w:val="0"/>
        <w:widowControl w:val="0"/>
        <w:numPr>
          <w:ilvl w:val="0"/>
          <w:numId w:val="0"/>
        </w:numPr>
        <w:pBdr>
          <w:bottom w:val="single" w:color="FFFFFF" w:sz="4" w:space="15"/>
        </w:pBdr>
        <w:tabs>
          <w:tab w:val="left" w:pos="1440"/>
        </w:tabs>
        <w:kinsoku/>
        <w:wordWrap/>
        <w:overflowPunct/>
        <w:topLinePunct w:val="0"/>
        <w:autoSpaceDE w:val="0"/>
        <w:autoSpaceDN w:val="0"/>
        <w:bidi w:val="0"/>
        <w:adjustRightInd/>
        <w:snapToGrid w:val="0"/>
        <w:spacing w:beforeAutospacing="0" w:afterAutospacing="0" w:line="600" w:lineRule="exact"/>
        <w:ind w:firstLine="4480" w:firstLineChars="1400"/>
        <w:jc w:val="both"/>
        <w:textAlignment w:val="auto"/>
        <w:rPr>
          <w:rFonts w:hint="eastAsia" w:eastAsia="方正仿宋_GBK" w:cs="Times New Roman"/>
          <w:b w:val="0"/>
          <w:bCs w:val="0"/>
          <w:color w:val="auto"/>
          <w:sz w:val="32"/>
          <w:szCs w:val="32"/>
          <w:lang w:eastAsia="zh-CN"/>
        </w:rPr>
      </w:pPr>
    </w:p>
    <w:p>
      <w:pPr>
        <w:pStyle w:val="26"/>
        <w:keepNext w:val="0"/>
        <w:keepLines w:val="0"/>
        <w:pageBreakBefore w:val="0"/>
        <w:widowControl w:val="0"/>
        <w:numPr>
          <w:ilvl w:val="0"/>
          <w:numId w:val="0"/>
        </w:numPr>
        <w:pBdr>
          <w:bottom w:val="single" w:color="FFFFFF" w:sz="4" w:space="15"/>
        </w:pBdr>
        <w:tabs>
          <w:tab w:val="left" w:pos="1440"/>
        </w:tabs>
        <w:kinsoku/>
        <w:wordWrap/>
        <w:overflowPunct/>
        <w:topLinePunct w:val="0"/>
        <w:autoSpaceDE w:val="0"/>
        <w:autoSpaceDN w:val="0"/>
        <w:bidi w:val="0"/>
        <w:adjustRightInd/>
        <w:snapToGrid w:val="0"/>
        <w:spacing w:beforeAutospacing="0" w:afterAutospacing="0" w:line="600" w:lineRule="exact"/>
        <w:ind w:firstLine="4480" w:firstLineChars="1400"/>
        <w:jc w:val="both"/>
        <w:textAlignment w:val="auto"/>
        <w:rPr>
          <w:rFonts w:hint="eastAsia" w:eastAsia="方正仿宋_GBK" w:cs="Times New Roman"/>
          <w:b w:val="0"/>
          <w:bCs w:val="0"/>
          <w:color w:val="auto"/>
          <w:sz w:val="32"/>
          <w:szCs w:val="32"/>
          <w:lang w:eastAsia="zh-CN"/>
        </w:rPr>
      </w:pPr>
      <w:r>
        <w:rPr>
          <w:rFonts w:hint="eastAsia" w:eastAsia="方正仿宋_GBK" w:cs="Times New Roman"/>
          <w:b w:val="0"/>
          <w:bCs w:val="0"/>
          <w:color w:val="auto"/>
          <w:sz w:val="32"/>
          <w:szCs w:val="32"/>
          <w:lang w:eastAsia="zh-CN"/>
        </w:rPr>
        <w:t>芒市农业农村局</w:t>
      </w:r>
    </w:p>
    <w:p>
      <w:pPr>
        <w:pStyle w:val="26"/>
        <w:keepNext w:val="0"/>
        <w:keepLines w:val="0"/>
        <w:pageBreakBefore w:val="0"/>
        <w:widowControl w:val="0"/>
        <w:numPr>
          <w:ilvl w:val="0"/>
          <w:numId w:val="0"/>
        </w:numPr>
        <w:pBdr>
          <w:bottom w:val="single" w:color="FFFFFF" w:sz="4" w:space="15"/>
        </w:pBdr>
        <w:tabs>
          <w:tab w:val="left" w:pos="1440"/>
        </w:tabs>
        <w:kinsoku/>
        <w:wordWrap/>
        <w:overflowPunct/>
        <w:topLinePunct w:val="0"/>
        <w:autoSpaceDE w:val="0"/>
        <w:autoSpaceDN w:val="0"/>
        <w:bidi w:val="0"/>
        <w:adjustRightInd/>
        <w:snapToGrid w:val="0"/>
        <w:spacing w:beforeAutospacing="0" w:afterAutospacing="0" w:line="600" w:lineRule="exact"/>
        <w:ind w:firstLine="4480" w:firstLineChars="1400"/>
        <w:jc w:val="both"/>
        <w:textAlignment w:val="auto"/>
        <w:rPr>
          <w:rFonts w:hint="default" w:ascii="宋体" w:hAnsi="宋体" w:eastAsia="方正仿宋_GBK" w:cs="方正仿宋_GBK"/>
          <w:color w:val="auto"/>
          <w:kern w:val="0"/>
          <w:sz w:val="32"/>
          <w:szCs w:val="32"/>
          <w:lang w:val="en-US" w:eastAsia="zh-CN" w:bidi="ar"/>
        </w:rPr>
      </w:pPr>
      <w:bookmarkStart w:id="1" w:name="_GoBack"/>
      <w:bookmarkEnd w:id="1"/>
      <w:r>
        <w:rPr>
          <w:rFonts w:hint="eastAsia" w:ascii="宋体" w:hAnsi="宋体" w:eastAsia="方正仿宋_GBK" w:cs="方正仿宋_GBK"/>
          <w:color w:val="auto"/>
          <w:kern w:val="0"/>
          <w:sz w:val="32"/>
          <w:szCs w:val="32"/>
          <w:lang w:val="en-US" w:eastAsia="zh-CN" w:bidi="ar"/>
        </w:rPr>
        <w:t>2024年12月25日</w:t>
      </w:r>
    </w:p>
    <w:p>
      <w:pPr>
        <w:pStyle w:val="26"/>
        <w:keepNext w:val="0"/>
        <w:keepLines w:val="0"/>
        <w:pageBreakBefore w:val="0"/>
        <w:widowControl w:val="0"/>
        <w:numPr>
          <w:ilvl w:val="0"/>
          <w:numId w:val="0"/>
        </w:numPr>
        <w:pBdr>
          <w:bottom w:val="single" w:color="FFFFFF" w:sz="4" w:space="15"/>
        </w:pBdr>
        <w:tabs>
          <w:tab w:val="left" w:pos="1440"/>
        </w:tabs>
        <w:kinsoku/>
        <w:wordWrap/>
        <w:overflowPunct/>
        <w:topLinePunct w:val="0"/>
        <w:autoSpaceDE w:val="0"/>
        <w:autoSpaceDN w:val="0"/>
        <w:bidi w:val="0"/>
        <w:adjustRightInd/>
        <w:snapToGrid w:val="0"/>
        <w:spacing w:beforeAutospacing="0" w:afterAutospacing="0" w:line="600" w:lineRule="exact"/>
        <w:ind w:firstLine="640" w:firstLineChars="200"/>
        <w:jc w:val="both"/>
        <w:textAlignment w:val="auto"/>
        <w:rPr>
          <w:rFonts w:hint="eastAsia" w:ascii="宋体" w:hAnsi="宋体" w:eastAsia="方正仿宋_GBK" w:cs="方正仿宋_GBK"/>
          <w:b w:val="0"/>
          <w:bCs w:val="0"/>
          <w:color w:val="auto"/>
          <w:sz w:val="32"/>
          <w:szCs w:val="32"/>
          <w:lang w:val="en-US" w:eastAsia="zh-CN"/>
        </w:rPr>
      </w:pPr>
    </w:p>
    <w:sectPr>
      <w:footerReference r:id="rId3" w:type="default"/>
      <w:footerReference r:id="rId4" w:type="even"/>
      <w:pgSz w:w="11906" w:h="16838"/>
      <w:pgMar w:top="2098" w:right="1474" w:bottom="1984" w:left="1587" w:header="851" w:footer="992" w:gutter="0"/>
      <w:cols w:space="0" w:num="1"/>
      <w:rtlGutter w:val="0"/>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right="3"/>
      <w:jc w:val="right"/>
      <w:rPr>
        <w:rFonts w:eastAsia="宋体"/>
      </w:rPr>
    </w:pPr>
    <w:r>
      <w:rPr>
        <w:rFonts w:hint="eastAsia" w:eastAsia="宋体"/>
        <w:sz w:val="28"/>
        <w:szCs w:val="28"/>
      </w:rPr>
      <w:t>—</w:t>
    </w:r>
    <w:r>
      <w:rPr>
        <w:rFonts w:eastAsia="宋体"/>
        <w:spacing w:val="-20"/>
        <w:sz w:val="28"/>
        <w:szCs w:val="28"/>
      </w:rPr>
      <w:t xml:space="preserve"> </w:t>
    </w:r>
    <w:r>
      <w:rPr>
        <w:rFonts w:eastAsia="宋体"/>
        <w:sz w:val="28"/>
        <w:szCs w:val="28"/>
      </w:rPr>
      <w:fldChar w:fldCharType="begin"/>
    </w:r>
    <w:r>
      <w:rPr>
        <w:rFonts w:eastAsia="宋体"/>
        <w:sz w:val="28"/>
        <w:szCs w:val="28"/>
      </w:rPr>
      <w:instrText xml:space="preserve">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spacing w:val="-20"/>
        <w:sz w:val="28"/>
        <w:szCs w:val="28"/>
      </w:rPr>
      <w:t xml:space="preserve"> </w:t>
    </w:r>
    <w:r>
      <w:rPr>
        <w:rFonts w:hint="eastAsia"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eastAsia="宋体"/>
        <w:sz w:val="28"/>
        <w:szCs w:val="28"/>
      </w:rPr>
    </w:pPr>
    <w:r>
      <w:rPr>
        <w:rFonts w:hint="eastAsia" w:eastAsia="宋体"/>
        <w:sz w:val="28"/>
        <w:szCs w:val="28"/>
      </w:rPr>
      <w:t xml:space="preserve">  —</w:t>
    </w:r>
    <w:r>
      <w:rPr>
        <w:rFonts w:eastAsia="宋体"/>
        <w:sz w:val="28"/>
        <w:szCs w:val="28"/>
      </w:rPr>
      <w:t xml:space="preserve"> </w:t>
    </w:r>
    <w:r>
      <w:rPr>
        <w:rFonts w:eastAsia="宋体"/>
        <w:sz w:val="28"/>
        <w:szCs w:val="28"/>
      </w:rPr>
      <w:fldChar w:fldCharType="begin"/>
    </w:r>
    <w:r>
      <w:rPr>
        <w:rFonts w:eastAsia="宋体"/>
        <w:sz w:val="28"/>
        <w:szCs w:val="28"/>
      </w:rPr>
      <w:instrText xml:space="preserve">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sz w:val="28"/>
        <w:szCs w:val="28"/>
      </w:rPr>
      <w:t xml:space="preserve"> </w:t>
    </w:r>
    <w:r>
      <w:rPr>
        <w:rFonts w:hint="eastAsia"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drawingGridVerticalSpacing w:val="22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M2VlMWQ3ZTc5Y2NiNmMwMWVlMDk1OTUxZTM2ZjgifQ=="/>
  </w:docVars>
  <w:rsids>
    <w:rsidRoot w:val="6C385581"/>
    <w:rsid w:val="00010BB9"/>
    <w:rsid w:val="00010EE2"/>
    <w:rsid w:val="00027F3F"/>
    <w:rsid w:val="00046659"/>
    <w:rsid w:val="000469AC"/>
    <w:rsid w:val="00055D42"/>
    <w:rsid w:val="000742A8"/>
    <w:rsid w:val="0007758A"/>
    <w:rsid w:val="00086831"/>
    <w:rsid w:val="00097115"/>
    <w:rsid w:val="00097808"/>
    <w:rsid w:val="000A1B0C"/>
    <w:rsid w:val="000B231B"/>
    <w:rsid w:val="000B25E6"/>
    <w:rsid w:val="000B3044"/>
    <w:rsid w:val="000B39DD"/>
    <w:rsid w:val="000C06B0"/>
    <w:rsid w:val="000C696D"/>
    <w:rsid w:val="000D1DA9"/>
    <w:rsid w:val="000E3DB4"/>
    <w:rsid w:val="000E68DE"/>
    <w:rsid w:val="000F5ECD"/>
    <w:rsid w:val="000F6041"/>
    <w:rsid w:val="001014B1"/>
    <w:rsid w:val="00116645"/>
    <w:rsid w:val="001266B3"/>
    <w:rsid w:val="00137910"/>
    <w:rsid w:val="00184A17"/>
    <w:rsid w:val="001B400E"/>
    <w:rsid w:val="001B59A2"/>
    <w:rsid w:val="001C0518"/>
    <w:rsid w:val="001C25E2"/>
    <w:rsid w:val="001C6990"/>
    <w:rsid w:val="001E1BE0"/>
    <w:rsid w:val="001F3FDD"/>
    <w:rsid w:val="002248A3"/>
    <w:rsid w:val="00233AA0"/>
    <w:rsid w:val="00234A12"/>
    <w:rsid w:val="00235015"/>
    <w:rsid w:val="00235999"/>
    <w:rsid w:val="00240B72"/>
    <w:rsid w:val="0024635F"/>
    <w:rsid w:val="0025637E"/>
    <w:rsid w:val="002632BD"/>
    <w:rsid w:val="002635B8"/>
    <w:rsid w:val="002671F2"/>
    <w:rsid w:val="0026764D"/>
    <w:rsid w:val="002924FF"/>
    <w:rsid w:val="002B1048"/>
    <w:rsid w:val="002F08B1"/>
    <w:rsid w:val="002F5AA4"/>
    <w:rsid w:val="00301794"/>
    <w:rsid w:val="00304B95"/>
    <w:rsid w:val="00305F22"/>
    <w:rsid w:val="003078C3"/>
    <w:rsid w:val="00315B23"/>
    <w:rsid w:val="00316B45"/>
    <w:rsid w:val="00327150"/>
    <w:rsid w:val="00334442"/>
    <w:rsid w:val="00337C92"/>
    <w:rsid w:val="003603EE"/>
    <w:rsid w:val="00372043"/>
    <w:rsid w:val="003731A5"/>
    <w:rsid w:val="00376E27"/>
    <w:rsid w:val="003B1A47"/>
    <w:rsid w:val="003C58DD"/>
    <w:rsid w:val="003D658C"/>
    <w:rsid w:val="003E2993"/>
    <w:rsid w:val="00402039"/>
    <w:rsid w:val="0040392C"/>
    <w:rsid w:val="004154F8"/>
    <w:rsid w:val="00423A5C"/>
    <w:rsid w:val="00424FE3"/>
    <w:rsid w:val="00431A28"/>
    <w:rsid w:val="00440743"/>
    <w:rsid w:val="00451383"/>
    <w:rsid w:val="0045614C"/>
    <w:rsid w:val="00467779"/>
    <w:rsid w:val="00470F44"/>
    <w:rsid w:val="00486572"/>
    <w:rsid w:val="004A1E83"/>
    <w:rsid w:val="004A2AB3"/>
    <w:rsid w:val="004A4296"/>
    <w:rsid w:val="004A689C"/>
    <w:rsid w:val="004B7C42"/>
    <w:rsid w:val="004D49F0"/>
    <w:rsid w:val="004D5FD5"/>
    <w:rsid w:val="004E0478"/>
    <w:rsid w:val="004E56C0"/>
    <w:rsid w:val="004F4B9B"/>
    <w:rsid w:val="004F561F"/>
    <w:rsid w:val="0050629E"/>
    <w:rsid w:val="00510D40"/>
    <w:rsid w:val="0051313E"/>
    <w:rsid w:val="00516C6B"/>
    <w:rsid w:val="00517CB9"/>
    <w:rsid w:val="00530CB1"/>
    <w:rsid w:val="005378CE"/>
    <w:rsid w:val="00553979"/>
    <w:rsid w:val="005560E8"/>
    <w:rsid w:val="0057355E"/>
    <w:rsid w:val="005762DA"/>
    <w:rsid w:val="00577FA5"/>
    <w:rsid w:val="005968EF"/>
    <w:rsid w:val="005A2555"/>
    <w:rsid w:val="005A3532"/>
    <w:rsid w:val="005A7B24"/>
    <w:rsid w:val="005B16BF"/>
    <w:rsid w:val="005C2DB3"/>
    <w:rsid w:val="005D0A1A"/>
    <w:rsid w:val="005E0DBA"/>
    <w:rsid w:val="00605000"/>
    <w:rsid w:val="006065E4"/>
    <w:rsid w:val="006103AE"/>
    <w:rsid w:val="00611B6F"/>
    <w:rsid w:val="00613925"/>
    <w:rsid w:val="00630463"/>
    <w:rsid w:val="006713B5"/>
    <w:rsid w:val="00676582"/>
    <w:rsid w:val="0069230A"/>
    <w:rsid w:val="0069459B"/>
    <w:rsid w:val="006C10FB"/>
    <w:rsid w:val="006C5C39"/>
    <w:rsid w:val="006E0D5B"/>
    <w:rsid w:val="006F2998"/>
    <w:rsid w:val="006F640E"/>
    <w:rsid w:val="00713D0B"/>
    <w:rsid w:val="00735026"/>
    <w:rsid w:val="007352B2"/>
    <w:rsid w:val="00736B38"/>
    <w:rsid w:val="007401ED"/>
    <w:rsid w:val="007404F9"/>
    <w:rsid w:val="007513A2"/>
    <w:rsid w:val="00754514"/>
    <w:rsid w:val="007A219C"/>
    <w:rsid w:val="007A6039"/>
    <w:rsid w:val="007C5869"/>
    <w:rsid w:val="007D6CB5"/>
    <w:rsid w:val="007E3221"/>
    <w:rsid w:val="007E427B"/>
    <w:rsid w:val="007F18F0"/>
    <w:rsid w:val="007F3818"/>
    <w:rsid w:val="008036F6"/>
    <w:rsid w:val="00812E0B"/>
    <w:rsid w:val="00813454"/>
    <w:rsid w:val="00816526"/>
    <w:rsid w:val="00822451"/>
    <w:rsid w:val="00831325"/>
    <w:rsid w:val="00854542"/>
    <w:rsid w:val="00856B6A"/>
    <w:rsid w:val="0086450B"/>
    <w:rsid w:val="00880FBD"/>
    <w:rsid w:val="008A1ECE"/>
    <w:rsid w:val="008A4391"/>
    <w:rsid w:val="008A54FE"/>
    <w:rsid w:val="008A7B85"/>
    <w:rsid w:val="008B025F"/>
    <w:rsid w:val="008B1088"/>
    <w:rsid w:val="008B3BFB"/>
    <w:rsid w:val="008C037B"/>
    <w:rsid w:val="008C13F7"/>
    <w:rsid w:val="008D151B"/>
    <w:rsid w:val="008D19D4"/>
    <w:rsid w:val="008D7A94"/>
    <w:rsid w:val="008F2D05"/>
    <w:rsid w:val="0090138A"/>
    <w:rsid w:val="00977A62"/>
    <w:rsid w:val="00994636"/>
    <w:rsid w:val="009C7283"/>
    <w:rsid w:val="009E7F7E"/>
    <w:rsid w:val="00A12F57"/>
    <w:rsid w:val="00A229C3"/>
    <w:rsid w:val="00A23506"/>
    <w:rsid w:val="00A42378"/>
    <w:rsid w:val="00A50768"/>
    <w:rsid w:val="00A526C9"/>
    <w:rsid w:val="00A54EE9"/>
    <w:rsid w:val="00A649E7"/>
    <w:rsid w:val="00A77739"/>
    <w:rsid w:val="00A9443B"/>
    <w:rsid w:val="00AA3784"/>
    <w:rsid w:val="00AA4C29"/>
    <w:rsid w:val="00AB05CD"/>
    <w:rsid w:val="00AB0B3C"/>
    <w:rsid w:val="00AB1EE8"/>
    <w:rsid w:val="00AB6D24"/>
    <w:rsid w:val="00AC0F31"/>
    <w:rsid w:val="00AC1229"/>
    <w:rsid w:val="00AC357D"/>
    <w:rsid w:val="00AC61AD"/>
    <w:rsid w:val="00AD004F"/>
    <w:rsid w:val="00AD1839"/>
    <w:rsid w:val="00AE22CB"/>
    <w:rsid w:val="00AF2DB6"/>
    <w:rsid w:val="00B171F6"/>
    <w:rsid w:val="00B26E90"/>
    <w:rsid w:val="00B3642C"/>
    <w:rsid w:val="00B40ABE"/>
    <w:rsid w:val="00B442BE"/>
    <w:rsid w:val="00B45685"/>
    <w:rsid w:val="00B54A37"/>
    <w:rsid w:val="00B67F11"/>
    <w:rsid w:val="00B7033A"/>
    <w:rsid w:val="00B84F41"/>
    <w:rsid w:val="00B943E7"/>
    <w:rsid w:val="00B948F6"/>
    <w:rsid w:val="00BA1113"/>
    <w:rsid w:val="00BB1D2F"/>
    <w:rsid w:val="00BC23B7"/>
    <w:rsid w:val="00BD0225"/>
    <w:rsid w:val="00BD2894"/>
    <w:rsid w:val="00C01223"/>
    <w:rsid w:val="00C03BBB"/>
    <w:rsid w:val="00C12937"/>
    <w:rsid w:val="00C20991"/>
    <w:rsid w:val="00C40742"/>
    <w:rsid w:val="00C4530B"/>
    <w:rsid w:val="00C60AF6"/>
    <w:rsid w:val="00C6768E"/>
    <w:rsid w:val="00C72E80"/>
    <w:rsid w:val="00C74F76"/>
    <w:rsid w:val="00C92EC9"/>
    <w:rsid w:val="00CB0DCA"/>
    <w:rsid w:val="00CC7C72"/>
    <w:rsid w:val="00CE13C1"/>
    <w:rsid w:val="00CE5DFB"/>
    <w:rsid w:val="00CF0968"/>
    <w:rsid w:val="00CF1289"/>
    <w:rsid w:val="00D140C5"/>
    <w:rsid w:val="00D24896"/>
    <w:rsid w:val="00D25E5F"/>
    <w:rsid w:val="00D2662C"/>
    <w:rsid w:val="00D57291"/>
    <w:rsid w:val="00D67018"/>
    <w:rsid w:val="00D80A46"/>
    <w:rsid w:val="00D815E1"/>
    <w:rsid w:val="00D92772"/>
    <w:rsid w:val="00DA17E3"/>
    <w:rsid w:val="00DA7666"/>
    <w:rsid w:val="00DB2465"/>
    <w:rsid w:val="00DC1718"/>
    <w:rsid w:val="00DC3BA0"/>
    <w:rsid w:val="00DC556F"/>
    <w:rsid w:val="00DF26F3"/>
    <w:rsid w:val="00DF7020"/>
    <w:rsid w:val="00E165F4"/>
    <w:rsid w:val="00E174D4"/>
    <w:rsid w:val="00E43167"/>
    <w:rsid w:val="00E577CE"/>
    <w:rsid w:val="00E7172C"/>
    <w:rsid w:val="00E80DA3"/>
    <w:rsid w:val="00EB4F8A"/>
    <w:rsid w:val="00EC0C5E"/>
    <w:rsid w:val="00ED5910"/>
    <w:rsid w:val="00EE29A2"/>
    <w:rsid w:val="00EE510D"/>
    <w:rsid w:val="00EF57D0"/>
    <w:rsid w:val="00EF69F9"/>
    <w:rsid w:val="00F05286"/>
    <w:rsid w:val="00F1508E"/>
    <w:rsid w:val="00F2730F"/>
    <w:rsid w:val="00F30608"/>
    <w:rsid w:val="00F467EA"/>
    <w:rsid w:val="00F662CB"/>
    <w:rsid w:val="00F671CF"/>
    <w:rsid w:val="00F74C37"/>
    <w:rsid w:val="00F75A3D"/>
    <w:rsid w:val="00F827D5"/>
    <w:rsid w:val="00F833DE"/>
    <w:rsid w:val="00F84A8D"/>
    <w:rsid w:val="00F942DB"/>
    <w:rsid w:val="00FC54BA"/>
    <w:rsid w:val="00FF3666"/>
    <w:rsid w:val="01013DE4"/>
    <w:rsid w:val="01151AAD"/>
    <w:rsid w:val="018A59CD"/>
    <w:rsid w:val="02CE5565"/>
    <w:rsid w:val="03C66184"/>
    <w:rsid w:val="05310FFF"/>
    <w:rsid w:val="06F85085"/>
    <w:rsid w:val="074A3B33"/>
    <w:rsid w:val="078D3552"/>
    <w:rsid w:val="09AC525A"/>
    <w:rsid w:val="0D0E377F"/>
    <w:rsid w:val="0D9A3B38"/>
    <w:rsid w:val="0E314BCB"/>
    <w:rsid w:val="0E3A3B00"/>
    <w:rsid w:val="100C4756"/>
    <w:rsid w:val="110E7619"/>
    <w:rsid w:val="117D7B41"/>
    <w:rsid w:val="11C366EC"/>
    <w:rsid w:val="133F1026"/>
    <w:rsid w:val="13B60C16"/>
    <w:rsid w:val="145E745C"/>
    <w:rsid w:val="1749607C"/>
    <w:rsid w:val="1A204BC7"/>
    <w:rsid w:val="1AF04DBD"/>
    <w:rsid w:val="1B8C046E"/>
    <w:rsid w:val="1BC2103F"/>
    <w:rsid w:val="1D5E2E9D"/>
    <w:rsid w:val="1D64361D"/>
    <w:rsid w:val="1E2D5C72"/>
    <w:rsid w:val="1F647CF8"/>
    <w:rsid w:val="21F36BA0"/>
    <w:rsid w:val="23EC5EE5"/>
    <w:rsid w:val="24C52E1D"/>
    <w:rsid w:val="25775702"/>
    <w:rsid w:val="289B5753"/>
    <w:rsid w:val="29530719"/>
    <w:rsid w:val="29D66FF2"/>
    <w:rsid w:val="2C1A785F"/>
    <w:rsid w:val="2E583D16"/>
    <w:rsid w:val="2E93795A"/>
    <w:rsid w:val="2F711CD3"/>
    <w:rsid w:val="302A026F"/>
    <w:rsid w:val="306E7C4E"/>
    <w:rsid w:val="30DF3432"/>
    <w:rsid w:val="310E63F6"/>
    <w:rsid w:val="31B330CB"/>
    <w:rsid w:val="321F0C6E"/>
    <w:rsid w:val="33845B27"/>
    <w:rsid w:val="34DE2575"/>
    <w:rsid w:val="354108EB"/>
    <w:rsid w:val="36514E32"/>
    <w:rsid w:val="3684420F"/>
    <w:rsid w:val="38065E83"/>
    <w:rsid w:val="38C935BC"/>
    <w:rsid w:val="392F0579"/>
    <w:rsid w:val="3B0B5B76"/>
    <w:rsid w:val="3BCA11A1"/>
    <w:rsid w:val="3C3B5408"/>
    <w:rsid w:val="3D1722C0"/>
    <w:rsid w:val="3D830434"/>
    <w:rsid w:val="3E59442E"/>
    <w:rsid w:val="3ED93BBD"/>
    <w:rsid w:val="3EE57527"/>
    <w:rsid w:val="3F396F56"/>
    <w:rsid w:val="40264BE1"/>
    <w:rsid w:val="411F25E2"/>
    <w:rsid w:val="45023C4A"/>
    <w:rsid w:val="46BC5A07"/>
    <w:rsid w:val="485C467A"/>
    <w:rsid w:val="49EA22EB"/>
    <w:rsid w:val="4A626F02"/>
    <w:rsid w:val="4B5F7432"/>
    <w:rsid w:val="4BAD3677"/>
    <w:rsid w:val="4DC50B03"/>
    <w:rsid w:val="4FB25D26"/>
    <w:rsid w:val="4FCB68DD"/>
    <w:rsid w:val="4FF44E38"/>
    <w:rsid w:val="51BD15B4"/>
    <w:rsid w:val="51E3019D"/>
    <w:rsid w:val="51EA78E8"/>
    <w:rsid w:val="52554476"/>
    <w:rsid w:val="54B073BC"/>
    <w:rsid w:val="55CD55C1"/>
    <w:rsid w:val="55FC525A"/>
    <w:rsid w:val="57A93DD6"/>
    <w:rsid w:val="57AD3325"/>
    <w:rsid w:val="5B545F98"/>
    <w:rsid w:val="5C527DAB"/>
    <w:rsid w:val="5D630A5A"/>
    <w:rsid w:val="5FBD54E8"/>
    <w:rsid w:val="61BA265A"/>
    <w:rsid w:val="62245142"/>
    <w:rsid w:val="63395F1E"/>
    <w:rsid w:val="64543623"/>
    <w:rsid w:val="646B7BD7"/>
    <w:rsid w:val="648963C0"/>
    <w:rsid w:val="65517FC3"/>
    <w:rsid w:val="6597401B"/>
    <w:rsid w:val="65C86871"/>
    <w:rsid w:val="67051305"/>
    <w:rsid w:val="69064619"/>
    <w:rsid w:val="69C413B5"/>
    <w:rsid w:val="6B1C203A"/>
    <w:rsid w:val="6B1C3F1E"/>
    <w:rsid w:val="6C385581"/>
    <w:rsid w:val="6C591A4C"/>
    <w:rsid w:val="6CE005DA"/>
    <w:rsid w:val="6D535020"/>
    <w:rsid w:val="6FC5749A"/>
    <w:rsid w:val="70353616"/>
    <w:rsid w:val="7060580B"/>
    <w:rsid w:val="707E43A8"/>
    <w:rsid w:val="70A0233D"/>
    <w:rsid w:val="73DB2303"/>
    <w:rsid w:val="75C84397"/>
    <w:rsid w:val="79772EA0"/>
    <w:rsid w:val="7C542741"/>
    <w:rsid w:val="7DC355E5"/>
    <w:rsid w:val="7DE213CB"/>
    <w:rsid w:val="7E1C22B0"/>
    <w:rsid w:val="7E44729D"/>
    <w:rsid w:val="7F856A3A"/>
    <w:rsid w:val="FFCB5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方正仿宋_GBK" w:cs="Times New Roman"/>
      <w:kern w:val="2"/>
      <w:sz w:val="32"/>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Indent"/>
    <w:basedOn w:val="1"/>
    <w:next w:val="6"/>
    <w:qFormat/>
    <w:uiPriority w:val="0"/>
    <w:pPr>
      <w:spacing w:after="120"/>
      <w:ind w:left="420" w:leftChars="200"/>
    </w:pPr>
  </w:style>
  <w:style w:type="paragraph" w:styleId="6">
    <w:name w:val="Body Text First Indent 2"/>
    <w:basedOn w:val="5"/>
    <w:qFormat/>
    <w:uiPriority w:val="0"/>
    <w:pPr>
      <w:overflowPunct w:val="0"/>
      <w:autoSpaceDE w:val="0"/>
      <w:autoSpaceDN w:val="0"/>
      <w:spacing w:line="360" w:lineRule="auto"/>
      <w:ind w:left="0" w:leftChars="0" w:firstLine="420" w:firstLineChars="200"/>
      <w:textAlignment w:val="baseline"/>
    </w:pPr>
    <w:rPr>
      <w:rFonts w:ascii="宋体" w:hAnsi="MS Sans Serif"/>
      <w:spacing w:val="12"/>
      <w:sz w:val="24"/>
      <w:szCs w:val="22"/>
    </w:rPr>
  </w:style>
  <w:style w:type="paragraph" w:styleId="7">
    <w:name w:val="Balloon Text"/>
    <w:basedOn w:val="1"/>
    <w:link w:val="23"/>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99"/>
    <w:pPr>
      <w:spacing w:beforeAutospacing="1" w:after="100" w:afterAutospacing="1"/>
      <w:jc w:val="left"/>
    </w:pPr>
    <w:rPr>
      <w:rFonts w:ascii="Calibri" w:hAnsi="Calibri" w:eastAsia="宋体"/>
      <w:sz w:val="24"/>
      <w:szCs w:val="22"/>
    </w:rPr>
  </w:style>
  <w:style w:type="paragraph" w:styleId="12">
    <w:name w:val="Title"/>
    <w:basedOn w:val="1"/>
    <w:next w:val="1"/>
    <w:qFormat/>
    <w:uiPriority w:val="0"/>
    <w:pPr>
      <w:spacing w:line="580" w:lineRule="exact"/>
      <w:ind w:firstLine="640" w:firstLineChars="200"/>
      <w:jc w:val="both"/>
      <w:outlineLvl w:val="0"/>
    </w:pPr>
    <w:rPr>
      <w:rFonts w:ascii="Times New Roman" w:hAnsi="Times New Roman" w:eastAsia="仿宋_GB2312" w:cs="Times New Roman"/>
      <w:sz w:val="32"/>
      <w:szCs w:val="32"/>
      <w:lang w:val="en-US" w:eastAsia="zh-CN" w:bidi="ar-SA"/>
    </w:rPr>
  </w:style>
  <w:style w:type="character" w:styleId="15">
    <w:name w:val="Strong"/>
    <w:basedOn w:val="14"/>
    <w:qFormat/>
    <w:uiPriority w:val="0"/>
    <w:rPr>
      <w:b/>
    </w:rPr>
  </w:style>
  <w:style w:type="character" w:styleId="16">
    <w:name w:val="FollowedHyperlink"/>
    <w:qFormat/>
    <w:uiPriority w:val="99"/>
    <w:rPr>
      <w:rFonts w:ascii="Times New Roman" w:hAnsi="Times New Roman" w:eastAsia="宋体" w:cs="Times New Roman"/>
      <w:color w:val="000000"/>
      <w:u w:val="none"/>
    </w:rPr>
  </w:style>
  <w:style w:type="character" w:styleId="17">
    <w:name w:val="Hyperlink"/>
    <w:qFormat/>
    <w:uiPriority w:val="99"/>
    <w:rPr>
      <w:rFonts w:ascii="Times New Roman" w:hAnsi="Times New Roman" w:eastAsia="宋体" w:cs="Times New Roman"/>
      <w:color w:val="000000"/>
      <w:u w:val="none"/>
    </w:rPr>
  </w:style>
  <w:style w:type="paragraph" w:customStyle="1" w:styleId="18">
    <w:name w:val="Normal Indent1"/>
    <w:basedOn w:val="19"/>
    <w:qFormat/>
    <w:uiPriority w:val="99"/>
    <w:pPr>
      <w:ind w:firstLine="420" w:firstLineChars="200"/>
    </w:pPr>
  </w:style>
  <w:style w:type="paragraph" w:customStyle="1" w:styleId="19">
    <w:name w:val="正文 New New New New New New New New New New New New New New New New"/>
    <w:next w:val="18"/>
    <w:qFormat/>
    <w:uiPriority w:val="0"/>
    <w:pPr>
      <w:widowControl w:val="0"/>
      <w:jc w:val="both"/>
    </w:pPr>
    <w:rPr>
      <w:rFonts w:ascii="Calibri" w:hAnsi="Calibri" w:eastAsia="宋体" w:cs="黑体"/>
      <w:kern w:val="2"/>
      <w:sz w:val="21"/>
      <w:szCs w:val="24"/>
      <w:lang w:val="en-US" w:eastAsia="zh-CN"/>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sz w:val="21"/>
      <w:szCs w:val="20"/>
    </w:rPr>
  </w:style>
  <w:style w:type="paragraph" w:customStyle="1" w:styleId="21">
    <w:name w:val="样式 黑色"/>
    <w:basedOn w:val="1"/>
    <w:qFormat/>
    <w:uiPriority w:val="0"/>
    <w:pPr>
      <w:ind w:firstLine="560" w:firstLineChars="200"/>
    </w:pPr>
    <w:rPr>
      <w:rFonts w:ascii="Times New Roman" w:hAnsi="Times New Roman" w:eastAsia="宋体"/>
      <w:color w:val="000000"/>
      <w:kern w:val="0"/>
      <w:sz w:val="28"/>
      <w:szCs w:val="20"/>
    </w:rPr>
  </w:style>
  <w:style w:type="character" w:customStyle="1" w:styleId="22">
    <w:name w:val="页眉 Char"/>
    <w:link w:val="9"/>
    <w:qFormat/>
    <w:uiPriority w:val="99"/>
    <w:rPr>
      <w:rFonts w:ascii="宋体" w:hAnsi="宋体" w:eastAsia="方正仿宋_GBK" w:cs="Times New Roman"/>
      <w:kern w:val="2"/>
      <w:sz w:val="18"/>
      <w:szCs w:val="18"/>
    </w:rPr>
  </w:style>
  <w:style w:type="character" w:customStyle="1" w:styleId="23">
    <w:name w:val="批注框文本 Char"/>
    <w:link w:val="7"/>
    <w:qFormat/>
    <w:uiPriority w:val="99"/>
    <w:rPr>
      <w:rFonts w:ascii="宋体" w:hAnsi="宋体" w:eastAsia="方正仿宋_GBK" w:cs="Times New Roman"/>
      <w:kern w:val="2"/>
      <w:sz w:val="18"/>
      <w:szCs w:val="18"/>
    </w:rPr>
  </w:style>
  <w:style w:type="character" w:customStyle="1" w:styleId="24">
    <w:name w:val="页脚 Char"/>
    <w:link w:val="8"/>
    <w:qFormat/>
    <w:uiPriority w:val="99"/>
    <w:rPr>
      <w:rFonts w:ascii="宋体" w:hAnsi="宋体" w:eastAsia="方正仿宋_GBK" w:cs="Times New Roman"/>
      <w:kern w:val="2"/>
      <w:sz w:val="18"/>
      <w:szCs w:val="18"/>
    </w:rPr>
  </w:style>
  <w:style w:type="character" w:styleId="25">
    <w:name w:val="Placeholder Text"/>
    <w:qFormat/>
    <w:uiPriority w:val="99"/>
    <w:rPr>
      <w:rFonts w:ascii="Times New Roman" w:hAnsi="Times New Roman" w:eastAsia="宋体" w:cs="Times New Roman"/>
      <w:color w:val="808080"/>
    </w:rPr>
  </w:style>
  <w:style w:type="paragraph" w:customStyle="1" w:styleId="26">
    <w:name w:val="Normal New"/>
    <w:basedOn w:val="27"/>
    <w:qFormat/>
    <w:uiPriority w:val="0"/>
    <w:rPr>
      <w:rFonts w:hint="eastAsia" w:ascii="Times New Roman" w:hAnsi="Times New Roman" w:eastAsia="宋体" w:cs="Times New Roman"/>
      <w:szCs w:val="22"/>
    </w:rPr>
  </w:style>
  <w:style w:type="paragraph" w:customStyle="1" w:styleId="27">
    <w:name w:val="正文 New"/>
    <w:qFormat/>
    <w:uiPriority w:val="0"/>
    <w:pPr>
      <w:widowControl w:val="0"/>
      <w:jc w:val="both"/>
    </w:pPr>
    <w:rPr>
      <w:rFonts w:ascii="Calibri" w:hAnsi="Calibri" w:eastAsia="宋体" w:cs="黑体"/>
      <w:kern w:val="2"/>
      <w:sz w:val="21"/>
      <w:szCs w:val="24"/>
      <w:lang w:val="en-US" w:eastAsia="zh-CN"/>
    </w:rPr>
  </w:style>
  <w:style w:type="paragraph" w:customStyle="1" w:styleId="28">
    <w:name w:val="正文首行缩进 21"/>
    <w:basedOn w:val="29"/>
    <w:qFormat/>
    <w:uiPriority w:val="0"/>
    <w:pPr>
      <w:ind w:firstLine="420" w:firstLineChars="200"/>
    </w:pPr>
  </w:style>
  <w:style w:type="paragraph" w:customStyle="1" w:styleId="29">
    <w:name w:val="正文文本缩进1"/>
    <w:basedOn w:val="1"/>
    <w:qFormat/>
    <w:uiPriority w:val="0"/>
    <w:pPr>
      <w:ind w:left="420" w:leftChars="200"/>
    </w:pPr>
    <w:rPr>
      <w:rFonts w:cs="Calibri"/>
    </w:rPr>
  </w:style>
  <w:style w:type="paragraph" w:customStyle="1" w:styleId="30">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huawei\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3559</Words>
  <Characters>3647</Characters>
  <Lines>0</Lines>
  <Paragraphs>0</Paragraphs>
  <TotalTime>6</TotalTime>
  <ScaleCrop>false</ScaleCrop>
  <LinksUpToDate>false</LinksUpToDate>
  <CharactersWithSpaces>3677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2022-11-21T11:31:00Z</dcterms:created>
  <dc:creator>Administrator</dc:creator>
  <cp:lastModifiedBy>杨永县</cp:lastModifiedBy>
  <cp:lastPrinted>2024-12-25T14:47:00Z</cp:lastPrinted>
  <dcterms:modified xsi:type="dcterms:W3CDTF">2025-01-03T07:41:14Z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68B46A5C3B5F4D24813487990CAB505B_13</vt:lpwstr>
  </property>
</Properties>
</file>