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color w:val="C00000"/>
          <w:sz w:val="24"/>
          <w:szCs w:val="24"/>
          <w:highlight w:val="none"/>
          <w:lang w:eastAsia="zh-CN"/>
        </w:rPr>
      </w:pPr>
      <w:r>
        <w:rPr>
          <w:rFonts w:hint="eastAsia" w:ascii="宋体" w:hAnsi="宋体" w:eastAsia="宋体" w:cs="宋体"/>
          <w:b w:val="0"/>
          <w:bCs/>
          <w:color w:val="C00000"/>
          <w:sz w:val="24"/>
          <w:szCs w:val="24"/>
          <w:highlight w:val="none"/>
          <w:lang w:eastAsia="zh-CN"/>
        </w:rPr>
        <w:t>解读《</w:t>
      </w:r>
      <w:r>
        <w:rPr>
          <w:rFonts w:hint="eastAsia" w:ascii="宋体" w:hAnsi="宋体" w:eastAsia="宋体" w:cs="宋体"/>
          <w:color w:val="C00000"/>
          <w:sz w:val="24"/>
          <w:szCs w:val="24"/>
          <w:highlight w:val="none"/>
          <w:lang w:val="en-US" w:eastAsia="zh-CN"/>
        </w:rPr>
        <w:t>芒市2024年支持联农带农新型农业经营主体奖补</w:t>
      </w:r>
      <w:r>
        <w:rPr>
          <w:rFonts w:hint="eastAsia" w:ascii="宋体" w:hAnsi="宋体" w:eastAsia="宋体" w:cs="宋体"/>
          <w:color w:val="C00000"/>
          <w:sz w:val="24"/>
          <w:szCs w:val="24"/>
          <w:highlight w:val="none"/>
          <w:lang w:eastAsia="zh-CN"/>
        </w:rPr>
        <w:t>项目</w:t>
      </w:r>
      <w:r>
        <w:rPr>
          <w:rFonts w:hint="eastAsia" w:ascii="宋体" w:hAnsi="宋体" w:eastAsia="宋体" w:cs="宋体"/>
          <w:color w:val="C00000"/>
          <w:sz w:val="24"/>
          <w:szCs w:val="24"/>
          <w:highlight w:val="none"/>
          <w:lang w:val="en-US" w:eastAsia="zh-CN"/>
        </w:rPr>
        <w:t>实施方案</w:t>
      </w:r>
      <w:r>
        <w:rPr>
          <w:rFonts w:hint="eastAsia" w:ascii="宋体" w:hAnsi="宋体" w:eastAsia="宋体" w:cs="宋体"/>
          <w:color w:val="C00000"/>
          <w:sz w:val="24"/>
          <w:szCs w:val="24"/>
          <w:highlight w:val="none"/>
          <w:lang w:eastAsia="zh-CN"/>
        </w:rPr>
        <w:t>》</w:t>
      </w: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为</w:t>
      </w:r>
      <w:r>
        <w:rPr>
          <w:rFonts w:hint="eastAsia" w:ascii="宋体" w:hAnsi="宋体" w:eastAsia="宋体" w:cs="宋体"/>
          <w:b w:val="0"/>
          <w:bCs/>
          <w:color w:val="auto"/>
          <w:sz w:val="24"/>
          <w:szCs w:val="24"/>
          <w:highlight w:val="none"/>
          <w:lang w:val="en-US" w:eastAsia="zh-CN"/>
        </w:rPr>
        <w:t>鼓励各类新型农业经营主体与农民建立稳定的利益联结机制，带动小农户发展现代农业，促进农民特别是脱贫人口持续增收。芒市2024年支持联农带农新型农业经营主体项目实施方案的通知为</w:t>
      </w:r>
      <w:r>
        <w:rPr>
          <w:rFonts w:hint="eastAsia" w:ascii="宋体" w:hAnsi="宋体" w:eastAsia="宋体" w:cs="宋体"/>
          <w:b w:val="0"/>
          <w:bCs/>
          <w:color w:val="auto"/>
          <w:sz w:val="24"/>
          <w:szCs w:val="24"/>
          <w:highlight w:val="none"/>
          <w:lang w:eastAsia="zh-CN"/>
        </w:rPr>
        <w:t>便于各部门及社会公众更好地了解有关内容，现将文件解读如下：</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出台背景</w:t>
      </w:r>
    </w:p>
    <w:p>
      <w:pPr>
        <w:pStyle w:val="2"/>
        <w:keepNext w:val="0"/>
        <w:keepLines w:val="0"/>
        <w:pageBreakBefore w:val="0"/>
        <w:widowControl w:val="0"/>
        <w:numPr>
          <w:ilvl w:val="0"/>
          <w:numId w:val="0"/>
        </w:numPr>
        <w:kinsoku/>
        <w:wordWrap/>
        <w:overflowPunct/>
        <w:topLinePunct w:val="0"/>
        <w:bidi w:val="0"/>
        <w:spacing w:line="6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为认真贯彻落实《云南省支持联农带农经营主体奖补办法（试行）》（云农规划</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〔2023〕8号）和《芒市支持联农带农新型农业经营主体奖补办法实施细则（试行）》</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（修订版）（芒农发〔2024〕13号）文件精神，进一步健全芒市产业帮扶利益联结机</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制，推进产业帮扶全覆盖，围绕芒市巩固拓展脱贫攻坚成果同乡村振兴有效衔接工作</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目标，立足特色产业，以市场为导向，优选一批有意愿、有带头致富能力、有产业基</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础及经营效益管理规范的农业企业、农民专业合作社，完善利益联结机制，带动脱贫</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人口、监测对象及其他农户增收致富。充分发挥新型农业经营主体联农带农增收助推</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产业发展，巩固拓展脱</w:t>
      </w:r>
      <w:bookmarkStart w:id="0" w:name="_GoBack"/>
      <w:r>
        <w:rPr>
          <w:rFonts w:hint="eastAsia" w:ascii="宋体" w:hAnsi="宋体" w:eastAsia="宋体" w:cs="宋体"/>
          <w:b w:val="0"/>
          <w:bCs/>
          <w:color w:val="auto"/>
          <w:kern w:val="2"/>
          <w:sz w:val="24"/>
          <w:szCs w:val="24"/>
          <w:highlight w:val="none"/>
          <w:lang w:val="en-US" w:eastAsia="zh-CN" w:bidi="ar-SA"/>
        </w:rPr>
        <w:t>贫攻坚成果</w:t>
      </w:r>
      <w:bookmarkEnd w:id="0"/>
      <w:r>
        <w:rPr>
          <w:rFonts w:hint="eastAsia" w:ascii="宋体" w:hAnsi="宋体" w:eastAsia="宋体" w:cs="宋体"/>
          <w:b w:val="0"/>
          <w:bCs/>
          <w:color w:val="auto"/>
          <w:kern w:val="2"/>
          <w:sz w:val="24"/>
          <w:szCs w:val="24"/>
          <w:highlight w:val="none"/>
          <w:lang w:val="en-US" w:eastAsia="zh-CN" w:bidi="ar-SA"/>
        </w:rPr>
        <w:t>同乡村振兴有效衔接，结合芒市实际，特制定本项目申</w:t>
      </w:r>
    </w:p>
    <w:p>
      <w:pPr>
        <w:pStyle w:val="2"/>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报方案。</w:t>
      </w:r>
    </w:p>
    <w:p>
      <w:pPr>
        <w:pStyle w:val="2"/>
        <w:keepNext w:val="0"/>
        <w:keepLines w:val="0"/>
        <w:pageBreakBefore w:val="0"/>
        <w:widowControl w:val="0"/>
        <w:numPr>
          <w:ilvl w:val="0"/>
          <w:numId w:val="0"/>
        </w:numPr>
        <w:kinsoku/>
        <w:wordWrap/>
        <w:overflowPunct/>
        <w:topLinePunct w:val="0"/>
        <w:bidi w:val="0"/>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kern w:val="2"/>
          <w:sz w:val="24"/>
          <w:szCs w:val="24"/>
          <w:highlight w:val="none"/>
          <w:lang w:val="en-US" w:eastAsia="zh-CN" w:bidi="ar-SA"/>
        </w:rPr>
        <w:t>二、</w:t>
      </w:r>
      <w:r>
        <w:rPr>
          <w:rFonts w:hint="eastAsia" w:ascii="宋体" w:hAnsi="宋体" w:eastAsia="宋体" w:cs="宋体"/>
          <w:color w:val="auto"/>
          <w:sz w:val="24"/>
          <w:szCs w:val="24"/>
          <w:highlight w:val="none"/>
          <w:lang w:eastAsia="zh-CN"/>
        </w:rPr>
        <w:t>目标任务</w:t>
      </w:r>
    </w:p>
    <w:p>
      <w:pPr>
        <w:keepNext w:val="0"/>
        <w:keepLines w:val="0"/>
        <w:pageBreakBefore w:val="0"/>
        <w:widowControl w:val="0"/>
        <w:kinsoku/>
        <w:wordWrap/>
        <w:overflowPunct/>
        <w:topLinePunct w:val="0"/>
        <w:bidi w:val="0"/>
        <w:spacing w:line="6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创新产业联农带农模式，建立一种既能有效促进产业发展，又能使脱贫人口、监</w:t>
      </w:r>
    </w:p>
    <w:p>
      <w:pPr>
        <w:keepNext w:val="0"/>
        <w:keepLines w:val="0"/>
        <w:pageBreakBefore w:val="0"/>
        <w:widowControl w:val="0"/>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测对象及其他农户持续受益的产业联农带农长效机制。带动脱贫人口、监测对象及其</w:t>
      </w:r>
    </w:p>
    <w:p>
      <w:pPr>
        <w:keepNext w:val="0"/>
        <w:keepLines w:val="0"/>
        <w:pageBreakBefore w:val="0"/>
        <w:widowControl w:val="0"/>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他农户通过发展产业增收致富，实现有劳动能力、有产业发展条件和意愿的脱贫人口、</w:t>
      </w:r>
    </w:p>
    <w:p>
      <w:pPr>
        <w:keepNext w:val="0"/>
        <w:keepLines w:val="0"/>
        <w:pageBreakBefore w:val="0"/>
        <w:widowControl w:val="0"/>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监测对象及其他农户至少与一个农业企业和一个农民专业合作社建立合作关系，确保</w:t>
      </w:r>
    </w:p>
    <w:p>
      <w:pPr>
        <w:keepNext w:val="0"/>
        <w:keepLines w:val="0"/>
        <w:pageBreakBefore w:val="0"/>
        <w:widowControl w:val="0"/>
        <w:kinsoku/>
        <w:wordWrap/>
        <w:overflowPunct/>
        <w:topLinePunct w:val="0"/>
        <w:bidi w:val="0"/>
        <w:spacing w:line="600" w:lineRule="exact"/>
        <w:ind w:left="0" w:left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有稳定的产业收入来源，防止规模性返贫和新增贫困人口。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三、奖补对象及条件</w:t>
      </w:r>
    </w:p>
    <w:p>
      <w:pPr>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color w:val="auto"/>
          <w:kern w:val="0"/>
          <w:sz w:val="24"/>
          <w:szCs w:val="24"/>
          <w:u w:val="none"/>
          <w:lang w:val="en-US" w:eastAsia="zh-CN"/>
        </w:rPr>
      </w:pPr>
      <w:r>
        <w:rPr>
          <w:rStyle w:val="10"/>
          <w:rFonts w:hint="eastAsia" w:ascii="宋体" w:hAnsi="宋体" w:eastAsia="宋体" w:cs="宋体"/>
          <w:b w:val="0"/>
          <w:bCs/>
          <w:color w:val="auto"/>
          <w:sz w:val="24"/>
          <w:szCs w:val="24"/>
          <w:highlight w:val="none"/>
          <w:shd w:val="clear" w:color="auto" w:fill="FFFFFF"/>
        </w:rPr>
        <w:t>（</w:t>
      </w:r>
      <w:r>
        <w:rPr>
          <w:rStyle w:val="10"/>
          <w:rFonts w:hint="eastAsia" w:ascii="宋体" w:hAnsi="宋体" w:eastAsia="宋体" w:cs="宋体"/>
          <w:b w:val="0"/>
          <w:bCs/>
          <w:color w:val="auto"/>
          <w:sz w:val="24"/>
          <w:szCs w:val="24"/>
          <w:highlight w:val="none"/>
          <w:shd w:val="clear" w:color="auto" w:fill="FFFFFF"/>
          <w:lang w:eastAsia="zh-CN"/>
        </w:rPr>
        <w:t>一</w:t>
      </w:r>
      <w:r>
        <w:rPr>
          <w:rStyle w:val="10"/>
          <w:rFonts w:hint="eastAsia" w:ascii="宋体" w:hAnsi="宋体" w:eastAsia="宋体" w:cs="宋体"/>
          <w:b w:val="0"/>
          <w:bCs/>
          <w:color w:val="auto"/>
          <w:sz w:val="24"/>
          <w:szCs w:val="24"/>
          <w:highlight w:val="none"/>
          <w:shd w:val="clear" w:color="auto" w:fill="FFFFFF"/>
        </w:rPr>
        <w:t>）</w:t>
      </w:r>
      <w:r>
        <w:rPr>
          <w:rStyle w:val="10"/>
          <w:rFonts w:hint="eastAsia" w:ascii="宋体" w:hAnsi="宋体" w:eastAsia="宋体" w:cs="宋体"/>
          <w:b w:val="0"/>
          <w:bCs/>
          <w:color w:val="auto"/>
          <w:kern w:val="0"/>
          <w:sz w:val="24"/>
          <w:szCs w:val="24"/>
          <w:highlight w:val="none"/>
          <w:shd w:val="clear" w:color="auto" w:fill="FFFFFF"/>
          <w:lang w:val="en-US" w:eastAsia="zh-CN" w:bidi="ar"/>
        </w:rPr>
        <w:t>奖补对象。在云南省内注册、投资、运营1年以上，合法经营，信誉良好，无偷税漏税、无失信记录，未发生过重大农产品安全生产事故，未拖欠土地流转费、农产品收购款、农民工工资、村集体和农户分红收益的农业企业、市级以上农民专业合作社示范社（以下简称经营主体），与芒市地区脱贫人口、监测对象及其他农户建立利益联结机制，带动农户不低于30户（其中脱贫人口和监测对象不低于20%），每年带动60%以上的利益联结对象每人每年人均可支配收入增幅不低于10%。</w:t>
      </w:r>
    </w:p>
    <w:p>
      <w:pPr>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b w:val="0"/>
          <w:bCs w:val="0"/>
          <w:color w:val="auto"/>
          <w:kern w:val="0"/>
          <w:sz w:val="24"/>
          <w:szCs w:val="24"/>
          <w:highlight w:val="none"/>
          <w:shd w:val="clear" w:color="auto" w:fill="FFFFFF"/>
          <w:lang w:val="en-US" w:eastAsia="zh-CN" w:bidi="ar"/>
        </w:rPr>
        <w:t>奖补条件。经营主体可采取吸纳就业、生产托管、订单收购三种方式带动农户并申报奖补。多个经营主体带动同一个农户时，同一奖补类别中只能由带动效益最大的经营主体申报联农带农奖补。在同等条件下，对确定为农村致富带头人和完成乡村产业振兴带头人“头雁”培育项目全部培训任务的学员所在经营主体给予优先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color w:val="auto"/>
          <w:sz w:val="24"/>
          <w:szCs w:val="24"/>
          <w:highlight w:val="none"/>
          <w:lang w:val="en-US" w:eastAsia="zh-CN"/>
        </w:rPr>
        <w:t>四、带动方式及奖补标准</w:t>
      </w:r>
    </w:p>
    <w:p>
      <w:pPr>
        <w:pStyle w:val="2"/>
        <w:keepNext w:val="0"/>
        <w:keepLines w:val="0"/>
        <w:pageBreakBefore w:val="0"/>
        <w:widowControl w:val="0"/>
        <w:kinsoku/>
        <w:wordWrap/>
        <w:overflowPunct/>
        <w:topLinePunct w:val="0"/>
        <w:bidi w:val="0"/>
        <w:spacing w:line="600" w:lineRule="exact"/>
        <w:ind w:left="0" w:leftChars="0" w:firstLine="480" w:firstLineChars="200"/>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申报联农带农奖补的经营主体必须采用“双绑”方式（公司+合作社+农户）带动</w:t>
      </w:r>
    </w:p>
    <w:p>
      <w:pPr>
        <w:pStyle w:val="2"/>
        <w:keepNext w:val="0"/>
        <w:keepLines w:val="0"/>
        <w:pageBreakBefore w:val="0"/>
        <w:widowControl w:val="0"/>
        <w:kinsoku/>
        <w:wordWrap/>
        <w:overflowPunct/>
        <w:topLinePunct w:val="0"/>
        <w:bidi w:val="0"/>
        <w:spacing w:line="600" w:lineRule="exact"/>
        <w:ind w:left="0" w:leftChars="0"/>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脱贫人口、监测对象及其他农户，同时只能以一个经营主体申报奖补。每个经营主体</w:t>
      </w:r>
    </w:p>
    <w:p>
      <w:pPr>
        <w:pStyle w:val="2"/>
        <w:keepNext w:val="0"/>
        <w:keepLines w:val="0"/>
        <w:pageBreakBefore w:val="0"/>
        <w:widowControl w:val="0"/>
        <w:kinsoku/>
        <w:wordWrap/>
        <w:overflowPunct/>
        <w:topLinePunct w:val="0"/>
        <w:bidi w:val="0"/>
        <w:spacing w:line="600" w:lineRule="exact"/>
        <w:ind w:left="0" w:leftChars="0"/>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每年可申报奖补资金一次，根据带动的方式、数量经乡镇和市级验收合格后给予奖补，</w:t>
      </w:r>
    </w:p>
    <w:p>
      <w:pPr>
        <w:pStyle w:val="2"/>
        <w:keepNext w:val="0"/>
        <w:keepLines w:val="0"/>
        <w:pageBreakBefore w:val="0"/>
        <w:widowControl w:val="0"/>
        <w:kinsoku/>
        <w:wordWrap/>
        <w:overflowPunct/>
        <w:topLinePunct w:val="0"/>
        <w:bidi w:val="0"/>
        <w:spacing w:line="600" w:lineRule="exact"/>
        <w:ind w:left="0" w:leftChars="0"/>
        <w:textAlignment w:val="auto"/>
        <w:rPr>
          <w:rStyle w:val="10"/>
          <w:rFonts w:hint="eastAsia" w:ascii="宋体" w:hAnsi="宋体" w:eastAsia="宋体" w:cs="宋体"/>
          <w:b w:val="0"/>
          <w:bCs/>
          <w:color w:val="auto"/>
          <w:kern w:val="2"/>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
        </w:rPr>
        <w:t>对单个经营主体奖补资金每年最高30万元。</w:t>
      </w:r>
    </w:p>
    <w:p>
      <w:pPr>
        <w:keepNext w:val="0"/>
        <w:keepLines w:val="0"/>
        <w:pageBreakBefore w:val="0"/>
        <w:widowControl w:val="0"/>
        <w:numPr>
          <w:ilvl w:val="0"/>
          <w:numId w:val="1"/>
        </w:numPr>
        <w:kinsoku/>
        <w:wordWrap/>
        <w:overflowPunct/>
        <w:topLinePunct w:val="0"/>
        <w:bidi w:val="0"/>
        <w:spacing w:line="600" w:lineRule="exact"/>
        <w:ind w:left="0" w:leftChars="0"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Style w:val="10"/>
          <w:rFonts w:hint="eastAsia" w:ascii="宋体" w:hAnsi="宋体" w:eastAsia="宋体" w:cs="宋体"/>
          <w:b w:val="0"/>
          <w:bCs/>
          <w:color w:val="auto"/>
          <w:kern w:val="2"/>
          <w:sz w:val="24"/>
          <w:szCs w:val="24"/>
          <w:highlight w:val="none"/>
          <w:shd w:val="clear" w:color="auto" w:fill="FFFFFF"/>
          <w:lang w:val="en-US" w:eastAsia="zh-CN" w:bidi="ar-SA"/>
        </w:rPr>
        <w:t>吸纳就业奖补。对符合奖补申报条件，吸纳脱贫人口、监测对象及其他农</w:t>
      </w:r>
      <w:r>
        <w:rPr>
          <w:rFonts w:hint="eastAsia" w:ascii="宋体" w:hAnsi="宋体" w:eastAsia="宋体" w:cs="宋体"/>
          <w:b w:val="0"/>
          <w:bCs w:val="0"/>
          <w:color w:val="auto"/>
          <w:kern w:val="0"/>
          <w:sz w:val="24"/>
          <w:szCs w:val="24"/>
          <w:highlight w:val="none"/>
          <w:shd w:val="clear" w:color="auto" w:fill="FFFFFF"/>
          <w:lang w:val="en-US" w:eastAsia="zh-CN" w:bidi="ar"/>
        </w:rPr>
        <w:t>户家庭成员稳定就业6个月以上的经营主体，根据经营主体支付给带动对象的报酬情况给予奖补。其中：带动监测对象就业按照支付劳动报酬的40%给予奖补；带动脱贫人口就业按照支付劳动报酬的20%给予奖补；带动其他农户就业按照支付劳动报酬的10%给予奖补。</w:t>
      </w:r>
    </w:p>
    <w:p>
      <w:pPr>
        <w:keepNext w:val="0"/>
        <w:keepLines w:val="0"/>
        <w:pageBreakBefore w:val="0"/>
        <w:widowControl w:val="0"/>
        <w:numPr>
          <w:ilvl w:val="0"/>
          <w:numId w:val="1"/>
        </w:numPr>
        <w:kinsoku/>
        <w:wordWrap/>
        <w:overflowPunct/>
        <w:topLinePunct w:val="0"/>
        <w:bidi w:val="0"/>
        <w:spacing w:line="600" w:lineRule="exact"/>
        <w:ind w:left="0" w:leftChars="0"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生产托管奖补。对符合奖补申报条件，围绕粮、油产业发展，为农户提供“耕”“种”“防”“收”生产机械化服务的经营主体，服务面积100亩以上的，奖补资金按照生产托管服务费用总额的10%奖补经营主体。</w:t>
      </w:r>
    </w:p>
    <w:p>
      <w:pPr>
        <w:keepNext w:val="0"/>
        <w:keepLines w:val="0"/>
        <w:pageBreakBefore w:val="0"/>
        <w:widowControl w:val="0"/>
        <w:numPr>
          <w:ilvl w:val="0"/>
          <w:numId w:val="1"/>
        </w:numPr>
        <w:kinsoku/>
        <w:wordWrap/>
        <w:overflowPunct/>
        <w:topLinePunct w:val="0"/>
        <w:bidi w:val="0"/>
        <w:spacing w:line="600" w:lineRule="exact"/>
        <w:ind w:left="0" w:leftChars="0"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订单收购奖补。对符合奖补申报条件，通过订单农业带动农户增收的经营主体，根据农户经订单出售给经营主体的农产品收入，扣除生产成本，按照纯收入的10%奖补经营主体。</w:t>
      </w:r>
    </w:p>
    <w:p>
      <w:pPr>
        <w:keepNext w:val="0"/>
        <w:keepLines w:val="0"/>
        <w:pageBreakBefore w:val="0"/>
        <w:widowControl w:val="0"/>
        <w:numPr>
          <w:ilvl w:val="0"/>
          <w:numId w:val="1"/>
        </w:numPr>
        <w:kinsoku/>
        <w:wordWrap/>
        <w:overflowPunct/>
        <w:topLinePunct w:val="0"/>
        <w:bidi w:val="0"/>
        <w:spacing w:line="600" w:lineRule="exact"/>
        <w:ind w:left="0" w:leftChars="0"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当年已享受过投资奖补、贷款贴息、一次性吸纳就业奖补、帮扶车间奖补等各类财政产业奖补政策的经营主体，不得再申报联农带农奖补。</w:t>
      </w:r>
    </w:p>
    <w:p>
      <w:pPr>
        <w:pStyle w:val="2"/>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 、奖补申报及验收标准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480" w:firstLineChars="200"/>
        <w:textAlignment w:val="auto"/>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val="0"/>
          <w:bCs w:val="0"/>
          <w:color w:val="auto"/>
          <w:kern w:val="0"/>
          <w:sz w:val="24"/>
          <w:szCs w:val="24"/>
          <w:highlight w:val="none"/>
          <w:shd w:val="clear" w:color="auto" w:fill="FFFFFF"/>
          <w:lang w:val="en-US" w:eastAsia="zh-CN" w:bidi="ar"/>
        </w:rPr>
        <w:t>（一）申报时间。申报奖补的经营主体在2024年5月10日前将工商营业执照复印件、开户行基本信息、法人身份证复印件、奖补资金申报表、带动农户花名册、奖补资金使用承诺书、吸纳就业合同、生产托管协议、订单农业收购合同等相关申报材料报所在乡镇审查，乡镇在2024年5月15日前将审查合格的经营主体申报材料统一报送市农业农村局审核备案。</w:t>
      </w:r>
    </w:p>
    <w:p>
      <w:pPr>
        <w:keepNext w:val="0"/>
        <w:keepLines w:val="0"/>
        <w:pageBreakBefore w:val="0"/>
        <w:widowControl w:val="0"/>
        <w:numPr>
          <w:ilvl w:val="0"/>
          <w:numId w:val="0"/>
        </w:numPr>
        <w:kinsoku/>
        <w:wordWrap/>
        <w:overflowPunct/>
        <w:topLinePunct w:val="0"/>
        <w:bidi w:val="0"/>
        <w:spacing w:line="600" w:lineRule="exact"/>
        <w:ind w:left="0" w:lef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（二）验收时间。乡镇验收时间为2024年10月1日至10月31日，市级验收时间为2024年11月1日至11月30日。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验收审查材料。申报吸纳就业奖补的经营主体要提供与吸纳就业人员签订的吸纳就业合同、吸纳就业工资明细表、吸纳就业工资汇总表和银行转账凭证。申报生产托管奖补的经营主体要提供与农户签订的生产托管服务协议、生产托管服务费明细表和银行转账凭证。申报订单收购奖补的要提供与农户签订的订单农产品收购合同、订单农产品交易明细表、订单农产品交易汇总表和银行转账凭证。申报联农带农奖补的经营主体，联农带农相关资金必须从其所在银行开设的公用账户收付款，未从公用账户收付款的一律不予验收。</w:t>
      </w:r>
    </w:p>
    <w:p>
      <w:pPr>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验收程序和标准。乡镇在启动乡级验收前5个工作日，将辖区内申报奖补的经营主体名单报市农业农村局，市农业农村局联合市财政局、市人力资源和社会保障局、市工业和商务科技局、市市场监督管理局、市税务局、市林业和草原局对经营主体2023年10月1日至2024年9月30日享受投资奖补、贷款贴息、一次性吸纳就业奖补等各类财政产业奖补政策情况进行联合审查，并将审查结果反馈乡镇。乡镇在收到审查结果后，对审查合格、提供材料齐全的经营主体开展实地验收。对新型农业经营主体带动农户不低于30户（其中脱贫人口和监测对象不低于20%），每年带动60%以上的利益联结对象每人每年人均可支配收入增幅不低于10%的，给予通过初验，并将验收结果形成验收报告上报市农业农村局。市农业农村局组织市财政局、市人力资源和社会保障局、市工业和商务科技局、市市场监督管理局、市税务局、市林业和草原局组成市级验收组，对每个经营主体按照乡镇验收合格数的30%抽查验收，对抽查合格率达到100%的给予奖补，达不到100%的不予奖补。</w:t>
      </w:r>
    </w:p>
    <w:p>
      <w:pPr>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农户家庭人均可支配收入核查和比对。农户家庭人均可支配收入统计时间为2023年10月1日至2024年9月30日。乡镇负责核查经营主体带动农户家庭人均可支配收入和比对收入增幅。其中：脱贫人口、监测对象家庭人均可支配收入与2023年国办系统录入收入作比对；其他农户家庭人均可支配收入与2023年全市农村人均可支配收入作比对。</w:t>
      </w:r>
    </w:p>
    <w:p>
      <w:pPr>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六、奖补对象责任</w:t>
      </w:r>
    </w:p>
    <w:p>
      <w:pPr>
        <w:keepNext w:val="0"/>
        <w:keepLines w:val="0"/>
        <w:pageBreakBefore w:val="0"/>
        <w:widowControl w:val="0"/>
        <w:kinsoku/>
        <w:wordWrap/>
        <w:overflowPunct/>
        <w:topLinePunct w:val="0"/>
        <w:bidi w:val="0"/>
        <w:snapToGrid w:val="0"/>
        <w:spacing w:line="600" w:lineRule="exact"/>
        <w:ind w:left="0" w:leftChars="0"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（一）完善利益联结机制，申报奖补资金扶持的经营主体要及时与带动对象签订相关的联农带农协议，建立长期有效的利益联结机制，确保联农带农机制发挥最大效益。</w:t>
      </w:r>
    </w:p>
    <w:p>
      <w:pPr>
        <w:keepNext w:val="0"/>
        <w:keepLines w:val="0"/>
        <w:pageBreakBefore w:val="0"/>
        <w:widowControl w:val="0"/>
        <w:kinsoku/>
        <w:wordWrap/>
        <w:overflowPunct/>
        <w:topLinePunct w:val="0"/>
        <w:bidi w:val="0"/>
        <w:snapToGrid w:val="0"/>
        <w:spacing w:line="600" w:lineRule="exact"/>
        <w:ind w:left="0" w:leftChars="0"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细化帮扶措施，保障带动对象收益。申报奖补资金扶持的经营主体要进一步细化帮扶措施带动，通过吸纳就业、生产托管、订单收购方式带动的，每年要带动60%以上的利益联结对象每人每年收入增幅不低于10%。</w:t>
      </w:r>
    </w:p>
    <w:p>
      <w:pPr>
        <w:keepNext w:val="0"/>
        <w:keepLines w:val="0"/>
        <w:pageBreakBefore w:val="0"/>
        <w:widowControl w:val="0"/>
        <w:kinsoku/>
        <w:wordWrap/>
        <w:overflowPunct/>
        <w:topLinePunct w:val="0"/>
        <w:bidi w:val="0"/>
        <w:snapToGrid w:val="0"/>
        <w:spacing w:line="600" w:lineRule="exact"/>
        <w:ind w:left="0" w:leftChars="0"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诚信守法经营，切实履行帮扶责任。申报奖补资金扶持的经营主体要做到诚实守法经营，严禁弄虚作假。经营主体应确保申报材料真实、合法、完整，对提供材料的真实性、合法性、有效性负全责。若发现提供虚假材料骗取财政奖补资金的，将收回奖补资金并严肃追究经营主体相关责任。</w:t>
      </w:r>
    </w:p>
    <w:p>
      <w:pPr>
        <w:keepNext w:val="0"/>
        <w:keepLines w:val="0"/>
        <w:pageBreakBefore w:val="0"/>
        <w:widowControl w:val="0"/>
        <w:kinsoku/>
        <w:wordWrap/>
        <w:overflowPunct/>
        <w:topLinePunct w:val="0"/>
        <w:bidi w:val="0"/>
        <w:snapToGrid w:val="0"/>
        <w:spacing w:line="600" w:lineRule="exact"/>
        <w:ind w:left="0" w:leftChars="0" w:firstLine="720" w:firstLine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七、奖补监督管理措施</w:t>
      </w:r>
    </w:p>
    <w:p>
      <w:pPr>
        <w:keepNext w:val="0"/>
        <w:keepLines w:val="0"/>
        <w:pageBreakBefore w:val="0"/>
        <w:widowControl w:val="0"/>
        <w:numPr>
          <w:ilvl w:val="0"/>
          <w:numId w:val="0"/>
        </w:numPr>
        <w:kinsoku/>
        <w:wordWrap/>
        <w:overflowPunct/>
        <w:topLinePunct w:val="0"/>
        <w:bidi w:val="0"/>
        <w:spacing w:line="6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建立经营主体监测和评估机制。市农业农村局牵头组织市直有关单位对认定的奖补对象开展定期不定期监督检查，对奖补资金使用情况、联农带农成效进行评估，对资金使用存在问题、带农成效不明显的奖补对象，提出整改意见，对拒不整改的，除收回奖补资金和向社会公告外，5年内不再安排相关扶持项目。</w:t>
      </w:r>
    </w:p>
    <w:p>
      <w:pPr>
        <w:pStyle w:val="3"/>
        <w:keepNext w:val="0"/>
        <w:keepLines w:val="0"/>
        <w:pageBreakBefore w:val="0"/>
        <w:widowControl w:val="0"/>
        <w:kinsoku/>
        <w:wordWrap/>
        <w:overflowPunct/>
        <w:topLinePunct w:val="0"/>
        <w:bidi w:val="0"/>
        <w:spacing w:line="60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bidi w:val="0"/>
        <w:spacing w:line="600" w:lineRule="exact"/>
        <w:ind w:left="0" w:leftChars="0"/>
        <w:textAlignment w:val="auto"/>
        <w:rPr>
          <w:rFonts w:hint="eastAsia" w:asciiTheme="minorEastAsia" w:hAnsiTheme="minorEastAsia" w:eastAsiaTheme="minorEastAsia" w:cstheme="minorEastAsia"/>
          <w:color w:val="auto"/>
          <w:kern w:val="0"/>
          <w:sz w:val="24"/>
          <w:szCs w:val="24"/>
          <w:highlight w:val="none"/>
          <w:lang w:val="en-US" w:eastAsia="zh-CN"/>
        </w:rPr>
      </w:pPr>
    </w:p>
    <w:p>
      <w:pPr>
        <w:pStyle w:val="3"/>
        <w:keepNext w:val="0"/>
        <w:keepLines w:val="0"/>
        <w:pageBreakBefore w:val="0"/>
        <w:widowControl w:val="0"/>
        <w:kinsoku/>
        <w:wordWrap/>
        <w:overflowPunct/>
        <w:topLinePunct w:val="0"/>
        <w:bidi w:val="0"/>
        <w:spacing w:line="600" w:lineRule="exact"/>
        <w:ind w:left="0" w:leftChars="0"/>
        <w:textAlignment w:val="auto"/>
        <w:rPr>
          <w:rFonts w:hint="eastAsia" w:asciiTheme="minorEastAsia" w:hAnsiTheme="minorEastAsia" w:eastAsiaTheme="minorEastAsia" w:cstheme="minorEastAsia"/>
          <w:color w:val="auto"/>
          <w:kern w:val="0"/>
          <w:sz w:val="24"/>
          <w:szCs w:val="24"/>
          <w:highlight w:val="none"/>
          <w:lang w:val="en-US" w:eastAsia="zh-CN"/>
        </w:rPr>
      </w:pPr>
    </w:p>
    <w:p>
      <w:pPr>
        <w:keepNext w:val="0"/>
        <w:keepLines w:val="0"/>
        <w:pageBreakBefore w:val="0"/>
        <w:widowControl w:val="0"/>
        <w:kinsoku/>
        <w:wordWrap/>
        <w:overflowPunct/>
        <w:topLinePunct w:val="0"/>
        <w:bidi w:val="0"/>
        <w:spacing w:line="60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bidi w:val="0"/>
        <w:spacing w:line="600" w:lineRule="exact"/>
        <w:ind w:left="0" w:leftChars="0"/>
        <w:textAlignment w:val="auto"/>
        <w:rPr>
          <w:rFonts w:hint="default"/>
          <w:lang w:val="en-US" w:eastAsia="zh-CN"/>
        </w:rPr>
      </w:pPr>
    </w:p>
    <w:p>
      <w:pPr>
        <w:keepNext w:val="0"/>
        <w:keepLines w:val="0"/>
        <w:pageBreakBefore w:val="0"/>
        <w:widowControl w:val="0"/>
        <w:kinsoku/>
        <w:wordWrap/>
        <w:overflowPunct/>
        <w:topLinePunct w:val="0"/>
        <w:bidi w:val="0"/>
        <w:spacing w:line="600" w:lineRule="exact"/>
        <w:ind w:left="0" w:leftChars="0"/>
        <w:textAlignment w:val="auto"/>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EAB86"/>
    <w:multiLevelType w:val="singleLevel"/>
    <w:tmpl w:val="126EAB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69EE6DA2"/>
    <w:rsid w:val="013C0DF1"/>
    <w:rsid w:val="029C1B67"/>
    <w:rsid w:val="061D7F4C"/>
    <w:rsid w:val="0BB87AD0"/>
    <w:rsid w:val="10F739FC"/>
    <w:rsid w:val="1789715D"/>
    <w:rsid w:val="19AA277D"/>
    <w:rsid w:val="19FB7A2B"/>
    <w:rsid w:val="1A2F60DD"/>
    <w:rsid w:val="289F709F"/>
    <w:rsid w:val="297764EA"/>
    <w:rsid w:val="2F0D5781"/>
    <w:rsid w:val="36587D06"/>
    <w:rsid w:val="394651E9"/>
    <w:rsid w:val="3C1E2FD2"/>
    <w:rsid w:val="40B12013"/>
    <w:rsid w:val="41AD55CE"/>
    <w:rsid w:val="42284F98"/>
    <w:rsid w:val="4BE86964"/>
    <w:rsid w:val="4C9318FA"/>
    <w:rsid w:val="4DA43221"/>
    <w:rsid w:val="52844D99"/>
    <w:rsid w:val="576B72DA"/>
    <w:rsid w:val="5BF46949"/>
    <w:rsid w:val="5F156CEE"/>
    <w:rsid w:val="69970FA1"/>
    <w:rsid w:val="69EE6DA2"/>
    <w:rsid w:val="6BEF126A"/>
    <w:rsid w:val="700A5BA3"/>
    <w:rsid w:val="71545590"/>
    <w:rsid w:val="75005F50"/>
    <w:rsid w:val="75507510"/>
    <w:rsid w:val="79907E7D"/>
    <w:rsid w:val="7D704D41"/>
    <w:rsid w:val="7DDA00C6"/>
    <w:rsid w:val="7E37238B"/>
    <w:rsid w:val="7FB65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semiHidden/>
    <w:uiPriority w:val="0"/>
    <w:pPr>
      <w:ind w:left="1680" w:leftChars="800"/>
    </w:pPr>
  </w:style>
  <w:style w:type="paragraph" w:styleId="4">
    <w:name w:val="Normal Indent"/>
    <w:basedOn w:val="1"/>
    <w:unhideWhenUsed/>
    <w:qFormat/>
    <w:uiPriority w:val="99"/>
    <w:pPr>
      <w:ind w:firstLine="420"/>
    </w:pPr>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2024-02-07T06:33:00Z</dcterms:created>
  <dc:creator>Administrator</dc:creator>
  <cp:lastModifiedBy>杨永县</cp:lastModifiedBy>
  <dcterms:modified xsi:type="dcterms:W3CDTF">2024-05-13T03:04:03Z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15D91ECC6F15421B9C2C120518A1E72A_12</vt:lpwstr>
  </property>
</Properties>
</file>