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560" w:lineRule="exact"/>
        <w:jc w:val="center"/>
        <w:rPr>
          <w:rStyle w:val="10"/>
          <w:rFonts w:hint="eastAsia" w:ascii="方正小标宋_GBK" w:hAnsi="方正小标宋_GBK" w:eastAsia="方正小标宋_GBK" w:cs="方正小标宋_GBK"/>
          <w:bCs/>
          <w:color w:val="000000"/>
          <w:sz w:val="44"/>
          <w:szCs w:val="44"/>
        </w:rPr>
      </w:pPr>
      <w:r>
        <w:rPr>
          <w:rStyle w:val="10"/>
          <w:rFonts w:hint="eastAsia" w:ascii="方正小标宋_GBK" w:hAnsi="方正小标宋_GBK" w:eastAsia="方正小标宋_GBK" w:cs="方正小标宋_GBK"/>
          <w:bCs/>
          <w:color w:val="000000"/>
          <w:sz w:val="44"/>
          <w:szCs w:val="44"/>
        </w:rPr>
        <w:t>202</w:t>
      </w:r>
      <w:r>
        <w:rPr>
          <w:rStyle w:val="10"/>
          <w:rFonts w:hint="eastAsia" w:ascii="方正小标宋_GBK" w:hAnsi="方正小标宋_GBK" w:eastAsia="方正小标宋_GBK" w:cs="方正小标宋_GBK"/>
          <w:bCs/>
          <w:color w:val="000000"/>
          <w:sz w:val="44"/>
          <w:szCs w:val="44"/>
          <w:lang w:val="en-US" w:eastAsia="zh-CN"/>
        </w:rPr>
        <w:t>3</w:t>
      </w:r>
      <w:r>
        <w:rPr>
          <w:rStyle w:val="10"/>
          <w:rFonts w:hint="eastAsia" w:ascii="方正小标宋_GBK" w:hAnsi="方正小标宋_GBK" w:eastAsia="方正小标宋_GBK" w:cs="方正小标宋_GBK"/>
          <w:bCs/>
          <w:color w:val="000000"/>
          <w:sz w:val="44"/>
          <w:szCs w:val="44"/>
        </w:rPr>
        <w:t>年中央成品油价格调整对渔业补助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560" w:lineRule="exact"/>
        <w:jc w:val="center"/>
        <w:rPr>
          <w:rStyle w:val="10"/>
          <w:rFonts w:hint="eastAsia" w:ascii="方正小标宋_GBK" w:hAnsi="方正小标宋_GBK" w:eastAsia="方正小标宋_GBK" w:cs="方正小标宋_GBK"/>
          <w:bCs/>
          <w:color w:val="000000"/>
          <w:sz w:val="44"/>
          <w:szCs w:val="44"/>
        </w:rPr>
      </w:pPr>
      <w:r>
        <w:rPr>
          <w:rStyle w:val="10"/>
          <w:rFonts w:hint="eastAsia" w:ascii="方正小标宋_GBK" w:hAnsi="方正小标宋_GBK" w:eastAsia="方正小标宋_GBK" w:cs="方正小标宋_GBK"/>
          <w:bCs/>
          <w:color w:val="000000"/>
          <w:sz w:val="44"/>
          <w:szCs w:val="44"/>
        </w:rPr>
        <w:t>芒市稻渔综合种养项目实施方案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560" w:lineRule="exact"/>
        <w:rPr>
          <w:rStyle w:val="10"/>
          <w:rFonts w:ascii="宋体" w:hAnsi="宋体" w:eastAsia="方正仿宋_GBK" w:cs="方正仿宋_GBK"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560" w:lineRule="exact"/>
        <w:rPr>
          <w:rStyle w:val="10"/>
          <w:rFonts w:ascii="宋体" w:hAnsi="宋体" w:eastAsia="方正仿宋_GBK" w:cs="方正仿宋_GBK"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560" w:lineRule="exact"/>
        <w:rPr>
          <w:rStyle w:val="10"/>
          <w:rFonts w:ascii="宋体" w:hAnsi="宋体" w:eastAsia="方正仿宋_GBK" w:cs="方正仿宋_GBK"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560" w:lineRule="exact"/>
        <w:ind w:firstLine="1600" w:firstLineChars="500"/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</w:pPr>
      <w:r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  <w:t>项目承担单位</w:t>
      </w:r>
      <w:r>
        <w:rPr>
          <w:rStyle w:val="10"/>
          <w:rFonts w:hint="eastAsia" w:asciiTheme="minorEastAsia" w:hAnsiTheme="minorEastAsia" w:eastAsiaTheme="minorEastAsia" w:cstheme="minorEastAsia"/>
          <w:bCs/>
          <w:color w:val="000000"/>
          <w:sz w:val="32"/>
          <w:szCs w:val="32"/>
        </w:rPr>
        <w:t>：</w:t>
      </w:r>
      <w:r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  <w:t>芒市水产技术推广站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560" w:lineRule="exact"/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560" w:lineRule="exact"/>
        <w:ind w:firstLine="1600" w:firstLineChars="500"/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</w:pPr>
      <w:r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  <w:t>通讯地址</w:t>
      </w:r>
      <w:r>
        <w:rPr>
          <w:rStyle w:val="10"/>
          <w:rFonts w:hint="eastAsia" w:asciiTheme="minorEastAsia" w:hAnsiTheme="minorEastAsia" w:eastAsiaTheme="minorEastAsia" w:cstheme="minorEastAsia"/>
          <w:bCs/>
          <w:color w:val="000000"/>
          <w:sz w:val="32"/>
          <w:szCs w:val="32"/>
        </w:rPr>
        <w:t>：</w:t>
      </w:r>
      <w:r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  <w:t>芒市勐焕路附</w:t>
      </w:r>
      <w:r>
        <w:rPr>
          <w:rStyle w:val="10"/>
          <w:rFonts w:hint="eastAsia" w:asciiTheme="minorEastAsia" w:hAnsiTheme="minorEastAsia" w:eastAsiaTheme="minorEastAsia" w:cstheme="minorEastAsia"/>
          <w:bCs/>
          <w:color w:val="000000"/>
          <w:sz w:val="32"/>
          <w:szCs w:val="32"/>
        </w:rPr>
        <w:t>43</w:t>
      </w:r>
      <w:r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  <w:t>号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560" w:lineRule="exact"/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560" w:lineRule="exact"/>
        <w:ind w:firstLine="1600" w:firstLineChars="500"/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</w:pPr>
      <w:r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  <w:t>邮政编码</w:t>
      </w:r>
      <w:r>
        <w:rPr>
          <w:rStyle w:val="10"/>
          <w:rFonts w:hint="eastAsia" w:asciiTheme="minorEastAsia" w:hAnsiTheme="minorEastAsia" w:eastAsiaTheme="minorEastAsia" w:cstheme="minorEastAsia"/>
          <w:bCs/>
          <w:color w:val="000000"/>
          <w:sz w:val="32"/>
          <w:szCs w:val="32"/>
        </w:rPr>
        <w:t>：678400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560" w:lineRule="exact"/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560" w:lineRule="exact"/>
        <w:ind w:firstLine="1600" w:firstLineChars="500"/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</w:pPr>
      <w:r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  <w:t>联系人</w:t>
      </w:r>
      <w:r>
        <w:rPr>
          <w:rStyle w:val="10"/>
          <w:rFonts w:hint="eastAsia" w:asciiTheme="minorEastAsia" w:hAnsiTheme="minorEastAsia" w:eastAsiaTheme="minorEastAsia" w:cstheme="minorEastAsia"/>
          <w:bCs/>
          <w:color w:val="000000"/>
          <w:sz w:val="32"/>
          <w:szCs w:val="32"/>
        </w:rPr>
        <w:t>：</w:t>
      </w:r>
      <w:r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  <w:t xml:space="preserve">杨定权 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560" w:lineRule="exact"/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560" w:lineRule="exact"/>
        <w:ind w:firstLine="1600" w:firstLineChars="500"/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</w:pPr>
      <w:r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  <w:t>联系电话</w:t>
      </w:r>
      <w:r>
        <w:rPr>
          <w:rStyle w:val="10"/>
          <w:rFonts w:hint="eastAsia" w:asciiTheme="minorEastAsia" w:hAnsiTheme="minorEastAsia" w:eastAsiaTheme="minorEastAsia" w:cstheme="minorEastAsia"/>
          <w:bCs/>
          <w:color w:val="000000"/>
          <w:sz w:val="32"/>
          <w:szCs w:val="32"/>
        </w:rPr>
        <w:t>：0692—2118769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560" w:lineRule="exact"/>
        <w:rPr>
          <w:rStyle w:val="10"/>
          <w:rFonts w:hint="eastAsia" w:ascii="方正仿宋_GBK" w:hAnsi="方正仿宋_GBK" w:eastAsia="方正仿宋_GBK" w:cs="方正仿宋_GBK"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560" w:lineRule="exact"/>
        <w:jc w:val="both"/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560" w:lineRule="exact"/>
        <w:jc w:val="center"/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560" w:lineRule="exact"/>
        <w:jc w:val="center"/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560" w:lineRule="exact"/>
        <w:jc w:val="center"/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</w:pPr>
      <w:r>
        <w:rPr>
          <w:rStyle w:val="10"/>
          <w:rFonts w:hint="eastAsia" w:asciiTheme="minorEastAsia" w:hAnsiTheme="minorEastAsia" w:eastAsiaTheme="minorEastAsia" w:cstheme="minorEastAsia"/>
          <w:bCs/>
          <w:color w:val="000000"/>
          <w:sz w:val="32"/>
          <w:szCs w:val="32"/>
        </w:rPr>
        <w:t>202</w:t>
      </w:r>
      <w:r>
        <w:rPr>
          <w:rStyle w:val="10"/>
          <w:rFonts w:hint="eastAsia" w:asciiTheme="minorEastAsia" w:hAnsiTheme="minorEastAsia" w:eastAsiaTheme="minorEastAsia" w:cstheme="minorEastAsia"/>
          <w:bCs/>
          <w:color w:val="000000"/>
          <w:sz w:val="32"/>
          <w:szCs w:val="32"/>
          <w:lang w:val="en-US" w:eastAsia="zh-CN"/>
        </w:rPr>
        <w:t>3</w:t>
      </w:r>
      <w:r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  <w:t>年</w:t>
      </w:r>
      <w:r>
        <w:rPr>
          <w:rStyle w:val="10"/>
          <w:rFonts w:hint="eastAsia" w:asciiTheme="minorEastAsia" w:hAnsiTheme="minorEastAsia" w:eastAsiaTheme="minorEastAsia" w:cstheme="minorEastAsia"/>
          <w:bCs/>
          <w:color w:val="000000"/>
          <w:sz w:val="32"/>
          <w:szCs w:val="32"/>
          <w:lang w:val="en-US" w:eastAsia="zh-CN"/>
        </w:rPr>
        <w:t>10</w:t>
      </w:r>
      <w:r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  <w:t>月</w:t>
      </w:r>
      <w:r>
        <w:rPr>
          <w:rStyle w:val="10"/>
          <w:rFonts w:hint="eastAsia" w:asciiTheme="minorEastAsia" w:hAnsiTheme="minorEastAsia" w:eastAsiaTheme="minorEastAsia" w:cstheme="minorEastAsia"/>
          <w:bCs/>
          <w:color w:val="000000"/>
          <w:sz w:val="32"/>
          <w:szCs w:val="32"/>
          <w:lang w:val="en-US" w:eastAsia="zh-CN"/>
        </w:rPr>
        <w:t>11</w:t>
      </w:r>
      <w:r>
        <w:rPr>
          <w:rStyle w:val="10"/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  <w:t>日</w:t>
      </w:r>
    </w:p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bidi w:val="0"/>
        <w:snapToGrid/>
        <w:spacing w:beforeAutospacing="0" w:line="640" w:lineRule="exact"/>
        <w:ind w:firstLine="640" w:firstLineChars="200"/>
        <w:jc w:val="both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一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、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项目名称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：202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中央成品油价格调整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对渔业补助芒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bidi w:val="0"/>
        <w:snapToGrid/>
        <w:spacing w:beforeAutospacing="0" w:line="640" w:lineRule="exact"/>
        <w:jc w:val="both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市稻渔综合种养项目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二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项目资金来源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u w:val="none"/>
        </w:rPr>
        <w:t>根据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《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云南省农业农村厅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云南省财政厅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关于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印发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202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年中央成品油价格调整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对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渔业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补助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项目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实施方案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的通知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》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云农渔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〔2023〕9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号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《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云南省财政厅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关于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下达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202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年中央成品油价格调整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对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渔业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补助资金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的通知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》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云财农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〔2023〕131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号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《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德宏州财政局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关于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下达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202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年中央成品油价格调整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对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渔业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补助资金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的通知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》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德财农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〔2023〕76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号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和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《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芒市财政局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关于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下达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202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年中央成品油价格调整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对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渔业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补助资金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的通知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》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芒财农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〔2023〕173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号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文件通知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下达芒市农业农村局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202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年中央成品油价格调整对渔业补助资金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92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用于实施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《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芒市稻渔综合种养项目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》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三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项目实施主体和承担单位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一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项目实施主体单位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：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芒市农业农村局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3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  <w:t>二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项目承担单位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：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芒市水产技术推广站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color w:val="FF0000"/>
          <w:sz w:val="32"/>
          <w:szCs w:val="32"/>
          <w:u w:val="single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四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项目实施时间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：202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9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月至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202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1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月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黑体_GBK" w:hAnsi="方正黑体_GBK" w:eastAsia="方正黑体_GBK" w:cs="方正黑体_GBK"/>
          <w:color w:val="FF0000"/>
          <w:sz w:val="32"/>
          <w:szCs w:val="32"/>
          <w:u w:val="single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五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项目实施地点</w:t>
      </w: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  <w:u w:val="none"/>
        </w:rPr>
        <w:t>及规模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一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实施地点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：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芒市镇大湾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拉坏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云茂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中东村委会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风平镇腊掌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法帕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那目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芒赛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芒别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遮宴村委会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遮放镇户闷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户弄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遮冒村委会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轩岗乡芒广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丙茂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芒棒村委会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五岔路乡新寨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湾丹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芒蚌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石板村委会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江东乡大水沟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李子坪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仙人洞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芒龙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河头村村委会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勐戛镇勐戛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大新寨村委会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芒海镇芒海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吕尹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赖南村委会等村寨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color w:val="FF000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二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实施规模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：</w:t>
      </w: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</w:rPr>
        <w:t>累计完成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稻渔综合种养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技术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32"/>
          <w:szCs w:val="32"/>
          <w:lang w:val="en-US" w:eastAsia="zh-CN"/>
        </w:rPr>
        <w:t>92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32"/>
          <w:szCs w:val="32"/>
        </w:rPr>
        <w:t>00</w:t>
      </w: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</w:rPr>
        <w:t>亩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六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项目建设内容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一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采购稻田鱼种补助农户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开展稻渔综合种养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技术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920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亩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其中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：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芒市镇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1500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亩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风平镇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1500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亩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五岔路乡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1500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亩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江东乡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1500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亩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遮放镇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1000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亩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轩岗乡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1000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亩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勐戛镇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600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亩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芒海镇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600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亩</w:t>
      </w:r>
      <w:r>
        <w:rPr>
          <w:rFonts w:hint="eastAsia" w:asciiTheme="minorEastAsia" w:hAnsiTheme="minorEastAsia" w:eastAsiaTheme="minorEastAsia" w:cstheme="minorEastAsia"/>
          <w:bCs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二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建设养鱼稻田基础设施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加高加固田埂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开挖稻田鱼沟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鱼坑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安装进排水口及拦鱼设施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三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科技培训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开展稻渔综合种养科技培训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35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人次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七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、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项目建设绩效目标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一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完成稻渔综合种养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技术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92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00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亩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二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稻田养殖每亩增加产值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900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元以上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亩利润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400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元以上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稻田使用农药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化肥明显减少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经济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社会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生态效益明显提升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三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开展稻渔综合种养科技培训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35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人次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以上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四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项目实施养殖户及科技培训人员满意度≥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0%。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beforeAutospacing="0" w:line="640" w:lineRule="exact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</w:rPr>
        <w:t>附表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32"/>
          <w:szCs w:val="32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32"/>
          <w:szCs w:val="32"/>
        </w:rPr>
        <w:t>202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32"/>
          <w:szCs w:val="32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</w:rPr>
        <w:t>年</w:t>
      </w: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</w:rPr>
        <w:t>芒市</w:t>
      </w: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</w:rPr>
        <w:t>稻渔综合种养项目绩效目标表</w:t>
      </w:r>
    </w:p>
    <w:tbl>
      <w:tblPr>
        <w:tblStyle w:val="7"/>
        <w:tblW w:w="89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2"/>
        <w:gridCol w:w="1036"/>
        <w:gridCol w:w="1228"/>
        <w:gridCol w:w="1805"/>
        <w:gridCol w:w="1254"/>
        <w:gridCol w:w="1200"/>
        <w:gridCol w:w="12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2" w:hRule="exact"/>
          <w:jc w:val="center"/>
        </w:trPr>
        <w:tc>
          <w:tcPr>
            <w:tcW w:w="8997" w:type="dxa"/>
            <w:gridSpan w:val="7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640" w:lineRule="exact"/>
              <w:jc w:val="center"/>
              <w:textAlignment w:val="baseline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绩效指标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9" w:hRule="exact"/>
          <w:jc w:val="center"/>
        </w:trPr>
        <w:tc>
          <w:tcPr>
            <w:tcW w:w="351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640" w:lineRule="exact"/>
              <w:jc w:val="center"/>
              <w:textAlignment w:val="baseline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产出指标</w:t>
            </w:r>
          </w:p>
        </w:tc>
        <w:tc>
          <w:tcPr>
            <w:tcW w:w="5481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640" w:lineRule="exact"/>
              <w:jc w:val="center"/>
              <w:textAlignment w:val="baseline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效益指标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9" w:hRule="exact"/>
          <w:jc w:val="center"/>
        </w:trPr>
        <w:tc>
          <w:tcPr>
            <w:tcW w:w="12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640" w:lineRule="exact"/>
              <w:jc w:val="center"/>
              <w:textAlignment w:val="baseline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完成面积</w:t>
            </w:r>
          </w:p>
        </w:tc>
        <w:tc>
          <w:tcPr>
            <w:tcW w:w="103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640" w:lineRule="exact"/>
              <w:jc w:val="center"/>
              <w:textAlignment w:val="baseline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亩产量</w:t>
            </w:r>
          </w:p>
        </w:tc>
        <w:tc>
          <w:tcPr>
            <w:tcW w:w="122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640" w:lineRule="exact"/>
              <w:jc w:val="center"/>
              <w:textAlignment w:val="baseline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科技培训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640" w:lineRule="exact"/>
              <w:jc w:val="center"/>
              <w:textAlignment w:val="baseline"/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经济效益</w:t>
            </w:r>
          </w:p>
        </w:tc>
        <w:tc>
          <w:tcPr>
            <w:tcW w:w="125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640" w:lineRule="exact"/>
              <w:jc w:val="center"/>
              <w:textAlignment w:val="baseline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社会效益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640" w:lineRule="exact"/>
              <w:jc w:val="center"/>
              <w:textAlignment w:val="baseline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生态效益</w:t>
            </w:r>
          </w:p>
        </w:tc>
        <w:tc>
          <w:tcPr>
            <w:tcW w:w="122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640" w:lineRule="exact"/>
              <w:jc w:val="center"/>
              <w:textAlignment w:val="baseline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群众满意度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6" w:hRule="exact"/>
          <w:jc w:val="center"/>
        </w:trPr>
        <w:tc>
          <w:tcPr>
            <w:tcW w:w="12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640" w:lineRule="exact"/>
              <w:jc w:val="center"/>
              <w:textAlignment w:val="baseline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9200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亩</w:t>
            </w:r>
          </w:p>
        </w:tc>
        <w:tc>
          <w:tcPr>
            <w:tcW w:w="103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640" w:lineRule="exact"/>
              <w:jc w:val="center"/>
              <w:textAlignment w:val="baseline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kg</w:t>
            </w:r>
          </w:p>
        </w:tc>
        <w:tc>
          <w:tcPr>
            <w:tcW w:w="122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640" w:lineRule="exact"/>
              <w:jc w:val="center"/>
              <w:textAlignment w:val="baseline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350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人次</w:t>
            </w:r>
          </w:p>
        </w:tc>
        <w:tc>
          <w:tcPr>
            <w:tcW w:w="180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640" w:lineRule="exact"/>
              <w:jc w:val="center"/>
              <w:textAlignment w:val="baseline"/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亩利润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400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元</w:t>
            </w:r>
          </w:p>
        </w:tc>
        <w:tc>
          <w:tcPr>
            <w:tcW w:w="125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640" w:lineRule="exact"/>
              <w:jc w:val="center"/>
              <w:textAlignment w:val="baseline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明显提升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640" w:lineRule="exact"/>
              <w:jc w:val="center"/>
              <w:textAlignment w:val="baseline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明显提升</w:t>
            </w:r>
          </w:p>
        </w:tc>
        <w:tc>
          <w:tcPr>
            <w:tcW w:w="12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topLinePunct w:val="0"/>
              <w:bidi w:val="0"/>
              <w:snapToGrid/>
              <w:spacing w:line="640" w:lineRule="exact"/>
              <w:jc w:val="center"/>
              <w:textAlignment w:val="baseline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≥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0%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textAlignment w:val="baseline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  <w:t>八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、</w:t>
      </w:r>
      <w:r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  <w:t>项目资金使用计划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项目总投资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92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使用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202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年中央成品油价格调整对渔业补助资金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92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资金使用计划如下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一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采购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稻田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养殖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鱼种支出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90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二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开展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稻渔综合种养技术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科技培训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35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人次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以上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支出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九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项目实施进度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color w:val="FF000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建设项目按以下几个阶段分期实施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：202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9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月为项目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实施方案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评审阶段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；202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10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至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2024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10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月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为项目实施阶段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；202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11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月为项目验收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总结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阶段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  <w:lang w:val="en-US" w:eastAsia="zh-CN"/>
        </w:rPr>
        <w:t>十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、</w:t>
      </w:r>
      <w:r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  <w:t>技术措施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（一）稻田选择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养鱼稻田要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选择交通便利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集中连片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水源无污染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水量充足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排灌方便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旱不干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涝不淹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土壤肥沃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不渗漏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光照条件好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稻田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（二）稻田基础设施建设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1.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加高加固田埂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田埂高要达到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cm以上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埂宽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30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cm以上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捶打结实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不塌不漏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平整光滑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2.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开挖鱼沟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鱼坑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根据田块大小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形状不同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因地制宜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在田间开挖鱼沟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鱼坑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鱼沟深度及宽度在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40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～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60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cm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鱼沟面积占稻田总面积的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5%～7%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鱼沟与鱼坑相通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在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田块中央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开挖鱼坑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鱼坑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深度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0.5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～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1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米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鱼坑面积占稻田面积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3%～5%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鱼坑与鱼沟相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连接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3.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进排水口拦鱼设施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在进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出水口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安装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拦鱼设施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防止鱼类外逃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拦鱼设施一般用竹筒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PVC管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竹片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铁筛网或尼龙网片等材料制成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（三）养殖品种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稻田养殖品种有鲤鱼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鲫鱼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罗非鱼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草鱼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鲶鱼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泥鳅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虾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蟹等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结合鱼类习性和当地市场合理选择养殖品种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（四）放苗规格及密度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1.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放养规格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养殖鲤鱼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放养大规格鱼种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30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～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50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g/尾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；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养殖鲫鱼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放养鱼种规格为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10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～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15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g/尾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2.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放养密度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放养密度与鱼种规格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沟坑的面积和水稻种植方式有关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沟坑面积大时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密度可大一些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鱼种规格大时应少放一些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一般每亩投放大规格鱼种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300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～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400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尾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（五）消毒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1.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稻田消毒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鱼苗投放前稻田消毒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消毒药物主要有生石灰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漂白粉等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无水的稻田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每亩用生石灰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70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公斤左右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加水搅拌后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立即均匀泼洒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；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若稻田带水消毒则亩用生石灰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100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公斤左右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加水搅拌后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立即均匀泼洒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；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用漂白粉消毒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水深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10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cm时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每亩用漂白粉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～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公斤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先将漂白粉放入木桶内加水稀释搅拌后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立即均匀泼洒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稻田消毒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7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天毒性消失后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方可投放鱼苗鱼种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放鱼前先用少数鱼苗试水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如不发生死亡就可放养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）。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2.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鱼种消毒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鱼种放养时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用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～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％的食盐水或用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10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ppm高锰酸钾溶液浸泡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～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10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分钟消毒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再缓缓倒入鱼坑中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（六）放鱼时间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鱼种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投放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越早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养殖时间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越长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因此应尽量争取早放养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稻田在插秧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7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天后即可放养鱼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种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（七）饲养管理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1.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投喂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稻田养鱼在不投饵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鱼类仅摄取田中天然饵料的情况下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亩产量仅为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10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公斤左右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；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若人工投喂亩产量可达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50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～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100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公斤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甚至可以更高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投喂饵料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：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可以投喂农副产品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玉米粉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豆腐渣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酒糟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麦麸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米糠等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及专用鱼饲料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日投喂量为鱼体总重量的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3%～4%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；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根据水质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气候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鱼的生长状况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灵活掌握投饲量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投喂做到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“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四定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”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投饵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即定质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定量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定时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定位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="0" w:beforeAutospacing="0" w:after="0" w:line="640" w:lineRule="exact"/>
        <w:ind w:firstLine="688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诱虫投喂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：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安装诱虫灯诱虫喂养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2.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处理好施用化肥与养鱼的关系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在稻田中施化肥是促进水稻增产的重要措施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而稻谷需要的氮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磷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钾等肥料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同时也是培养鱼的饵料生物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——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浮游生物和底栖生物所需要的营养盐类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稻田的肥料多少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直接影响鱼类的饵料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多少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二者利害一致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没有矛盾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但在施用化肥时要注意肥料的种类和数量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否则会因施用不当造成鱼类中毒死亡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3.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处理好施用农药与养鱼的关系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养鱼稻田应该选用高效低毒农药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施药应采用叶面喷雾或喷粉方法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不宜撒施或泼浇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以防用药不均匀而毒杀田里的鱼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水剂宜在晴天露水干后喷药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喷粉则要选择晴天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无风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露水大的早晨进行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使药剂粘在禾叶上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在用药前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先排掉田面水层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把鱼赶入鱼沟或鱼坑内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关好进水口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防止田水流入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然后再打药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喷药后如果发现鱼有异常现象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应马上灌入新水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使鱼恢复正常生活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十</w:t>
      </w: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一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组织保障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（一）组织机构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为确保项目顺利实施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成立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项目实施领导小组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组长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为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芒市农业农村局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副局长杨春潮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成员为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芒市农业农村局畜牧兽医与渔业管理股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股长杨善海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芒市水产技术推广站站长杨定权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领导小组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负责起草报批项目实施方案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全过程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监督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指导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项目实施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督促推进项目工作进度和项目完成质量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组织项目验收等工作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领导小组下设办公室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办公室设在芒市水产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技术推广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站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办公室主任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为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杨定权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兼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），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副主任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为赵宝洪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郗玉牙过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成员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由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李成凯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杨祖荣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宋文常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线吞孟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焦玉补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线月补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杨润娣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金艳华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匡丽梅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哏小四等科技人员组成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办公室负责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项目建设内容落实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组织项目科技培训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收集整理项目实施材料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处理项目日常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事务等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工作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（二）保障措施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1.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健全工作机制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明确工作责任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整个项目实施工作由项目领导小组负责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具体由办公室负责组织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协调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实施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检查督促等工作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做到事事有人抓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件件有人管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2.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严格项目管理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确保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项目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质量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制定项目实施各阶段的管理措施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对项目所花费的时间进行估算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项目建设严格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按照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相关程序进行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确保项目顺利实施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3.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建立健全项目档案管理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确保各项建设内容档案资料的立卷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归档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以便查询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4.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强化廉政风险管理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建立健全廉政风险防控机制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杜绝项目推进过程中发生各种违规违纪行为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确保项目建成民心工程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廉洁工程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（三）项目资金管理措施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项目建设财政资金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严格按照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《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农业科技推广示范项目资金管理办法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》《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财政部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农业农村部关于实施渔业发展支持政策推动渔业高质量发展的通知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》（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财农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〔2021〕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41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号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相关要求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规范补助资金使用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加强项目资金监管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建立专用账户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按照资金跟着项目走的原则使用资金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做到专款专用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实行县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市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级报账制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报账单据由项目实施单位主要负责人审查签字后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报农业农村局分管领导审核签字方可报账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财政补助资金向社会张榜公布资金使用情况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接受群众和各级财政部门的监督检查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随时接受审计部门的审计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  <w:t>十</w:t>
      </w:r>
      <w:r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  <w:lang w:val="en-US" w:eastAsia="zh-CN"/>
        </w:rPr>
        <w:t>二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、</w:t>
      </w:r>
      <w:r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  <w:t>预期效益分析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（一）经济效益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实施稻渔综合种养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92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00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亩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预计亩产稻田鱼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kg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总产量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2760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00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kg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；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按照市场平均单价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30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元/kg计算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亩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增加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产值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00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元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总产值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828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除去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鱼种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饲料等成本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人工管理费用没有计算在内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）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380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增加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纯收入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448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平均每亩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增加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纯收入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487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元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经济效益较好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（二）社会效益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项目建设主要探索稻田养殖试验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示范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通过项目实施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集成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稻渔综合种养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技术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对加快我市水产品养殖结构调整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转变养殖模式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探寻渔业新的增长点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推进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渔业产业发展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促进渔业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产业扶贫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实现渔业增效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农民增收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（三）生态效益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beforeAutospacing="0" w:line="640" w:lineRule="exact"/>
        <w:ind w:firstLine="640" w:firstLineChars="200"/>
        <w:textAlignment w:val="baseline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项目严格按照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《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水产品质量安全养殖技术规范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》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和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《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云南省农业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农村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厅稻田综合种养技术规范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》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的要求实施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稻渔结合种养技术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主要是利用稻田生态系统生物链的互补循环利用方式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通过稻田饲养的鱼在稻田中生存觅食游动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可以改善水稻通风透气条件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疏松稻田底质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释放土壤中的N 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P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K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以及鱼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排出的粪便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增加土壤肥力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促进水稻生长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；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稻田鱼可以大量摄食田间昆虫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螺类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蚌类及杂草等敌害水生生物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减少水稻病虫草害的发生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对稻田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农药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化肥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用量明显减少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从而可以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提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升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水稻品质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长期进行稻田养鱼的田块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对改良稻田土壤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保护农业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生态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环境都具有重要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的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促进作用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sectPr>
      <w:headerReference r:id="rId3" w:type="default"/>
      <w:footerReference r:id="rId4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Sans Serif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4"/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t xml:space="preserve">— </w: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separate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t>1</w: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isplayHorizontalDrawingGridEvery w:val="0"/>
  <w:displayVerticalDrawingGridEvery w:val="2"/>
  <w:doNotUseMarginsForDrawingGridOrigin w:val="1"/>
  <w:drawingGridHorizontalOrigin w:val="1800"/>
  <w:drawingGridVerticalOrigin w:val="1440"/>
  <w:noPunctuationKerning w:val="1"/>
  <w:characterSpacingControl w:val="doNotCompress"/>
  <w:hdrShapeDefaults>
    <o:shapelayout v:ext="edit">
      <o:idmap v:ext="edit" data="3,4"/>
    </o:shapelayout>
  </w:hdrShapeDefaults>
  <w:compat>
    <w:balanceSingleByteDoubleByteWidth/>
    <w:doNotLeaveBackslashAlon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ompatSetting w:name="compatibilityMode" w:uri="http://schemas.microsoft.com/office/word" w:val="12"/>
  </w:compat>
  <w:docVars>
    <w:docVar w:name="commondata" w:val="eyJoZGlkIjoiYjMwM2VlMWQ3ZTc5Y2NiNmMwMWVlMDk1OTUxZTM2ZjgifQ=="/>
  </w:docVars>
  <w:rsids>
    <w:rsidRoot w:val="00005623"/>
    <w:rsid w:val="00005623"/>
    <w:rsid w:val="001D0CF6"/>
    <w:rsid w:val="00437028"/>
    <w:rsid w:val="00C15C5F"/>
    <w:rsid w:val="03B36949"/>
    <w:rsid w:val="06B72A55"/>
    <w:rsid w:val="06B92053"/>
    <w:rsid w:val="080D2124"/>
    <w:rsid w:val="12E32D73"/>
    <w:rsid w:val="12EA0667"/>
    <w:rsid w:val="19FF2AC2"/>
    <w:rsid w:val="247D18CC"/>
    <w:rsid w:val="249370D2"/>
    <w:rsid w:val="261E785C"/>
    <w:rsid w:val="2B9B0696"/>
    <w:rsid w:val="2EED0688"/>
    <w:rsid w:val="35C04E99"/>
    <w:rsid w:val="3A310E05"/>
    <w:rsid w:val="3B6A7A8B"/>
    <w:rsid w:val="3D4A78EA"/>
    <w:rsid w:val="3FE85742"/>
    <w:rsid w:val="49C8396D"/>
    <w:rsid w:val="4A4C6C0D"/>
    <w:rsid w:val="4DF279E5"/>
    <w:rsid w:val="513A05B1"/>
    <w:rsid w:val="55B13B21"/>
    <w:rsid w:val="56186B1F"/>
    <w:rsid w:val="573E1D00"/>
    <w:rsid w:val="59D429EE"/>
    <w:rsid w:val="5B416737"/>
    <w:rsid w:val="5F607E6C"/>
    <w:rsid w:val="65623D16"/>
    <w:rsid w:val="67756087"/>
    <w:rsid w:val="69474F8A"/>
    <w:rsid w:val="6A7C27E3"/>
    <w:rsid w:val="6AC64692"/>
    <w:rsid w:val="6FCB7F06"/>
    <w:rsid w:val="766D524D"/>
    <w:rsid w:val="785855A3"/>
    <w:rsid w:val="79304E0E"/>
    <w:rsid w:val="79AF6981"/>
    <w:rsid w:val="7BA43000"/>
    <w:rsid w:val="7CBD2559"/>
    <w:rsid w:val="7D111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  <w:textAlignment w:val="baseline"/>
    </w:pPr>
    <w:rPr>
      <w:rFonts w:ascii="Calibri" w:hAnsi="Calibri" w:eastAsia="宋体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overflowPunct w:val="0"/>
      <w:autoSpaceDE w:val="0"/>
      <w:autoSpaceDN w:val="0"/>
      <w:adjustRightInd w:val="0"/>
      <w:spacing w:before="100" w:beforeAutospacing="1" w:line="360" w:lineRule="auto"/>
      <w:ind w:left="0" w:leftChars="0" w:firstLine="420" w:firstLineChars="200"/>
    </w:pPr>
    <w:rPr>
      <w:rFonts w:ascii="宋体" w:hAnsi="MS Sans Serif"/>
      <w:spacing w:val="12"/>
      <w:sz w:val="24"/>
      <w:szCs w:val="24"/>
    </w:rPr>
  </w:style>
  <w:style w:type="paragraph" w:styleId="3">
    <w:name w:val="Body Text Indent"/>
    <w:basedOn w:val="1"/>
    <w:next w:val="2"/>
    <w:qFormat/>
    <w:uiPriority w:val="0"/>
    <w:pPr>
      <w:spacing w:after="120"/>
      <w:ind w:left="420" w:leftChars="200"/>
    </w:pPr>
  </w:style>
  <w:style w:type="paragraph" w:styleId="4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10"/>
    <w:qFormat/>
    <w:uiPriority w:val="0"/>
    <w:rPr>
      <w:rFonts w:cs="Times New Roman"/>
      <w:b/>
      <w:bCs/>
    </w:rPr>
  </w:style>
  <w:style w:type="character" w:customStyle="1" w:styleId="10">
    <w:name w:val="NormalCharacter"/>
    <w:semiHidden/>
    <w:qFormat/>
    <w:uiPriority w:val="0"/>
  </w:style>
  <w:style w:type="character" w:styleId="11">
    <w:name w:val="page number"/>
    <w:basedOn w:val="8"/>
    <w:qFormat/>
    <w:uiPriority w:val="0"/>
  </w:style>
  <w:style w:type="character" w:styleId="12">
    <w:name w:val="Hyperlink"/>
    <w:basedOn w:val="10"/>
    <w:qFormat/>
    <w:uiPriority w:val="0"/>
    <w:rPr>
      <w:color w:val="0000FF"/>
      <w:u w:val="single"/>
    </w:rPr>
  </w:style>
  <w:style w:type="table" w:customStyle="1" w:styleId="13">
    <w:name w:val="TableNormal"/>
    <w:semiHidden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">
    <w:name w:val="页眉 Char"/>
    <w:basedOn w:val="10"/>
    <w:link w:val="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5">
    <w:name w:val="页脚 Char"/>
    <w:basedOn w:val="10"/>
    <w:link w:val="4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16">
    <w:name w:val="HtmlNormal"/>
    <w:basedOn w:val="1"/>
    <w:qFormat/>
    <w:uiPriority w:val="0"/>
    <w:pPr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customStyle="1" w:styleId="17">
    <w:name w:val="正文 New New New New New New New New New New New New New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4268</Words>
  <Characters>4643</Characters>
  <Lines>38</Lines>
  <Paragraphs>10</Paragraphs>
  <TotalTime>15</TotalTime>
  <ScaleCrop>false</ScaleCrop>
  <LinksUpToDate>false</LinksUpToDate>
  <CharactersWithSpaces>4652</CharactersWithSpaces>
  <Application>WPS Office_12.1.0.15336_F1E327BC-269C-435d-A152-05C5408002CA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2022-05-20T01:58:00Z</dcterms:created>
  <dc:creator>DELL</dc:creator>
  <cp:lastModifiedBy>杨永县</cp:lastModifiedBy>
  <cp:lastPrinted>2023-09-14T01:55:00Z</cp:lastPrinted>
  <dcterms:modified xsi:type="dcterms:W3CDTF">2023-11-24T07:53:56Z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2052-12.1.0.15336</vt:lpwstr>
  </property>
  <property fmtid="{D5CDD505-2E9C-101B-9397-08002B2CF9AE}" pid="3" name="ICV">
    <vt:lpwstr>7659C1F60BE54E4B9BDF9486FECD1DBE</vt:lpwstr>
  </property>
</Properties>
</file>