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0"/>
          <w:position w:val="0"/>
          <w:sz w:val="44"/>
          <w:shd w:val="clear" w:fill="auto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0"/>
          <w:position w:val="0"/>
          <w:sz w:val="44"/>
          <w:shd w:val="clear" w:fill="auto"/>
        </w:rPr>
        <w:t>芒市2023年长江禁渔与水生生物资源保护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center"/>
        <w:rPr>
          <w:rFonts w:ascii="宋体" w:hAnsi="宋体" w:eastAsia="宋体" w:cs="宋体"/>
          <w:b/>
          <w:bCs/>
          <w:color w:val="000000"/>
          <w:spacing w:val="0"/>
          <w:position w:val="0"/>
          <w:sz w:val="32"/>
          <w:shd w:val="clear" w:fill="auto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0"/>
          <w:position w:val="0"/>
          <w:sz w:val="44"/>
          <w:shd w:val="clear" w:fill="auto"/>
        </w:rPr>
        <w:t>项目实施方案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both"/>
        <w:rPr>
          <w:rFonts w:ascii="宋体" w:hAnsi="宋体" w:eastAsia="宋体" w:cs="宋体"/>
          <w:b/>
          <w:bCs/>
          <w:color w:val="000000"/>
          <w:spacing w:val="0"/>
          <w:position w:val="0"/>
          <w:sz w:val="32"/>
          <w:shd w:val="clear" w:fill="auto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both"/>
        <w:rPr>
          <w:rFonts w:ascii="宋体" w:hAnsi="宋体" w:eastAsia="宋体" w:cs="宋体"/>
          <w:b/>
          <w:bCs/>
          <w:color w:val="000000"/>
          <w:spacing w:val="0"/>
          <w:position w:val="0"/>
          <w:sz w:val="32"/>
          <w:shd w:val="clear" w:fil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1600"/>
        <w:jc w:val="both"/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  <w:t>项目承担单位（公章）：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0"/>
          <w:position w:val="0"/>
          <w:sz w:val="32"/>
          <w:shd w:val="clear" w:fill="auto"/>
        </w:rPr>
        <w:t>芒市水产技术推广站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both"/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1600"/>
        <w:jc w:val="both"/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0"/>
          <w:position w:val="0"/>
          <w:sz w:val="32"/>
          <w:shd w:val="clear" w:fill="auto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  <w:t>通讯地址：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0"/>
          <w:position w:val="0"/>
          <w:sz w:val="32"/>
          <w:shd w:val="clear" w:fill="auto"/>
        </w:rPr>
        <w:t>芒市勐焕路附43号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both"/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1600"/>
        <w:jc w:val="both"/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  <w:t>邮政编码：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0"/>
          <w:position w:val="0"/>
          <w:sz w:val="32"/>
          <w:shd w:val="clear" w:fill="auto"/>
        </w:rPr>
        <w:t>678400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both"/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1600"/>
        <w:jc w:val="both"/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  <w:t>联系人：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0"/>
          <w:position w:val="0"/>
          <w:sz w:val="32"/>
          <w:shd w:val="clear" w:fill="auto"/>
        </w:rPr>
        <w:t xml:space="preserve">杨定权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both"/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1600"/>
        <w:jc w:val="both"/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0"/>
          <w:position w:val="0"/>
          <w:sz w:val="32"/>
          <w:shd w:val="clear" w:fill="auto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  <w:t>联系电话：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pacing w:val="0"/>
          <w:position w:val="0"/>
          <w:sz w:val="32"/>
          <w:shd w:val="clear" w:fill="auto"/>
        </w:rPr>
        <w:t>0692—2118769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both"/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center"/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both"/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center"/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center"/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center"/>
        <w:rPr>
          <w:rFonts w:ascii="黑体" w:hAnsi="黑体" w:eastAsia="黑体" w:cs="黑体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  <w:t>202</w:t>
      </w: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  <w:lang w:val="en-US" w:eastAsia="zh-CN"/>
        </w:rPr>
        <w:t>3</w:t>
      </w: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  <w:t>年</w:t>
      </w: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  <w:lang w:val="en-US" w:eastAsia="zh-CN"/>
        </w:rPr>
        <w:t>7</w:t>
      </w: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  <w:t>月</w:t>
      </w: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  <w:lang w:val="en-US" w:eastAsia="zh-CN"/>
        </w:rPr>
        <w:t>5</w:t>
      </w: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spacing w:val="0"/>
          <w:position w:val="0"/>
          <w:sz w:val="32"/>
          <w:shd w:val="clear" w:fill="auto"/>
        </w:rPr>
        <w:t>日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 w:firstLineChars="200"/>
        <w:jc w:val="both"/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</w:rPr>
        <w:sectPr>
          <w:headerReference r:id="rId3" w:type="default"/>
          <w:footerReference r:id="rId4" w:type="default"/>
          <w:pgSz w:w="11906" w:h="16838"/>
          <w:pgMar w:top="2098" w:right="1474" w:bottom="1984" w:left="1587" w:header="720" w:footer="720" w:gutter="0"/>
          <w:pgNumType w:fmt="decimal" w:start="1"/>
          <w:cols w:space="720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 w:firstLineChars="200"/>
        <w:jc w:val="both"/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</w:rPr>
        <w:t>项目名称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right="0" w:rightChars="0" w:firstLine="640" w:firstLineChars="200"/>
        <w:jc w:val="both"/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项目名称：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芒市202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年长江禁渔与水生生物资源保护项目。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</w:rPr>
        <w:t>二、项目资金来源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ascii="宋体" w:hAnsi="宋体" w:eastAsia="宋体" w:cs="宋体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根据《云南省财政厅关于下达202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年农业发展专项资金的通知》（云财农〔202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〕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29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号）、《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德宏州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财政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局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关于下达202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年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省级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农业发展专项资金的通知》（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德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财农〔202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〕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33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号）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eastAsia="zh-CN"/>
        </w:rPr>
        <w:t>、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芒市财政局《关于下达202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年省级农业发展专项资金的通知》（芒财农〔202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〕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118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号）文件精神，下达芒市农业农村局长江禁渔与水生生物资源保护项目资金2万元。</w:t>
      </w:r>
      <w:r>
        <w:rPr>
          <w:rFonts w:ascii="宋体" w:hAnsi="宋体" w:eastAsia="宋体" w:cs="宋体"/>
          <w:color w:val="auto"/>
          <w:spacing w:val="0"/>
          <w:position w:val="0"/>
          <w:sz w:val="32"/>
          <w:shd w:val="clear" w:fill="auto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</w:rPr>
        <w:t>三、项目实施主体和承担单位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Theme="minorEastAsia" w:hAnsiTheme="minorEastAsia" w:eastAsiaTheme="minorEastAsia" w:cstheme="minorEastAsia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</w:rPr>
        <w:t>（一）项目实施主体单位：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芒市农业农村局。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3"/>
        <w:jc w:val="both"/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楷体_GBK" w:hAnsi="方正楷体_GBK" w:eastAsia="方正楷体_GBK" w:cs="方正楷体_GBK"/>
          <w:b/>
          <w:color w:val="auto"/>
          <w:spacing w:val="0"/>
          <w:position w:val="0"/>
          <w:sz w:val="32"/>
          <w:shd w:val="clear" w:fill="auto"/>
        </w:rPr>
        <w:t>（二）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</w:rPr>
        <w:t>项目承担单位：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芒市水产技术推广站。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</w:rPr>
        <w:t>四、项目实施时间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Theme="minorEastAsia" w:hAnsiTheme="minorEastAsia" w:eastAsiaTheme="minorEastAsia" w:cstheme="minorEastAsia"/>
          <w:color w:val="FF0000"/>
          <w:spacing w:val="0"/>
          <w:position w:val="0"/>
          <w:sz w:val="32"/>
          <w:u w:val="single"/>
          <w:shd w:val="clear" w:fill="auto"/>
        </w:rPr>
      </w:pP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项目实施时间：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202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年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月至202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年12月。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黑体_GBK" w:hAnsi="方正黑体_GBK" w:eastAsia="方正黑体_GBK" w:cs="方正黑体_GBK"/>
          <w:b w:val="0"/>
          <w:bCs w:val="0"/>
          <w:color w:val="FF0000"/>
          <w:spacing w:val="0"/>
          <w:position w:val="0"/>
          <w:sz w:val="32"/>
          <w:u w:val="single"/>
          <w:shd w:val="clear" w:fill="auto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pacing w:val="0"/>
          <w:position w:val="0"/>
          <w:sz w:val="32"/>
          <w:shd w:val="clear" w:fill="auto"/>
        </w:rPr>
        <w:t>五、项目实施地点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pacing w:val="0"/>
          <w:position w:val="0"/>
          <w:sz w:val="32"/>
          <w:u w:val="none"/>
          <w:shd w:val="clear" w:fill="auto"/>
        </w:rPr>
        <w:t>及规模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</w:rPr>
        <w:t>（一）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项目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</w:rPr>
        <w:t>实施地点：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芒市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大河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Theme="minorEastAsia" w:hAnsiTheme="minorEastAsia" w:eastAsiaTheme="minorEastAsia" w:cstheme="minorEastAsia"/>
          <w:color w:val="FF0000"/>
          <w:spacing w:val="0"/>
          <w:position w:val="0"/>
          <w:sz w:val="32"/>
          <w:shd w:val="clear" w:fill="auto"/>
        </w:rPr>
      </w:pP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</w:rPr>
        <w:t>（二）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项目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</w:rPr>
        <w:t>实施规模：</w:t>
      </w:r>
      <w:r>
        <w:rPr>
          <w:rFonts w:hint="eastAsia" w:ascii="方正仿宋_GBK" w:hAnsi="方正仿宋_GBK" w:eastAsia="方正仿宋_GBK" w:cs="方正仿宋_GBK"/>
          <w:color w:val="000000"/>
          <w:spacing w:val="0"/>
          <w:position w:val="0"/>
          <w:sz w:val="32"/>
          <w:shd w:val="clear" w:fill="auto"/>
          <w:lang w:val="en-US" w:eastAsia="zh-CN"/>
        </w:rPr>
        <w:t>放流土著鱼类鱼苗20000尾</w:t>
      </w:r>
      <w:r>
        <w:rPr>
          <w:rFonts w:hint="eastAsia" w:ascii="方正仿宋_GBK" w:hAnsi="方正仿宋_GBK" w:eastAsia="方正仿宋_GBK" w:cs="方正仿宋_GBK"/>
          <w:color w:val="000000"/>
          <w:spacing w:val="0"/>
          <w:position w:val="0"/>
          <w:sz w:val="32"/>
          <w:shd w:val="clear" w:fill="auto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</w:rPr>
        <w:t>六、项目建设内容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Theme="minorEastAsia" w:hAnsiTheme="minorEastAsia" w:eastAsiaTheme="minorEastAsia" w:cstheme="minorEastAsia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购买墨头鱼、墨脱华鲮、云南野鲮、缅甸穗唇鲃等土著鱼苗20000尾进行增殖放流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</w:rPr>
        <w:t>七、项目建设绩效目标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eastAsia="zh-CN"/>
        </w:rPr>
      </w:pP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一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eastAsia="zh-CN"/>
        </w:rPr>
        <w:t>）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</w:rPr>
        <w:t>完成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芒市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</w:rPr>
        <w:t>202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3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</w:rPr>
        <w:t>年水产品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总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</w:rPr>
        <w:t>产量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9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</w:rPr>
        <w:t>200吨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eastAsia="zh-CN"/>
        </w:rPr>
      </w:pP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二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eastAsia="zh-CN"/>
        </w:rPr>
        <w:t>）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放流土著鱼类鱼苗20000尾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zCs w:val="32"/>
          <w:shd w:val="clear" w:fill="auto"/>
        </w:rPr>
      </w:pP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zCs w:val="32"/>
          <w:shd w:val="clear" w:fill="auto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三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zCs w:val="32"/>
          <w:shd w:val="clear" w:fill="auto"/>
          <w:lang w:eastAsia="zh-CN"/>
        </w:rPr>
        <w:t>）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芒市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zCs w:val="32"/>
          <w:shd w:val="clear" w:fill="auto"/>
        </w:rPr>
        <w:t>水产养殖种质资源普查工作完成率≥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9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zCs w:val="32"/>
          <w:shd w:val="clear" w:fill="auto"/>
        </w:rPr>
        <w:t>0%。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18"/>
          <w:shd w:val="clear" w:fill="auto"/>
        </w:rPr>
      </w:pPr>
      <w:r>
        <w:rPr>
          <w:rFonts w:hint="eastAsia" w:ascii="方正仿宋_GBK" w:hAnsi="方正仿宋_GBK" w:eastAsia="方正仿宋_GBK" w:cs="方正仿宋_GBK"/>
          <w:color w:val="000000"/>
          <w:spacing w:val="0"/>
          <w:position w:val="0"/>
          <w:sz w:val="32"/>
          <w:szCs w:val="32"/>
          <w:shd w:val="clear" w:fill="auto"/>
        </w:rPr>
        <w:t>附表：202</w:t>
      </w:r>
      <w:r>
        <w:rPr>
          <w:rFonts w:hint="eastAsia" w:ascii="方正仿宋_GBK" w:hAnsi="方正仿宋_GBK" w:eastAsia="方正仿宋_GBK" w:cs="方正仿宋_GBK"/>
          <w:color w:val="000000"/>
          <w:spacing w:val="0"/>
          <w:position w:val="0"/>
          <w:sz w:val="32"/>
          <w:szCs w:val="32"/>
          <w:shd w:val="clear" w:fill="auto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000000"/>
          <w:spacing w:val="0"/>
          <w:position w:val="0"/>
          <w:sz w:val="32"/>
          <w:szCs w:val="32"/>
          <w:shd w:val="clear" w:fill="auto"/>
        </w:rPr>
        <w:t>年省级农业发展专项资金—长江禁渔与水</w:t>
      </w:r>
      <w:r>
        <w:rPr>
          <w:rFonts w:hint="eastAsia" w:ascii="方正仿宋_GBK" w:hAnsi="方正仿宋_GBK" w:eastAsia="方正仿宋_GBK" w:cs="方正仿宋_GBK"/>
          <w:color w:val="000000"/>
          <w:spacing w:val="0"/>
          <w:position w:val="0"/>
          <w:sz w:val="32"/>
          <w:shd w:val="clear" w:fill="auto"/>
        </w:rPr>
        <w:t>生生物资源保护项目绩效目标表</w:t>
      </w:r>
    </w:p>
    <w:tbl>
      <w:tblPr>
        <w:tblStyle w:val="6"/>
        <w:tblW w:w="0" w:type="auto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112"/>
        <w:gridCol w:w="1948"/>
        <w:gridCol w:w="4540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569" w:hRule="atLeast"/>
          <w:jc w:val="center"/>
        </w:trPr>
        <w:tc>
          <w:tcPr>
            <w:tcW w:w="86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产出指标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535" w:hRule="atLeast"/>
          <w:jc w:val="center"/>
        </w:trPr>
        <w:tc>
          <w:tcPr>
            <w:tcW w:w="40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数量指标</w:t>
            </w:r>
          </w:p>
        </w:tc>
        <w:tc>
          <w:tcPr>
            <w:tcW w:w="4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质量指标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812" w:hRule="atLeast"/>
          <w:jc w:val="center"/>
        </w:trPr>
        <w:tc>
          <w:tcPr>
            <w:tcW w:w="2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水产品产量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  <w:t>吨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  <w:t>放流土著鱼苗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  <w:t>尾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4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水产养殖种质资源普查工作完成率（%）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570" w:hRule="atLeast"/>
          <w:jc w:val="center"/>
        </w:trPr>
        <w:tc>
          <w:tcPr>
            <w:tcW w:w="2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  <w:t>9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200吨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  <w:t>20000</w:t>
            </w:r>
          </w:p>
        </w:tc>
        <w:tc>
          <w:tcPr>
            <w:tcW w:w="4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≥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  <w:t>9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0%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黑体_GBK" w:hAnsi="方正黑体_GBK" w:eastAsia="方正黑体_GBK" w:cs="方正黑体_GBK"/>
          <w:b w:val="0"/>
          <w:bCs w:val="0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pacing w:val="0"/>
          <w:position w:val="0"/>
          <w:sz w:val="32"/>
          <w:shd w:val="clear" w:fill="auto"/>
        </w:rPr>
        <w:t>八、项目资金使用计划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Theme="minorEastAsia" w:hAnsiTheme="minorEastAsia" w:eastAsiaTheme="minorEastAsia" w:cstheme="minorEastAsia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项目建设投资总概算为2万元。其中：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</w:pP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（一）购买放流鱼苗20000尾，支出1.8万元。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ascii="宋体" w:hAnsi="宋体" w:eastAsia="宋体" w:cs="宋体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（二）增殖放流鱼苗品种数量公证费用支出0.2万元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</w:rPr>
        <w:t>九、项目</w:t>
      </w:r>
      <w:r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  <w:lang w:val="en-US" w:eastAsia="zh-CN"/>
        </w:rPr>
        <w:t>时间安排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ascii="宋体" w:hAnsi="宋体" w:eastAsia="宋体" w:cs="宋体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建设项目按以下几个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时间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段分期实施：202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年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月为项目申报评审阶段；202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年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7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月至1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1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月为项目实施阶段；202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年12月为项目验收总结阶段。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黑体_GBK" w:hAnsi="方正黑体_GBK" w:eastAsia="方正黑体_GBK" w:cs="方正黑体_GBK"/>
          <w:color w:val="auto"/>
          <w:spacing w:val="0"/>
          <w:position w:val="0"/>
          <w:sz w:val="32"/>
          <w:shd w:val="clear" w:fill="auto"/>
        </w:rPr>
        <w:t>十、组织保障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480"/>
        <w:jc w:val="both"/>
        <w:rPr>
          <w:rFonts w:hint="eastAsia" w:ascii="方正楷体_GBK" w:hAnsi="方正楷体_GBK" w:eastAsia="方正楷体_GBK" w:cs="方正楷体_GBK"/>
          <w:b/>
          <w:bCs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一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eastAsia="zh-CN"/>
        </w:rPr>
        <w:t>）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组织机构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Theme="minorEastAsia" w:hAnsiTheme="minorEastAsia" w:eastAsiaTheme="minorEastAsia" w:cstheme="minorEastAsia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为加强和保障项目的组织管理，确保项目顺利实施，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成立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项目实施领导小组，负责项目的规划协调和组织实施工作。项目实施领导小组组长由芒市农业农村局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副局长杨春潮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担任，副组长由芒市农业农村局畜牧兽医与渔业管理股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股长杨天磊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、芒市水产技术推广站站长杨定权担任。成员由芒市水产技术推广站赵宝洪、郗玉牙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过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、吴明周、李成凯、杨祖荣、宋文常、线吞孟、焦玉补、线月补、杨润娣、金艳华、匡丽梅、哏小四等科技人员组成。领导小组全程对项目跟踪服务，定期加强项目建设前期、中期、后期进行现场指导，解决项目实施过程中遇到的各种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问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题。领导小组下设办公室，办公室设在芒市水产站，办公室主任由杨定权（兼）担任，办公室副主任由赵宝洪担任，办公室负责处理项目日常工作。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480"/>
        <w:jc w:val="both"/>
        <w:rPr>
          <w:rFonts w:hint="eastAsia" w:ascii="方正楷体_GBK" w:hAnsi="方正楷体_GBK" w:eastAsia="方正楷体_GBK" w:cs="方正楷体_GBK"/>
          <w:b/>
          <w:bCs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二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eastAsia="zh-CN"/>
        </w:rPr>
        <w:t>）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保障措施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1.健全工作机制，明确工作责任。整个项目实施工作由项目领导小组负责，具体由办公室负责组织、协调、实施、检查督促等工作，做到事事有人抓，件件有人管。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2.严格项目管理，确保工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val="en-US" w:eastAsia="zh-CN"/>
        </w:rPr>
        <w:t>作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质量。制定项目实施各阶段的管理措施，对项目所花费的时间进行估算，项目建设严格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  <w:lang w:eastAsia="zh-CN"/>
        </w:rPr>
        <w:t>按照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相关程序进行，确保项目顺利实施。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3.建立健全项目档案管理，确保各项目建设内容档案资料的立卷、归档，以便查询。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>4.强化廉政风险管理。建立健全廉政风险防控机制，杜绝项目推进过程中发生各种违规违纪行为，确保项目建成民心工程、廉洁工程。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黑体_GBK" w:hAnsi="方正黑体_GBK" w:eastAsia="方正黑体_GBK" w:cs="方正黑体_GBK"/>
          <w:b w:val="0"/>
          <w:bCs w:val="0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pacing w:val="0"/>
          <w:position w:val="0"/>
          <w:sz w:val="32"/>
          <w:shd w:val="clear" w:fill="auto"/>
        </w:rPr>
        <w:t>十一、预期效益分析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5"/>
        <w:jc w:val="both"/>
        <w:textAlignment w:val="baseline"/>
        <w:rPr>
          <w:rStyle w:val="8"/>
          <w:rFonts w:hint="eastAsia" w:ascii="方正仿宋_GBK" w:hAnsi="方正仿宋_GBK" w:eastAsia="方正仿宋_GBK" w:cs="方正仿宋_GBK"/>
          <w:b w:val="0"/>
          <w:bCs/>
          <w:i w:val="0"/>
          <w:caps w:val="0"/>
          <w:color w:val="00000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一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eastAsia="zh-CN"/>
        </w:rPr>
        <w:t>）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生态效益。</w:t>
      </w:r>
      <w:r>
        <w:rPr>
          <w:rStyle w:val="8"/>
          <w:rFonts w:hint="eastAsia" w:ascii="方正仿宋_GBK" w:hAnsi="方正仿宋_GBK" w:eastAsia="方正仿宋_GBK" w:cs="方正仿宋_GBK"/>
          <w:b w:val="0"/>
          <w:bCs/>
          <w:i w:val="0"/>
          <w:caps w:val="0"/>
          <w:color w:val="000000"/>
          <w:spacing w:val="0"/>
          <w:w w:val="100"/>
          <w:kern w:val="2"/>
          <w:sz w:val="32"/>
          <w:szCs w:val="32"/>
          <w:lang w:val="en-US" w:eastAsia="zh-CN" w:bidi="ar-SA"/>
        </w:rPr>
        <w:t>定期开展人工增殖放流活动，可以修复由于人为等因素造成的水生生物资源破坏，补充渔业资源生物量，优化渔业资源水域中的食物链结构，改善水域生态环境，维护水域生态平衡。进行多品种的增殖放流可以改善水域生态群落结构，不同的放流种类不仅可以利用天然水域中不同层次的饵料，而且自身可以成为不同鱼类的饵料，从而改善了水域生态群落结构，有利于水域生态环境的修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5"/>
        <w:jc w:val="both"/>
        <w:textAlignment w:val="baseline"/>
        <w:rPr>
          <w:rStyle w:val="8"/>
          <w:rFonts w:hint="eastAsia" w:ascii="方正仿宋_GBK" w:hAnsi="方正仿宋_GBK" w:eastAsia="方正仿宋_GBK" w:cs="方正仿宋_GBK"/>
          <w:b w:val="0"/>
          <w:bCs/>
          <w:i w:val="0"/>
          <w:caps w:val="0"/>
          <w:color w:val="00000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二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eastAsia="zh-CN"/>
        </w:rPr>
        <w:t>）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经济效益。</w:t>
      </w:r>
      <w:r>
        <w:rPr>
          <w:rStyle w:val="8"/>
          <w:rFonts w:hint="eastAsia" w:ascii="方正仿宋_GBK" w:hAnsi="方正仿宋_GBK" w:eastAsia="方正仿宋_GBK" w:cs="方正仿宋_GBK"/>
          <w:b w:val="0"/>
          <w:bCs/>
          <w:i w:val="0"/>
          <w:caps w:val="0"/>
          <w:color w:val="000000"/>
          <w:spacing w:val="0"/>
          <w:w w:val="100"/>
          <w:kern w:val="2"/>
          <w:sz w:val="32"/>
          <w:szCs w:val="32"/>
          <w:lang w:val="en-US" w:eastAsia="zh-CN" w:bidi="ar-SA"/>
        </w:rPr>
        <w:t>通过增殖放流，可以增加水域内渔业资源种群数量，合理调整品种结构，充分利用好自然水域天然生物饵料，提高水域天然养殖产量，渔民合理捕捞利用，提高捕捞产量，取得更高的经济效益，促进渔业经济可持续发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/>
        <w:jc w:val="both"/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</w:pP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三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eastAsia="zh-CN"/>
        </w:rPr>
        <w:t>）</w:t>
      </w:r>
      <w:r>
        <w:rPr>
          <w:rFonts w:hint="eastAsia" w:ascii="方正楷体_GBK" w:hAnsi="方正楷体_GBK" w:eastAsia="方正楷体_GBK" w:cs="方正楷体_GBK"/>
          <w:color w:val="auto"/>
          <w:spacing w:val="0"/>
          <w:position w:val="0"/>
          <w:sz w:val="32"/>
          <w:shd w:val="clear" w:fill="auto"/>
          <w:lang w:val="en-US" w:eastAsia="zh-CN"/>
        </w:rPr>
        <w:t>社会效益。</w:t>
      </w:r>
      <w:r>
        <w:rPr>
          <w:rStyle w:val="8"/>
          <w:rFonts w:hint="eastAsia" w:ascii="方正仿宋_GBK" w:hAnsi="方正仿宋_GBK" w:eastAsia="方正仿宋_GBK" w:cs="方正仿宋_GBK"/>
          <w:b w:val="0"/>
          <w:bCs/>
          <w:i w:val="0"/>
          <w:caps w:val="0"/>
          <w:color w:val="000000"/>
          <w:spacing w:val="0"/>
          <w:w w:val="100"/>
          <w:kern w:val="2"/>
          <w:sz w:val="32"/>
          <w:szCs w:val="32"/>
          <w:lang w:val="en-US" w:eastAsia="zh-CN" w:bidi="ar-SA"/>
        </w:rPr>
        <w:t>一是合理开发利用渔业资源，可以增加渔民收入，改善渔民生活，从而增加渔民的积极性，促进渔业稳定发展；二是满足社会对绿色、安全、放心、生态水产品的需求，丰富水产品市场，优化群众饮食结构，提高人民群众的生活品质；三是通过增殖放流活动开展，可以增强广大人民群众保护渔业资源、维护生态环境意识，达到共同保护生物多样性的目的。</w:t>
      </w:r>
      <w:r>
        <w:rPr>
          <w:rFonts w:hint="eastAsia" w:ascii="方正仿宋_GBK" w:hAnsi="方正仿宋_GBK" w:eastAsia="方正仿宋_GBK" w:cs="方正仿宋_GBK"/>
          <w:color w:val="auto"/>
          <w:spacing w:val="0"/>
          <w:position w:val="0"/>
          <w:sz w:val="32"/>
          <w:shd w:val="clear" w:fill="auto"/>
        </w:rPr>
        <w:t xml:space="preserve"> </w:t>
      </w:r>
    </w:p>
    <w:sectPr>
      <w:footerReference r:id="rId5" w:type="default"/>
      <w:pgSz w:w="11906" w:h="16838"/>
      <w:pgMar w:top="2098" w:right="1474" w:bottom="1984" w:left="1587" w:header="720" w:footer="720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Sans Serif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4"/>
                  <w:rPr>
                    <w:rFonts w:hint="eastAsia" w:eastAsiaTheme="minorEastAsia"/>
                    <w:lang w:eastAsia="zh-CN"/>
                  </w:rPr>
                </w:pP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w:pict>
        <v:shape id="_x0000_s4098" o:spid="_x0000_s4098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4"/>
                  <w:rPr>
                    <w:rFonts w:hint="eastAsia" w:eastAsiaTheme="minorEastAsia"/>
                    <w:lang w:eastAsia="zh-CN"/>
                  </w:rPr>
                </w:pPr>
                <w:r>
                  <w:rPr>
                    <w:rFonts w:hint="eastAsia" w:ascii="宋体" w:hAnsi="宋体" w:eastAsia="宋体" w:cs="宋体"/>
                    <w:sz w:val="28"/>
                    <w:szCs w:val="28"/>
                    <w:lang w:eastAsia="zh-CN"/>
                  </w:rPr>
                  <w:t xml:space="preserve">— 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  <w:lang w:eastAsia="zh-CN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  <w:lang w:eastAsia="zh-CN"/>
                  </w:rPr>
                  <w:fldChar w:fldCharType="separate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  <w:lang w:eastAsia="zh-CN"/>
                  </w:rPr>
                  <w:t>1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  <w:lang w:eastAsia="zh-CN"/>
                  </w:rPr>
                  <w:fldChar w:fldCharType="end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  <w:lang w:eastAsia="zh-CN"/>
                  </w:rPr>
                  <w:t xml:space="preserve"> —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267556"/>
    <w:multiLevelType w:val="singleLevel"/>
    <w:tmpl w:val="A126755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hdrShapeDefaults>
    <o:shapelayout v:ext="edit">
      <o:idmap v:ext="edit" data="3,4"/>
    </o:shapelayout>
  </w:hdrShapeDefaults>
  <w:compat>
    <w:useFELayout/>
    <w:splitPgBreakAndParaMark/>
    <w:compatSetting w:name="compatibilityMode" w:uri="http://schemas.microsoft.com/office/word" w:val="12"/>
  </w:compat>
  <w:docVars>
    <w:docVar w:name="commondata" w:val="eyJoZGlkIjoiYjMwM2VlMWQ3ZTc5Y2NiNmMwMWVlMDk1OTUxZTM2ZjgifQ=="/>
  </w:docVars>
  <w:rsids>
    <w:rsidRoot w:val="00000000"/>
    <w:rsid w:val="13C2306A"/>
    <w:rsid w:val="18EB56BD"/>
    <w:rsid w:val="19D55C53"/>
    <w:rsid w:val="1F463FD2"/>
    <w:rsid w:val="38C357DB"/>
    <w:rsid w:val="41A43EBE"/>
    <w:rsid w:val="4714177D"/>
    <w:rsid w:val="48B550C7"/>
    <w:rsid w:val="514250A3"/>
    <w:rsid w:val="5F745D3F"/>
    <w:rsid w:val="646E2D9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overflowPunct w:val="0"/>
      <w:autoSpaceDE w:val="0"/>
      <w:autoSpaceDN w:val="0"/>
      <w:adjustRightInd w:val="0"/>
      <w:spacing w:before="100" w:beforeAutospacing="1" w:line="360" w:lineRule="auto"/>
      <w:ind w:left="0" w:leftChars="0" w:firstLine="420" w:firstLineChars="200"/>
    </w:pPr>
    <w:rPr>
      <w:rFonts w:ascii="宋体" w:hAnsi="MS Sans Serif"/>
      <w:spacing w:val="12"/>
      <w:sz w:val="24"/>
      <w:szCs w:val="24"/>
    </w:rPr>
  </w:style>
  <w:style w:type="paragraph" w:styleId="3">
    <w:name w:val="Body Text Indent"/>
    <w:basedOn w:val="1"/>
    <w:next w:val="2"/>
    <w:qFormat/>
    <w:uiPriority w:val="0"/>
    <w:pPr>
      <w:spacing w:after="120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8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4097" textRotate="1"/>
    <customShpInfo spid="_x0000_s4098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ScaleCrop>false</ScaleCrop>
  <LinksUpToDate>false</LinksUpToDate>
  <Application>WPS Office_12.1.0.15336_F1E327BC-269C-435d-A152-05C5408002CA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2023-06-16T03:09:00Z</dcterms:created>
  <dc:creator>Administrator</dc:creator>
  <cp:lastModifiedBy>杨永县</cp:lastModifiedBy>
  <dcterms:modified xsi:type="dcterms:W3CDTF">2023-11-24T07:53:38Z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2052-12.1.0.15336</vt:lpwstr>
  </property>
  <property fmtid="{D5CDD505-2E9C-101B-9397-08002B2CF9AE}" pid="3" name="ICV">
    <vt:lpwstr>700D5F3D78F24EFB98ACA71BD9D39084_12</vt:lpwstr>
  </property>
</Properties>
</file>