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民办非企业单位注册资金变更提交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材料目录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1.民办非企业单位变更登记申请表——（网上填写、打印、签字后再上传）</w:t>
      </w:r>
      <w:r>
        <w:rPr>
          <w:rFonts w:hint="eastAsia" w:ascii="宋体" w:hAnsi="宋体"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民办非企业单位意见须由法定代表人签署意见并盖民办非企业单位印章；有业务主管单位的须由业务主管单位签署意见并盖章。申请人申请行政许可，应当如实向行政机关提交有关材料和反映真实情况，并对其申请材料实质内容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2.前置许可证书——（申请人自备）。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前置许可的，须提交业务主管单位变更后的许可证正、副本复印件，有批复的还须提交批复原件或复印件。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3.验资报告——（申请人自备）。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由会计师事务所出具验资报告，不得以个人存款账户验资或以银行开具的存款证明作为验资报告。（简易程序：在省内任意一家建设银行网点开立验资账户并出具注明用途为验资款的社会组织验资证明函，可不再提交会计师事务所出具的验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4.减资公告（减少开办资金的须提交）—申请人自备。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按民政厅制定的减资公告（样本）制定，在省级报纸上刊登，公告期不少于30日。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5.会议纪要——（申请人自备）。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须载明会议名称、时间、地点、应到会人数，实到会人数，会议通过的决议，并经全体参会人员签字。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6.民办非企业单位登记证书正、副本——（申请人自备）。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可上传证照照片，线下提交原件（若证书遗失请在此提交证书遗失补办申请表）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MwYzA0MmNiNzhlZmE2NmI0OTQ3ODhlMTJhYTUifQ=="/>
  </w:docVars>
  <w:rsids>
    <w:rsidRoot w:val="00000000"/>
    <w:rsid w:val="00B26AD8"/>
    <w:rsid w:val="0EC57EAB"/>
    <w:rsid w:val="16347503"/>
    <w:rsid w:val="55FE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521</Words>
  <Characters>522</Characters>
  <Lines>0</Lines>
  <Paragraphs>0</Paragraphs>
  <TotalTime>2</TotalTime>
  <ScaleCrop>false</ScaleCrop>
  <LinksUpToDate>false</LinksUpToDate>
  <CharactersWithSpaces>525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2021-12-21T03:13:00Z</dcterms:created>
  <dc:creator>admin</dc:creator>
  <cp:lastModifiedBy>黄娟</cp:lastModifiedBy>
  <dcterms:modified xsi:type="dcterms:W3CDTF">2025-01-22T00:56:31Z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7DBE89B208784C3A9C3C21E8E5A0440E_12</vt:lpwstr>
  </property>
</Properties>
</file>