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2387">
      <w:pPr>
        <w:pStyle w:val="8"/>
        <w:spacing w:line="180" w:lineRule="atLeast"/>
        <w:jc w:val="center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hint="eastAsia" w:eastAsia="仿宋_GB2312"/>
          <w:b/>
          <w:bCs/>
          <w:color w:val="FF0000"/>
          <w:sz w:val="100"/>
          <w:szCs w:val="100"/>
        </w:rPr>
        <w:t>社会事务办简</w:t>
      </w:r>
      <w:r>
        <w:rPr>
          <w:rFonts w:eastAsia="仿宋_GB2312"/>
          <w:b/>
          <w:bCs/>
          <w:color w:val="FF0000"/>
          <w:sz w:val="100"/>
          <w:szCs w:val="100"/>
        </w:rPr>
        <w:t>报</w:t>
      </w:r>
    </w:p>
    <w:p w14:paraId="126F303F">
      <w:pPr>
        <w:pStyle w:val="8"/>
        <w:spacing w:line="180" w:lineRule="atLeast"/>
        <w:ind w:firstLine="314"/>
        <w:rPr>
          <w:rFonts w:eastAsia="仿宋_GB2312"/>
          <w:b/>
          <w:bCs/>
          <w:color w:val="000000"/>
          <w:sz w:val="32"/>
          <w:szCs w:val="32"/>
        </w:rPr>
      </w:pPr>
    </w:p>
    <w:p w14:paraId="33962C5D">
      <w:pPr>
        <w:pStyle w:val="8"/>
        <w:spacing w:line="180" w:lineRule="atLeast"/>
        <w:jc w:val="center"/>
        <w:rPr>
          <w:rFonts w:eastAsia="仿宋_GB2312"/>
          <w:color w:val="FF0000"/>
          <w:sz w:val="44"/>
          <w:szCs w:val="44"/>
        </w:rPr>
      </w:pPr>
      <w:r>
        <w:rPr>
          <w:rFonts w:eastAsia="仿宋_GB2312"/>
          <w:color w:val="FF0000"/>
          <w:sz w:val="44"/>
          <w:szCs w:val="44"/>
        </w:rPr>
        <w:t>[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5</w:t>
      </w:r>
      <w:r>
        <w:rPr>
          <w:rFonts w:eastAsia="仿宋_GB2312"/>
          <w:color w:val="FF0000"/>
          <w:sz w:val="44"/>
          <w:szCs w:val="44"/>
        </w:rPr>
        <w:t>]第</w:t>
      </w:r>
      <w:r>
        <w:rPr>
          <w:rFonts w:hint="eastAsia" w:ascii="宋体" w:hAnsi="宋体" w:eastAsia="宋体" w:cs="宋体"/>
          <w:color w:val="FF000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44"/>
          <w:szCs w:val="44"/>
          <w:lang w:val="en-US" w:eastAsia="zh-CN"/>
        </w:rPr>
        <w:t>4</w:t>
      </w:r>
      <w:r>
        <w:rPr>
          <w:rFonts w:eastAsia="仿宋_GB2312"/>
          <w:color w:val="FF0000"/>
          <w:sz w:val="44"/>
          <w:szCs w:val="44"/>
        </w:rPr>
        <w:t>期</w:t>
      </w:r>
    </w:p>
    <w:p w14:paraId="47EFD6EE">
      <w:pPr>
        <w:pStyle w:val="8"/>
        <w:spacing w:line="180" w:lineRule="atLeast"/>
        <w:jc w:val="center"/>
        <w:rPr>
          <w:rFonts w:eastAsia="仿宋_GB2312"/>
          <w:color w:val="FF0000"/>
          <w:sz w:val="28"/>
          <w:szCs w:val="28"/>
          <w:u w:val="single"/>
        </w:rPr>
      </w:pPr>
      <w:r>
        <w:rPr>
          <w:rFonts w:eastAsia="仿宋_GB2312"/>
          <w:color w:val="FF0000"/>
          <w:sz w:val="28"/>
          <w:szCs w:val="28"/>
          <w:u w:val="single"/>
        </w:rPr>
        <w:t>勐戛镇</w:t>
      </w:r>
      <w:r>
        <w:rPr>
          <w:rFonts w:hint="eastAsia" w:eastAsia="仿宋_GB2312"/>
          <w:color w:val="FF0000"/>
          <w:sz w:val="28"/>
          <w:szCs w:val="28"/>
          <w:u w:val="single"/>
        </w:rPr>
        <w:t>社会事务办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 xml:space="preserve">      202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5</w:t>
      </w:r>
      <w:r>
        <w:rPr>
          <w:rFonts w:eastAsia="仿宋_GB2312"/>
          <w:color w:val="FF0000"/>
          <w:sz w:val="28"/>
          <w:szCs w:val="28"/>
          <w:u w:val="single"/>
        </w:rPr>
        <w:t>年</w:t>
      </w:r>
      <w:r>
        <w:rPr>
          <w:rFonts w:hint="eastAsia" w:eastAsia="仿宋_GB2312"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eastAsia="仿宋_GB2312"/>
          <w:color w:val="FF0000"/>
          <w:sz w:val="28"/>
          <w:szCs w:val="28"/>
          <w:u w:val="single"/>
        </w:rPr>
        <w:t>月</w:t>
      </w:r>
      <w:r>
        <w:rPr>
          <w:rFonts w:hint="eastAsia" w:eastAsia="仿宋_GB2312"/>
          <w:color w:val="FF0000"/>
          <w:sz w:val="28"/>
          <w:szCs w:val="28"/>
          <w:u w:val="single"/>
          <w:lang w:val="en-US" w:eastAsia="zh-CN"/>
        </w:rPr>
        <w:t>29</w:t>
      </w:r>
      <w:r>
        <w:rPr>
          <w:rFonts w:eastAsia="仿宋_GB2312"/>
          <w:color w:val="FF0000"/>
          <w:sz w:val="28"/>
          <w:szCs w:val="28"/>
          <w:u w:val="single"/>
        </w:rPr>
        <w:t>日</w:t>
      </w:r>
    </w:p>
    <w:p w14:paraId="7F580F9F">
      <w:pPr>
        <w:pStyle w:val="2"/>
      </w:pPr>
    </w:p>
    <w:p w14:paraId="2411A2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left="0" w:firstLine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勐戛镇开展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食品安全宣传周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工作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</w:p>
    <w:p w14:paraId="3E91E3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为深入贯彻国家关于食品安全工作的决策部署，进一步提升全镇食品安全保障水平，增强广大人民群众的食品安全意识和自我保护能力，勐戛镇于2025年9月22日至9月26日组织开展了以“尚德守法 共享食安”为主题的食品安全宣传周活动。本次活动旨在通过普及食品安全知识，强化食品生产经营者主体责任，营造全社会共同关心、支持和参与食品安全的良好氛围，筑牢我镇食品安全防线、保障群众身体健康与生命安全。</w:t>
      </w:r>
    </w:p>
    <w:p w14:paraId="4EBC3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工作内容</w:t>
      </w:r>
    </w:p>
    <w:p w14:paraId="6C89A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（一）开展集中宣传咨询活动。</w:t>
      </w:r>
    </w:p>
    <w:p w14:paraId="12DD3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集镇人流密集区域设立主宣传点，通过摆放展板、发放宣传资料、现场答疑等形式，向过往群众宣传《中华人民共和国食品安全法》等法律法规，讲解食品安全常识、辨别假冒伪劣食品方法以及食物中毒预防与应急处理知识，累计发放宣传单480余份，接受群众咨询190余人次。</w:t>
      </w:r>
    </w:p>
    <w:p w14:paraId="738CF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推动宣传进村社、进校园、进商户。</w:t>
      </w:r>
    </w:p>
    <w:p w14:paraId="46712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工作人员和志愿者深入各村（社区）、中小学校园及周边食品经营店铺，开展针对性宣传，张贴宣传海报，利用村广播、微信群等载体扩大宣传覆盖面，引导广大村民、师生树立健康饮食理念，增强商户诚信经营意识。</w:t>
      </w:r>
    </w:p>
    <w:p w14:paraId="5C598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（三）结合日常监管进行宣传。</w:t>
      </w:r>
    </w:p>
    <w:p w14:paraId="28B3F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将宣传周活动与常态化食品安全检查相结合，执法人员在检查过程中同步开展普法宣传和警示教育，督促经营者严格落实各项管理制度。</w:t>
      </w:r>
    </w:p>
    <w:p w14:paraId="3AA7D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81280</wp:posOffset>
            </wp:positionV>
            <wp:extent cx="2658110" cy="2003425"/>
            <wp:effectExtent l="0" t="0" r="8890" b="15875"/>
            <wp:wrapSquare wrapText="bothSides"/>
            <wp:docPr id="5" name="图片 5" descr="食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食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78105</wp:posOffset>
            </wp:positionV>
            <wp:extent cx="2618105" cy="1963420"/>
            <wp:effectExtent l="0" t="0" r="10795" b="17780"/>
            <wp:wrapSquare wrapText="bothSides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二、工作问题</w:t>
      </w:r>
    </w:p>
    <w:p w14:paraId="53765A3F">
      <w:pPr>
        <w:tabs>
          <w:tab w:val="left" w:pos="742"/>
        </w:tabs>
        <w:bidi w:val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偏远村寨宣传覆盖力度仍有不足，群众参与度有待提高；部分小型餐饮单位、流动摊贩对食品安全重要性认识不够，主体责任落实仍需加强，宣传的针对性和实效性需进一步提升；宣传形式创新性不足，如何吸引年轻群体关注、提升宣传吸引力是需要思考的问题。</w:t>
      </w:r>
    </w:p>
    <w:p w14:paraId="2E4574CD">
      <w:pPr>
        <w:keepNext w:val="0"/>
        <w:keepLines w:val="0"/>
        <w:pageBreakBefore w:val="0"/>
        <w:widowControl w:val="0"/>
        <w:tabs>
          <w:tab w:val="left" w:pos="74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三、下一步工作计划</w:t>
      </w:r>
    </w:p>
    <w:p w14:paraId="2CA01E75">
      <w:pPr>
        <w:tabs>
          <w:tab w:val="left" w:pos="929"/>
        </w:tabs>
        <w:bidi w:val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续我镇将在巩固宣传周成果的基础上，建立常态化宣传机制，持续开展形式多样的食品安全科普活动，并重点加强对农村地区、学校及周边、小餐饮等重点区域和对象的精准宣传；加大对食品生产经营者的培训指导和监督检查力度，通过约谈、通报、典型案例曝光等方式，倒逼经营主体责任落实，筑牢食品安全第一道防线；积极探索运用微信公众号、短视频等新媒体平台，制作群众喜闻乐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见的宣传产品，提升宣传的互动性和影响力，拓宽宣传覆盖面。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12CD9"/>
    <w:rsid w:val="5AF235E9"/>
    <w:rsid w:val="7167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2025-10-10T06:46:28Z</dcterms:created>
  <dc:creator>Administrator.User-2023MEOVBA</dc:creator>
  <cp:lastModifiedBy>CXY</cp:lastModifiedBy>
  <dcterms:modified xsi:type="dcterms:W3CDTF">2025-10-10T07:47:34Z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eyJoZGlkIjoiMjRjNmQ4MjRlNDZhYzU0YTRhNTg1MmY4YTBmYThhYjEiLCJ1c2VySWQiOiI4NDQzOTEyMDIifQ==</vt:lpwstr>
  </property>
  <property fmtid="{D5CDD505-2E9C-101B-9397-08002B2CF9AE}" pid="4" name="ICV">
    <vt:lpwstr>66BE11868155486EAA93F714CBA3E98A_12</vt:lpwstr>
  </property>
</Properties>
</file>