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DA638">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方正黑体_GBK" w:cs="宋体"/>
          <w:sz w:val="28"/>
          <w:szCs w:val="28"/>
          <w:vertAlign w:val="baseline"/>
          <w:lang w:val="en-US" w:eastAsia="zh-CN"/>
        </w:rPr>
      </w:pPr>
      <w:r>
        <w:rPr>
          <w:rFonts w:hint="eastAsia" w:ascii="宋体" w:hAnsi="宋体" w:eastAsia="方正黑体_GBK" w:cs="Times New Roman"/>
          <w:sz w:val="28"/>
          <w:szCs w:val="28"/>
          <w:vertAlign w:val="baseline"/>
          <w:lang w:val="en-US" w:eastAsia="zh-CN"/>
        </w:rPr>
        <w:t>附件</w:t>
      </w:r>
      <w:r>
        <w:rPr>
          <w:rFonts w:hint="eastAsia" w:ascii="宋体" w:hAnsi="宋体" w:eastAsia="方正黑体_GBK" w:cs="宋体"/>
          <w:sz w:val="28"/>
          <w:szCs w:val="28"/>
          <w:vertAlign w:val="baseline"/>
          <w:lang w:val="en-US" w:eastAsia="zh-CN"/>
        </w:rPr>
        <w:t>3</w:t>
      </w:r>
    </w:p>
    <w:p w14:paraId="00E8E2E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宋体" w:hAnsi="宋体" w:eastAsia="方正黑体_GBK" w:cs="宋体"/>
          <w:sz w:val="28"/>
          <w:szCs w:val="28"/>
          <w:vertAlign w:val="baseline"/>
          <w:lang w:val="en-US" w:eastAsia="zh-CN"/>
        </w:rPr>
      </w:pPr>
    </w:p>
    <w:p w14:paraId="404D164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黑体" w:cs="黑体"/>
          <w:color w:val="000000"/>
          <w:kern w:val="0"/>
          <w:sz w:val="24"/>
          <w:lang w:bidi="ar"/>
        </w:rPr>
      </w:pPr>
      <w:bookmarkStart w:id="0" w:name="_GoBack"/>
      <w:r>
        <w:rPr>
          <w:rFonts w:hint="eastAsia" w:ascii="宋体" w:hAnsi="宋体" w:eastAsia="方正小标宋_GBK" w:cs="方正小标宋_GBK"/>
          <w:sz w:val="44"/>
          <w:szCs w:val="44"/>
          <w:vertAlign w:val="baseline"/>
          <w:lang w:val="en-US" w:eastAsia="zh-CN"/>
        </w:rPr>
        <w:t>云南省交通运输省本级行政确认裁量权基准</w:t>
      </w:r>
    </w:p>
    <w:bookmarkEnd w:id="0"/>
    <w:tbl>
      <w:tblPr>
        <w:tblStyle w:val="5"/>
        <w:tblW w:w="13938" w:type="dxa"/>
        <w:tblInd w:w="0" w:type="dxa"/>
        <w:tblLayout w:type="fixed"/>
        <w:tblCellMar>
          <w:top w:w="0" w:type="dxa"/>
          <w:left w:w="0" w:type="dxa"/>
          <w:bottom w:w="0" w:type="dxa"/>
          <w:right w:w="0" w:type="dxa"/>
        </w:tblCellMar>
      </w:tblPr>
      <w:tblGrid>
        <w:gridCol w:w="352"/>
        <w:gridCol w:w="957"/>
        <w:gridCol w:w="734"/>
        <w:gridCol w:w="1644"/>
        <w:gridCol w:w="1872"/>
        <w:gridCol w:w="792"/>
        <w:gridCol w:w="589"/>
        <w:gridCol w:w="3047"/>
        <w:gridCol w:w="1493"/>
        <w:gridCol w:w="1459"/>
        <w:gridCol w:w="999"/>
      </w:tblGrid>
      <w:tr w14:paraId="66A8B29C">
        <w:tblPrEx>
          <w:tblCellMar>
            <w:top w:w="0" w:type="dxa"/>
            <w:left w:w="0" w:type="dxa"/>
            <w:bottom w:w="0" w:type="dxa"/>
            <w:right w:w="0" w:type="dxa"/>
          </w:tblCellMar>
        </w:tblPrEx>
        <w:trPr>
          <w:trHeight w:val="600" w:hRule="atLeast"/>
          <w:tblHeader/>
        </w:trPr>
        <w:tc>
          <w:tcPr>
            <w:tcW w:w="3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12630">
            <w:pPr>
              <w:widowControl/>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序号</w:t>
            </w:r>
          </w:p>
        </w:tc>
        <w:tc>
          <w:tcPr>
            <w:tcW w:w="9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4C14C">
            <w:pPr>
              <w:widowControl/>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主项</w:t>
            </w:r>
          </w:p>
        </w:tc>
        <w:tc>
          <w:tcPr>
            <w:tcW w:w="7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6468B">
            <w:pPr>
              <w:widowControl/>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子项</w:t>
            </w:r>
          </w:p>
        </w:tc>
        <w:tc>
          <w:tcPr>
            <w:tcW w:w="1644"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C1C7D77">
            <w:pPr>
              <w:widowControl/>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设定依据</w:t>
            </w:r>
          </w:p>
        </w:tc>
        <w:tc>
          <w:tcPr>
            <w:tcW w:w="1872"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79D0D68">
            <w:pPr>
              <w:widowControl/>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受理条件</w:t>
            </w:r>
          </w:p>
        </w:tc>
        <w:tc>
          <w:tcPr>
            <w:tcW w:w="792"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735A086">
            <w:pPr>
              <w:widowControl/>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办理程序</w:t>
            </w:r>
          </w:p>
        </w:tc>
        <w:tc>
          <w:tcPr>
            <w:tcW w:w="36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3480C">
            <w:pPr>
              <w:widowControl/>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该事项应提交材料</w:t>
            </w:r>
          </w:p>
        </w:tc>
        <w:tc>
          <w:tcPr>
            <w:tcW w:w="1493" w:type="dxa"/>
            <w:vMerge w:val="restart"/>
            <w:tcBorders>
              <w:top w:val="single" w:color="000000" w:sz="4" w:space="0"/>
              <w:left w:val="nil"/>
              <w:right w:val="single" w:color="000000" w:sz="4" w:space="0"/>
            </w:tcBorders>
            <w:tcMar>
              <w:top w:w="15" w:type="dxa"/>
              <w:left w:w="15" w:type="dxa"/>
              <w:right w:w="15" w:type="dxa"/>
            </w:tcMar>
            <w:vAlign w:val="center"/>
          </w:tcPr>
          <w:p w14:paraId="0136016D">
            <w:pPr>
              <w:widowControl/>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办理时限</w:t>
            </w:r>
          </w:p>
        </w:tc>
        <w:tc>
          <w:tcPr>
            <w:tcW w:w="1459" w:type="dxa"/>
            <w:vMerge w:val="restart"/>
            <w:tcBorders>
              <w:top w:val="single" w:color="000000" w:sz="4" w:space="0"/>
              <w:left w:val="nil"/>
              <w:right w:val="single" w:color="000000" w:sz="4" w:space="0"/>
            </w:tcBorders>
            <w:tcMar>
              <w:top w:w="15" w:type="dxa"/>
              <w:left w:w="15" w:type="dxa"/>
              <w:right w:w="15" w:type="dxa"/>
            </w:tcMar>
            <w:vAlign w:val="center"/>
          </w:tcPr>
          <w:p w14:paraId="36C7BB2C">
            <w:pPr>
              <w:widowControl/>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权限范围</w:t>
            </w:r>
          </w:p>
        </w:tc>
        <w:tc>
          <w:tcPr>
            <w:tcW w:w="999" w:type="dxa"/>
            <w:vMerge w:val="restart"/>
            <w:tcBorders>
              <w:top w:val="single" w:color="000000" w:sz="4" w:space="0"/>
              <w:left w:val="nil"/>
              <w:right w:val="single" w:color="000000" w:sz="4" w:space="0"/>
            </w:tcBorders>
            <w:tcMar>
              <w:top w:w="15" w:type="dxa"/>
              <w:left w:w="15" w:type="dxa"/>
              <w:right w:w="15" w:type="dxa"/>
            </w:tcMar>
            <w:vAlign w:val="center"/>
          </w:tcPr>
          <w:p w14:paraId="4CBB2A6C">
            <w:pPr>
              <w:widowControl/>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确认结果有效期限</w:t>
            </w:r>
          </w:p>
        </w:tc>
      </w:tr>
      <w:tr w14:paraId="663AB327">
        <w:tblPrEx>
          <w:tblCellMar>
            <w:top w:w="0" w:type="dxa"/>
            <w:left w:w="0" w:type="dxa"/>
            <w:bottom w:w="0" w:type="dxa"/>
            <w:right w:w="0" w:type="dxa"/>
          </w:tblCellMar>
        </w:tblPrEx>
        <w:trPr>
          <w:trHeight w:val="439" w:hRule="atLeast"/>
          <w:tblHeader/>
        </w:trPr>
        <w:tc>
          <w:tcPr>
            <w:tcW w:w="3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ED57E">
            <w:pPr>
              <w:jc w:val="center"/>
              <w:rPr>
                <w:rFonts w:hint="eastAsia" w:ascii="宋体" w:hAnsi="宋体" w:eastAsia="方正仿宋_GBK" w:cs="方正仿宋_GBK"/>
                <w:color w:val="000000"/>
                <w:sz w:val="21"/>
                <w:szCs w:val="21"/>
              </w:rPr>
            </w:pPr>
          </w:p>
        </w:tc>
        <w:tc>
          <w:tcPr>
            <w:tcW w:w="9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7917E">
            <w:pPr>
              <w:jc w:val="center"/>
              <w:rPr>
                <w:rFonts w:hint="eastAsia" w:ascii="宋体" w:hAnsi="宋体" w:eastAsia="方正仿宋_GBK" w:cs="方正仿宋_GBK"/>
                <w:color w:val="000000"/>
                <w:sz w:val="21"/>
                <w:szCs w:val="21"/>
              </w:rPr>
            </w:pPr>
          </w:p>
        </w:tc>
        <w:tc>
          <w:tcPr>
            <w:tcW w:w="7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AAB86">
            <w:pPr>
              <w:jc w:val="center"/>
              <w:rPr>
                <w:rFonts w:hint="eastAsia" w:ascii="宋体" w:hAnsi="宋体" w:eastAsia="方正仿宋_GBK" w:cs="方正仿宋_GBK"/>
                <w:color w:val="000000"/>
                <w:sz w:val="21"/>
                <w:szCs w:val="21"/>
              </w:rPr>
            </w:pPr>
          </w:p>
        </w:tc>
        <w:tc>
          <w:tcPr>
            <w:tcW w:w="1644"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7B322F4">
            <w:pPr>
              <w:jc w:val="center"/>
              <w:rPr>
                <w:rFonts w:hint="eastAsia" w:ascii="宋体" w:hAnsi="宋体" w:eastAsia="方正仿宋_GBK" w:cs="方正仿宋_GBK"/>
                <w:color w:val="000000"/>
                <w:sz w:val="21"/>
                <w:szCs w:val="21"/>
              </w:rPr>
            </w:pPr>
          </w:p>
        </w:tc>
        <w:tc>
          <w:tcPr>
            <w:tcW w:w="1872"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3B8106D">
            <w:pPr>
              <w:jc w:val="center"/>
              <w:rPr>
                <w:rFonts w:hint="eastAsia" w:ascii="宋体" w:hAnsi="宋体" w:eastAsia="方正仿宋_GBK" w:cs="方正仿宋_GBK"/>
                <w:color w:val="000000"/>
                <w:sz w:val="21"/>
                <w:szCs w:val="21"/>
              </w:rPr>
            </w:pPr>
          </w:p>
        </w:tc>
        <w:tc>
          <w:tcPr>
            <w:tcW w:w="792"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4FAA62A">
            <w:pPr>
              <w:jc w:val="center"/>
              <w:rPr>
                <w:rFonts w:hint="eastAsia" w:ascii="宋体" w:hAnsi="宋体" w:eastAsia="方正仿宋_GBK" w:cs="方正仿宋_GBK"/>
                <w:color w:val="000000"/>
                <w:sz w:val="21"/>
                <w:szCs w:val="21"/>
              </w:rPr>
            </w:pPr>
          </w:p>
        </w:tc>
        <w:tc>
          <w:tcPr>
            <w:tcW w:w="58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7B58701">
            <w:pPr>
              <w:widowControl/>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数量</w:t>
            </w:r>
          </w:p>
        </w:tc>
        <w:tc>
          <w:tcPr>
            <w:tcW w:w="304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C59DB04">
            <w:pPr>
              <w:widowControl/>
              <w:jc w:val="center"/>
              <w:textAlignment w:val="center"/>
              <w:rPr>
                <w:rFonts w:hint="eastAsia" w:ascii="宋体" w:hAnsi="宋体" w:eastAsia="方正黑体_GBK" w:cs="方正黑体_GBK"/>
                <w:color w:val="000000"/>
                <w:sz w:val="21"/>
                <w:szCs w:val="21"/>
              </w:rPr>
            </w:pPr>
            <w:r>
              <w:rPr>
                <w:rFonts w:hint="eastAsia" w:ascii="宋体" w:hAnsi="宋体" w:eastAsia="方正黑体_GBK" w:cs="方正黑体_GBK"/>
                <w:color w:val="000000"/>
                <w:kern w:val="0"/>
                <w:sz w:val="21"/>
                <w:szCs w:val="21"/>
                <w:lang w:bidi="ar"/>
              </w:rPr>
              <w:t>材料名称</w:t>
            </w:r>
          </w:p>
        </w:tc>
        <w:tc>
          <w:tcPr>
            <w:tcW w:w="1493" w:type="dxa"/>
            <w:vMerge w:val="continue"/>
            <w:tcBorders>
              <w:left w:val="nil"/>
              <w:bottom w:val="nil"/>
              <w:right w:val="single" w:color="000000" w:sz="4" w:space="0"/>
            </w:tcBorders>
            <w:tcMar>
              <w:top w:w="15" w:type="dxa"/>
              <w:left w:w="15" w:type="dxa"/>
              <w:right w:w="15" w:type="dxa"/>
            </w:tcMar>
            <w:vAlign w:val="center"/>
          </w:tcPr>
          <w:p w14:paraId="0EDABB17">
            <w:pPr>
              <w:jc w:val="center"/>
              <w:rPr>
                <w:rFonts w:hint="eastAsia" w:ascii="宋体" w:hAnsi="宋体" w:eastAsia="方正仿宋_GBK" w:cs="方正仿宋_GBK"/>
                <w:color w:val="000000"/>
                <w:sz w:val="21"/>
                <w:szCs w:val="21"/>
              </w:rPr>
            </w:pPr>
          </w:p>
        </w:tc>
        <w:tc>
          <w:tcPr>
            <w:tcW w:w="1459" w:type="dxa"/>
            <w:vMerge w:val="continue"/>
            <w:tcBorders>
              <w:left w:val="nil"/>
              <w:bottom w:val="nil"/>
              <w:right w:val="single" w:color="000000" w:sz="4" w:space="0"/>
            </w:tcBorders>
            <w:tcMar>
              <w:top w:w="15" w:type="dxa"/>
              <w:left w:w="15" w:type="dxa"/>
              <w:right w:w="15" w:type="dxa"/>
            </w:tcMar>
            <w:vAlign w:val="center"/>
          </w:tcPr>
          <w:p w14:paraId="4D1C05D1">
            <w:pPr>
              <w:jc w:val="center"/>
              <w:rPr>
                <w:rFonts w:hint="eastAsia" w:ascii="宋体" w:hAnsi="宋体" w:eastAsia="方正仿宋_GBK" w:cs="方正仿宋_GBK"/>
                <w:color w:val="000000"/>
                <w:sz w:val="21"/>
                <w:szCs w:val="21"/>
              </w:rPr>
            </w:pPr>
          </w:p>
        </w:tc>
        <w:tc>
          <w:tcPr>
            <w:tcW w:w="999" w:type="dxa"/>
            <w:vMerge w:val="continue"/>
            <w:tcBorders>
              <w:left w:val="nil"/>
              <w:bottom w:val="nil"/>
              <w:right w:val="single" w:color="000000" w:sz="4" w:space="0"/>
            </w:tcBorders>
            <w:tcMar>
              <w:top w:w="15" w:type="dxa"/>
              <w:left w:w="15" w:type="dxa"/>
              <w:right w:w="15" w:type="dxa"/>
            </w:tcMar>
            <w:vAlign w:val="center"/>
          </w:tcPr>
          <w:p w14:paraId="22AAF6FD">
            <w:pPr>
              <w:jc w:val="center"/>
              <w:rPr>
                <w:rFonts w:hint="eastAsia" w:ascii="宋体" w:hAnsi="宋体" w:eastAsia="方正仿宋_GBK" w:cs="方正仿宋_GBK"/>
                <w:color w:val="000000"/>
                <w:sz w:val="21"/>
                <w:szCs w:val="21"/>
              </w:rPr>
            </w:pPr>
          </w:p>
        </w:tc>
      </w:tr>
      <w:tr w14:paraId="392E4C72">
        <w:tblPrEx>
          <w:tblCellMar>
            <w:top w:w="0" w:type="dxa"/>
            <w:left w:w="0" w:type="dxa"/>
            <w:bottom w:w="0" w:type="dxa"/>
            <w:right w:w="0" w:type="dxa"/>
          </w:tblCellMar>
        </w:tblPrEx>
        <w:trPr>
          <w:trHeight w:val="2099" w:hRule="atLeast"/>
        </w:trPr>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F99E1">
            <w:pPr>
              <w:widowControl/>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01194">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公路工程交工验收向</w:t>
            </w:r>
            <w:r>
              <w:rPr>
                <w:rFonts w:hint="eastAsia" w:cs="方正仿宋_GBK"/>
                <w:color w:val="000000"/>
                <w:kern w:val="0"/>
                <w:sz w:val="18"/>
                <w:szCs w:val="18"/>
                <w:lang w:eastAsia="zh-CN" w:bidi="ar"/>
              </w:rPr>
              <w:t>交通运输主管部门</w:t>
            </w:r>
            <w:r>
              <w:rPr>
                <w:rFonts w:hint="eastAsia" w:ascii="宋体" w:hAnsi="宋体" w:eastAsia="方正仿宋_GBK" w:cs="方正仿宋_GBK"/>
                <w:color w:val="000000"/>
                <w:kern w:val="0"/>
                <w:sz w:val="18"/>
                <w:szCs w:val="18"/>
                <w:lang w:bidi="ar"/>
              </w:rPr>
              <w:t>备案</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7BACE">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方正仿宋_GBK" w:cs="方正仿宋_GBK"/>
                <w:color w:val="000000"/>
                <w:sz w:val="18"/>
                <w:szCs w:val="18"/>
              </w:rPr>
            </w:pP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E5F22">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《公路工程竣（交）工验收办法》（</w:t>
            </w:r>
            <w:r>
              <w:rPr>
                <w:rFonts w:hint="eastAsia" w:cs="方正仿宋_GBK"/>
                <w:color w:val="000000"/>
                <w:kern w:val="0"/>
                <w:sz w:val="18"/>
                <w:szCs w:val="18"/>
                <w:lang w:eastAsia="zh-CN" w:bidi="ar"/>
              </w:rPr>
              <w:t>交通运输部</w:t>
            </w:r>
            <w:r>
              <w:rPr>
                <w:rFonts w:hint="eastAsia" w:ascii="宋体" w:hAnsi="宋体" w:eastAsia="方正仿宋_GBK" w:cs="方正仿宋_GBK"/>
                <w:color w:val="000000"/>
                <w:kern w:val="0"/>
                <w:sz w:val="18"/>
                <w:szCs w:val="18"/>
                <w:lang w:bidi="ar"/>
              </w:rPr>
              <w:t>令（2004）第3号）第十四条</w:t>
            </w:r>
          </w:p>
        </w:tc>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D93A6">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公路工程各合同段验收合格后，项目法人按</w:t>
            </w:r>
            <w:r>
              <w:rPr>
                <w:rFonts w:hint="eastAsia" w:cs="方正仿宋_GBK"/>
                <w:color w:val="000000"/>
                <w:kern w:val="0"/>
                <w:sz w:val="18"/>
                <w:szCs w:val="18"/>
                <w:lang w:eastAsia="zh-CN" w:bidi="ar"/>
              </w:rPr>
              <w:t>交通运输部</w:t>
            </w:r>
            <w:r>
              <w:rPr>
                <w:rFonts w:hint="eastAsia" w:ascii="宋体" w:hAnsi="宋体" w:eastAsia="方正仿宋_GBK" w:cs="方正仿宋_GBK"/>
                <w:color w:val="000000"/>
                <w:kern w:val="0"/>
                <w:sz w:val="18"/>
                <w:szCs w:val="18"/>
                <w:lang w:bidi="ar"/>
              </w:rPr>
              <w:t>规定的要求及时完成项目交工验收报告。质量监督机构向</w:t>
            </w:r>
            <w:r>
              <w:rPr>
                <w:rFonts w:hint="eastAsia" w:cs="方正仿宋_GBK"/>
                <w:color w:val="000000"/>
                <w:kern w:val="0"/>
                <w:sz w:val="18"/>
                <w:szCs w:val="18"/>
                <w:lang w:eastAsia="zh-CN" w:bidi="ar"/>
              </w:rPr>
              <w:t>交通运输主管部门</w:t>
            </w:r>
            <w:r>
              <w:rPr>
                <w:rFonts w:hint="eastAsia" w:ascii="宋体" w:hAnsi="宋体" w:eastAsia="方正仿宋_GBK" w:cs="方正仿宋_GBK"/>
                <w:color w:val="000000"/>
                <w:kern w:val="0"/>
                <w:sz w:val="18"/>
                <w:szCs w:val="18"/>
                <w:lang w:bidi="ar"/>
              </w:rPr>
              <w:t>提交项目的检测报告。</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01F6B">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4.备案</w:t>
            </w:r>
            <w:r>
              <w:rPr>
                <w:rFonts w:hint="eastAsia" w:cs="方正仿宋_GBK"/>
                <w:color w:val="000000"/>
                <w:kern w:val="0"/>
                <w:sz w:val="18"/>
                <w:szCs w:val="18"/>
                <w:lang w:eastAsia="zh-CN" w:bidi="ar"/>
              </w:rPr>
              <w:t>。</w:t>
            </w:r>
          </w:p>
        </w:tc>
        <w:tc>
          <w:tcPr>
            <w:tcW w:w="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55C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w:t>
            </w:r>
          </w:p>
        </w:tc>
        <w:tc>
          <w:tcPr>
            <w:tcW w:w="3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BDAE0">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项目法人完成的项目交工验收报告。</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A7AF1">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法定时限：15个工作日；</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承诺时限：1个工作日</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39D77">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国家、部重点公路工程项目中100公里以上的高速公路、独立特大型桥梁和特长隧道工程向省级人民政府</w:t>
            </w:r>
            <w:r>
              <w:rPr>
                <w:rFonts w:hint="eastAsia" w:cs="方正仿宋_GBK"/>
                <w:color w:val="000000"/>
                <w:kern w:val="0"/>
                <w:sz w:val="18"/>
                <w:szCs w:val="18"/>
                <w:lang w:eastAsia="zh-CN" w:bidi="ar"/>
              </w:rPr>
              <w:t>交通运输主管部门</w:t>
            </w:r>
            <w:r>
              <w:rPr>
                <w:rFonts w:hint="eastAsia" w:ascii="宋体" w:hAnsi="宋体" w:eastAsia="方正仿宋_GBK" w:cs="方正仿宋_GBK"/>
                <w:color w:val="000000"/>
                <w:kern w:val="0"/>
                <w:sz w:val="18"/>
                <w:szCs w:val="18"/>
                <w:lang w:bidi="ar"/>
              </w:rPr>
              <w:t>备案</w:t>
            </w:r>
          </w:p>
        </w:tc>
        <w:tc>
          <w:tcPr>
            <w:tcW w:w="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F970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5B6112E7">
        <w:tblPrEx>
          <w:tblCellMar>
            <w:top w:w="0" w:type="dxa"/>
            <w:left w:w="0" w:type="dxa"/>
            <w:bottom w:w="0" w:type="dxa"/>
            <w:right w:w="0" w:type="dxa"/>
          </w:tblCellMar>
        </w:tblPrEx>
        <w:trPr>
          <w:trHeight w:val="2340" w:hRule="atLeast"/>
        </w:trPr>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7A0D2">
            <w:pPr>
              <w:widowControl/>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7D323">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公路施工作业验收</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1EC15">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方正仿宋_GBK" w:cs="方正仿宋_GBK"/>
                <w:color w:val="000000"/>
                <w:sz w:val="18"/>
                <w:szCs w:val="18"/>
              </w:rPr>
            </w:pP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122A4">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《中华人民共和国道路交通安全法》第三十二条</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《公路安全保护条例》第二十九条</w:t>
            </w:r>
          </w:p>
        </w:tc>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7DA30">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1.经许可同意进行涉路施工作业的；</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2.申请人提出验收申请；</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3.提交以下书面材料①施工单位自检自查报告；②该工程交工验收报告（含落实《安全评价报告》“削减风险”的具体措施）。</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82CBC">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4.决定</w:t>
            </w:r>
            <w:r>
              <w:rPr>
                <w:rFonts w:hint="eastAsia" w:cs="方正仿宋_GBK"/>
                <w:color w:val="000000"/>
                <w:kern w:val="0"/>
                <w:sz w:val="18"/>
                <w:szCs w:val="18"/>
                <w:lang w:eastAsia="zh-CN" w:bidi="ar"/>
              </w:rPr>
              <w:t>。</w:t>
            </w:r>
          </w:p>
        </w:tc>
        <w:tc>
          <w:tcPr>
            <w:tcW w:w="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AC3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2</w:t>
            </w:r>
          </w:p>
        </w:tc>
        <w:tc>
          <w:tcPr>
            <w:tcW w:w="3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22EB2">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1.施工单位自检自查报告；</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2.该工程交工验收报告（含落实《安全评价报告》“削减风险”的具体措施）。</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FBB99">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法定时限：3个月；</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承诺时限：36个工作日</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D4D8D">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省级交通运输主管部门批复的涉路施工作业</w:t>
            </w:r>
          </w:p>
        </w:tc>
        <w:tc>
          <w:tcPr>
            <w:tcW w:w="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DD7C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6A9659AF">
        <w:tblPrEx>
          <w:tblCellMar>
            <w:top w:w="0" w:type="dxa"/>
            <w:left w:w="0" w:type="dxa"/>
            <w:bottom w:w="0" w:type="dxa"/>
            <w:right w:w="0" w:type="dxa"/>
          </w:tblCellMar>
        </w:tblPrEx>
        <w:trPr>
          <w:trHeight w:val="1405" w:hRule="atLeast"/>
        </w:trPr>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F2240">
            <w:pPr>
              <w:widowControl/>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3</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E31E6">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收费公路的鉴定和验收</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D8C8D">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方正仿宋_GBK" w:cs="方正仿宋_GBK"/>
                <w:color w:val="000000"/>
                <w:sz w:val="18"/>
                <w:szCs w:val="18"/>
              </w:rPr>
            </w:pP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33C3D">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收费公路管理条例》（国务院令第417号）第三十八条</w:t>
            </w:r>
          </w:p>
        </w:tc>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8A8FC">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收费公路终止收费前6个月，省、自治区、直辖市人民政府</w:t>
            </w:r>
            <w:r>
              <w:rPr>
                <w:rFonts w:hint="eastAsia" w:cs="方正仿宋_GBK"/>
                <w:color w:val="000000"/>
                <w:kern w:val="0"/>
                <w:sz w:val="18"/>
                <w:szCs w:val="18"/>
                <w:lang w:eastAsia="zh-CN" w:bidi="ar"/>
              </w:rPr>
              <w:t>交通运输主管部门</w:t>
            </w:r>
            <w:r>
              <w:rPr>
                <w:rFonts w:hint="eastAsia" w:ascii="宋体" w:hAnsi="宋体" w:eastAsia="方正仿宋_GBK" w:cs="方正仿宋_GBK"/>
                <w:color w:val="000000"/>
                <w:kern w:val="0"/>
                <w:sz w:val="18"/>
                <w:szCs w:val="18"/>
                <w:lang w:bidi="ar"/>
              </w:rPr>
              <w:t>应当对收费公路进行鉴定和验收。</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E0066">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2.受理</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4.备案</w:t>
            </w:r>
            <w:r>
              <w:rPr>
                <w:rFonts w:hint="eastAsia" w:cs="方正仿宋_GBK"/>
                <w:color w:val="000000"/>
                <w:kern w:val="0"/>
                <w:sz w:val="18"/>
                <w:szCs w:val="18"/>
                <w:lang w:eastAsia="zh-CN" w:bidi="ar"/>
              </w:rPr>
              <w:t>。</w:t>
            </w:r>
          </w:p>
        </w:tc>
        <w:tc>
          <w:tcPr>
            <w:tcW w:w="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477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w:t>
            </w:r>
          </w:p>
        </w:tc>
        <w:tc>
          <w:tcPr>
            <w:tcW w:w="3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EAF2C">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1.交通行政确认申请书</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2.企业法人营业执照</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3.公路基本情况目录</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4.公路技术状况检测报告</w:t>
            </w:r>
            <w:r>
              <w:rPr>
                <w:rFonts w:hint="eastAsia" w:ascii="宋体" w:hAnsi="宋体" w:eastAsia="方正仿宋_GBK" w:cs="方正仿宋_GBK"/>
                <w:color w:val="000000"/>
                <w:kern w:val="0"/>
                <w:sz w:val="18"/>
                <w:szCs w:val="18"/>
                <w:lang w:eastAsia="zh-CN" w:bidi="ar"/>
              </w:rPr>
              <w:t>。</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1CF38">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法定时限：20个工作日；承诺时限：1个工作日</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D64B4">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收费公路的鉴定和验收</w:t>
            </w:r>
          </w:p>
        </w:tc>
        <w:tc>
          <w:tcPr>
            <w:tcW w:w="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907B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4E8E4830">
        <w:tblPrEx>
          <w:tblCellMar>
            <w:top w:w="0" w:type="dxa"/>
            <w:left w:w="0" w:type="dxa"/>
            <w:bottom w:w="0" w:type="dxa"/>
            <w:right w:w="0" w:type="dxa"/>
          </w:tblCellMar>
        </w:tblPrEx>
        <w:trPr>
          <w:trHeight w:val="3857" w:hRule="atLeast"/>
        </w:trPr>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9FACC">
            <w:pPr>
              <w:widowControl/>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4</w:t>
            </w:r>
          </w:p>
        </w:tc>
        <w:tc>
          <w:tcPr>
            <w:tcW w:w="9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B2631">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2DF2305D">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2F265748">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3B06892E">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782E678A">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672F856D">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14CCC56A">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6998DC33">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网络运输经营者线上服务能力认定</w:t>
            </w:r>
          </w:p>
          <w:p w14:paraId="5725B3AA">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5B34E909">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5A93D153">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67CED9A0">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2DFEB959">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49775FF5">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64A965D5">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14788E9D">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178F8DB8">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07EEF81B">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59B7506A">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p>
          <w:p w14:paraId="14298F3F">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kern w:val="0"/>
                <w:sz w:val="18"/>
                <w:szCs w:val="18"/>
                <w:lang w:bidi="ar"/>
              </w:rPr>
            </w:pPr>
            <w:r>
              <w:rPr>
                <w:rFonts w:hint="eastAsia" w:ascii="宋体" w:hAnsi="宋体" w:eastAsia="方正仿宋_GBK" w:cs="方正仿宋_GBK"/>
                <w:color w:val="000000"/>
                <w:kern w:val="0"/>
                <w:sz w:val="18"/>
                <w:szCs w:val="18"/>
                <w:lang w:bidi="ar"/>
              </w:rPr>
              <w:t>网络运输经营者线上服务能力认定</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92CF2">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网络预约出租汽车经营者线上服务能力认定</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0D54F">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《网络预约出租汽车经营服务管理暂行办法》第六条</w:t>
            </w:r>
          </w:p>
        </w:tc>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59E31">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受理州</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市交通运输主管部门报送的网络预约出租汽车经营者线上服务能力认定请示</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EFC0E">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1.受理州市级交通运输主管部门提交的企业备案申请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3.备案结果反馈</w:t>
            </w:r>
            <w:r>
              <w:rPr>
                <w:rFonts w:hint="eastAsia" w:cs="方正仿宋_GBK"/>
                <w:color w:val="000000"/>
                <w:kern w:val="0"/>
                <w:sz w:val="18"/>
                <w:szCs w:val="18"/>
                <w:lang w:eastAsia="zh-CN" w:bidi="ar"/>
              </w:rPr>
              <w:t>。</w:t>
            </w:r>
          </w:p>
        </w:tc>
        <w:tc>
          <w:tcPr>
            <w:tcW w:w="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574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10</w:t>
            </w:r>
          </w:p>
        </w:tc>
        <w:tc>
          <w:tcPr>
            <w:tcW w:w="3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15474">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1.网络预约出租汽车经营者线上服务能力认定申请书</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2.营业执照</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3.州</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市交通运输主管部门初审意见</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4.具备互联网平台和信息数据交互及处理能力材料</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5.具备供交通</w:t>
            </w:r>
            <w:r>
              <w:rPr>
                <w:rFonts w:hint="eastAsia" w:cs="方正仿宋_GBK"/>
                <w:color w:val="000000"/>
                <w:kern w:val="0"/>
                <w:sz w:val="18"/>
                <w:szCs w:val="18"/>
                <w:lang w:eastAsia="zh-CN" w:bidi="ar"/>
              </w:rPr>
              <w:t>运输</w:t>
            </w:r>
            <w:r>
              <w:rPr>
                <w:rFonts w:hint="eastAsia" w:ascii="宋体" w:hAnsi="宋体" w:eastAsia="方正仿宋_GBK" w:cs="方正仿宋_GBK"/>
                <w:color w:val="000000"/>
                <w:kern w:val="0"/>
                <w:sz w:val="18"/>
                <w:szCs w:val="18"/>
                <w:lang w:bidi="ar"/>
              </w:rPr>
              <w:t>、</w:t>
            </w:r>
            <w:r>
              <w:rPr>
                <w:rFonts w:hint="eastAsia" w:cs="方正仿宋_GBK"/>
                <w:color w:val="000000"/>
                <w:kern w:val="0"/>
                <w:sz w:val="18"/>
                <w:szCs w:val="18"/>
                <w:lang w:eastAsia="zh-CN" w:bidi="ar"/>
              </w:rPr>
              <w:t>工业和信息化</w:t>
            </w:r>
            <w:r>
              <w:rPr>
                <w:rFonts w:hint="eastAsia" w:ascii="宋体" w:hAnsi="宋体" w:eastAsia="方正仿宋_GBK" w:cs="方正仿宋_GBK"/>
                <w:color w:val="000000"/>
                <w:kern w:val="0"/>
                <w:sz w:val="18"/>
                <w:szCs w:val="18"/>
                <w:lang w:bidi="ar"/>
              </w:rPr>
              <w:t>等监管部门依法调取查询所需网络数据信息条件材料</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6.数据库接入说明</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7.服务器设置在中国内地的情况说明</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8.网络安全管理制度和安全保护技术措施文本</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9.提供支付结算服务的银行或者非银行支付机构签订的协议范本</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10.符合外商投资法律法规的规定</w:t>
            </w:r>
            <w:r>
              <w:rPr>
                <w:rFonts w:hint="eastAsia" w:ascii="宋体" w:hAnsi="宋体" w:eastAsia="方正仿宋_GBK" w:cs="方正仿宋_GBK"/>
                <w:color w:val="000000"/>
                <w:kern w:val="0"/>
                <w:sz w:val="18"/>
                <w:szCs w:val="18"/>
                <w:lang w:eastAsia="zh-CN" w:bidi="ar"/>
              </w:rPr>
              <w:t>。</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2A2D3">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法定时限：20个工作日；承诺时限：15个工作日</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5EFF0">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有关线上服务能力材料由网约车平台公司注册地省级交通运输主管部门商同级通信、公安、税务、网信、人民银行等部门审核认定，并提供相应认定结果，认定结果全国有效</w:t>
            </w:r>
          </w:p>
        </w:tc>
        <w:tc>
          <w:tcPr>
            <w:tcW w:w="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D122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r w14:paraId="1756C400">
        <w:tblPrEx>
          <w:tblCellMar>
            <w:top w:w="0" w:type="dxa"/>
            <w:left w:w="0" w:type="dxa"/>
            <w:bottom w:w="0" w:type="dxa"/>
            <w:right w:w="0" w:type="dxa"/>
          </w:tblCellMar>
        </w:tblPrEx>
        <w:trPr>
          <w:trHeight w:val="3660" w:hRule="atLeast"/>
        </w:trPr>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B23D9">
            <w:pPr>
              <w:widowControl/>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5</w:t>
            </w:r>
          </w:p>
        </w:tc>
        <w:tc>
          <w:tcPr>
            <w:tcW w:w="9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FAD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color w:val="000000"/>
                <w:sz w:val="18"/>
                <w:szCs w:val="18"/>
              </w:rPr>
            </w:pP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81319">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网络货运经营者线上服务能力认定</w:t>
            </w:r>
          </w:p>
        </w:tc>
        <w:tc>
          <w:tcPr>
            <w:tcW w:w="1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BCEF6">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 xml:space="preserve">《交通运输部 国家税务总局关于印发〈网络平台道路货物运输经营管理暂行办法〉的通知》（交运规〔2019〕12号）第七条  </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《交通运输部办公厅关于印发〈网络平台道路货物运输经营服务指南〉等三个指南的通知》（交办运函〔2019〕1391号）</w:t>
            </w:r>
          </w:p>
        </w:tc>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8F722">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受理州</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市交通运输主管部门报送的网络货运经营者线上服务能力认定请示</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E2119">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1.受理州</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市交通运输主管部门提交的企业备案申请</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2.审查</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3.备案结果反馈</w:t>
            </w:r>
            <w:r>
              <w:rPr>
                <w:rFonts w:hint="eastAsia" w:cs="方正仿宋_GBK"/>
                <w:color w:val="000000"/>
                <w:kern w:val="0"/>
                <w:sz w:val="18"/>
                <w:szCs w:val="18"/>
                <w:lang w:eastAsia="zh-CN" w:bidi="ar"/>
              </w:rPr>
              <w:t>。</w:t>
            </w:r>
          </w:p>
        </w:tc>
        <w:tc>
          <w:tcPr>
            <w:tcW w:w="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51F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7</w:t>
            </w:r>
          </w:p>
        </w:tc>
        <w:tc>
          <w:tcPr>
            <w:tcW w:w="3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E64F4">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lang w:eastAsia="zh-CN"/>
              </w:rPr>
            </w:pPr>
            <w:r>
              <w:rPr>
                <w:rFonts w:hint="eastAsia" w:ascii="宋体" w:hAnsi="宋体" w:eastAsia="方正仿宋_GBK" w:cs="方正仿宋_GBK"/>
                <w:color w:val="000000"/>
                <w:kern w:val="0"/>
                <w:sz w:val="18"/>
                <w:szCs w:val="18"/>
                <w:lang w:bidi="ar"/>
              </w:rPr>
              <w:t>1.线上服务能力基本情况表</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2.网络货运平台和面向实际承运人的移动互联网应用程序（APP）的信息内容和服务功能的介绍材料</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3.州</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市交通运输主管部门初审意见</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4.增值电信业务许可证</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5.三级及以上信息系统安全等级保护备案材料</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6.网络平台接入省级网络货运信息监测系统材料</w:t>
            </w:r>
            <w:r>
              <w:rPr>
                <w:rFonts w:hint="eastAsia" w:ascii="宋体" w:hAnsi="宋体" w:eastAsia="方正仿宋_GBK"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br w:type="textWrapping"/>
            </w:r>
            <w:r>
              <w:rPr>
                <w:rFonts w:hint="eastAsia" w:ascii="宋体" w:hAnsi="宋体" w:eastAsia="方正仿宋_GBK" w:cs="方正仿宋_GBK"/>
                <w:color w:val="000000"/>
                <w:kern w:val="0"/>
                <w:sz w:val="18"/>
                <w:szCs w:val="18"/>
                <w:lang w:bidi="ar"/>
              </w:rPr>
              <w:t>7.配合依法调取查询数据承诺书</w:t>
            </w:r>
            <w:r>
              <w:rPr>
                <w:rFonts w:hint="eastAsia" w:ascii="宋体" w:hAnsi="宋体" w:eastAsia="方正仿宋_GBK" w:cs="方正仿宋_GBK"/>
                <w:color w:val="000000"/>
                <w:kern w:val="0"/>
                <w:sz w:val="18"/>
                <w:szCs w:val="18"/>
                <w:lang w:eastAsia="zh-CN" w:bidi="ar"/>
              </w:rPr>
              <w:t>。</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22314">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法定时限：20个工作日；承诺时限：8个工作日</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44F36">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省级交通运输主管部门应对州</w:t>
            </w:r>
            <w:r>
              <w:rPr>
                <w:rFonts w:hint="eastAsia" w:cs="方正仿宋_GBK"/>
                <w:color w:val="000000"/>
                <w:kern w:val="0"/>
                <w:sz w:val="18"/>
                <w:szCs w:val="18"/>
                <w:lang w:eastAsia="zh-CN" w:bidi="ar"/>
              </w:rPr>
              <w:t>、</w:t>
            </w:r>
            <w:r>
              <w:rPr>
                <w:rFonts w:hint="eastAsia" w:ascii="宋体" w:hAnsi="宋体" w:eastAsia="方正仿宋_GBK" w:cs="方正仿宋_GBK"/>
                <w:color w:val="000000"/>
                <w:kern w:val="0"/>
                <w:sz w:val="18"/>
                <w:szCs w:val="18"/>
                <w:lang w:bidi="ar"/>
              </w:rPr>
              <w:t>市交通运输主管部门提交的网络货运申请者相关信息进行线上服务能力认定，认定合格的，开具线上服务能力认定结果或在省级交通运输主管部门官网公示</w:t>
            </w:r>
          </w:p>
        </w:tc>
        <w:tc>
          <w:tcPr>
            <w:tcW w:w="9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7FF6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color w:val="000000"/>
                <w:sz w:val="18"/>
                <w:szCs w:val="18"/>
              </w:rPr>
            </w:pPr>
            <w:r>
              <w:rPr>
                <w:rFonts w:hint="eastAsia" w:ascii="宋体" w:hAnsi="宋体" w:eastAsia="方正仿宋_GBK" w:cs="方正仿宋_GBK"/>
                <w:color w:val="000000"/>
                <w:kern w:val="0"/>
                <w:sz w:val="18"/>
                <w:szCs w:val="18"/>
                <w:lang w:bidi="ar"/>
              </w:rPr>
              <w:t>长期</w:t>
            </w:r>
          </w:p>
        </w:tc>
      </w:tr>
    </w:tbl>
    <w:p w14:paraId="45A45360">
      <w:pPr>
        <w:rPr>
          <w:rFonts w:ascii="宋体" w:hAnsi="宋体" w:eastAsia="宋体" w:cs="Times New Roman"/>
        </w:rPr>
      </w:pPr>
    </w:p>
    <w:p w14:paraId="69763AFE">
      <w:pPr>
        <w:rPr>
          <w:rFonts w:ascii="宋体" w:hAnsi="宋体"/>
        </w:rPr>
      </w:pPr>
    </w:p>
    <w:p w14:paraId="7CC81E4D"/>
    <w:p w14:paraId="0495AACA"/>
    <w:sectPr>
      <w:headerReference r:id="rId3" w:type="default"/>
      <w:footerReference r:id="rId4"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4E75F">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9E01EB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eaVert" wrap="none" lIns="0" tIns="203200" rIns="0" bIns="203200" upright="0">
                      <a:spAutoFit/>
                    </wps:bodyPr>
                  </wps:wsp>
                </a:graphicData>
              </a:graphic>
            </wp:anchor>
          </w:drawing>
        </mc:Choice>
        <mc:Fallback>
          <w:pict>
            <v:shape id="文本框 1026" o:spid="_x0000_s1026" o:spt="202" type="#_x0000_t202" style="position:absolute;left:0pt;margin-left:-25.8pt;height:144pt;width:144pt;mso-position-horizontal-relative:margin;mso-position-vertical:outside;mso-position-vertical-relative:margin;mso-wrap-style:none;z-index:251659264;mso-width-relative:page;mso-height-relative:page;" filled="f" stroked="f" coordsize="21600,21600" o:gfxdata="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zB3+XYAAAA&#10;CAEAAA8AAAAAAAAAAQAgAAAAIgAAAGRycy9kb3ducmV2LnhtbFBLAQIUABQAAAAIAIdO4kDjgrhL&#10;5AEAAL0DAAAOAAAAAAAAAAEAIAAAACcBAABkcnMvZTJvRG9jLnhtbFBLBQYAAAAABgAGAFkBAAB9&#10;BQAAAAA=&#10;">
              <v:fill on="f" focussize="0,0"/>
              <v:stroke on="f"/>
              <v:imagedata o:title=""/>
              <o:lock v:ext="edit" aspectratio="f"/>
              <v:textbox inset="0mm,16pt,0mm,16pt" style="layout-flow:vertical-ideographic;mso-fit-shape-to-text:t;">
                <w:txbxContent>
                  <w:p w14:paraId="29E01EB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2E158">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C2B80"/>
    <w:rsid w:val="00377C5F"/>
    <w:rsid w:val="03023352"/>
    <w:rsid w:val="06BC2B80"/>
    <w:rsid w:val="1A4642CC"/>
    <w:rsid w:val="1EE76612"/>
    <w:rsid w:val="213205C7"/>
    <w:rsid w:val="236B55A2"/>
    <w:rsid w:val="2DF50CCF"/>
    <w:rsid w:val="2F90337D"/>
    <w:rsid w:val="2FCF03B6"/>
    <w:rsid w:val="31B97806"/>
    <w:rsid w:val="356E6D0E"/>
    <w:rsid w:val="39442D70"/>
    <w:rsid w:val="479C4955"/>
    <w:rsid w:val="4AC601C1"/>
    <w:rsid w:val="659A77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line="700" w:lineRule="exact"/>
      <w:jc w:val="left"/>
      <w:outlineLvl w:val="0"/>
    </w:pPr>
    <w:rPr>
      <w:rFonts w:hint="eastAsia" w:eastAsia="方正小标宋_GBK"/>
      <w:kern w:val="44"/>
      <w:sz w:val="44"/>
      <w:szCs w:val="44"/>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云南省交通运输厅</Company>
  <Pages>3</Pages>
  <Words>1594</Words>
  <Characters>1665</Characters>
  <Lines>0</Lines>
  <Paragraphs>0</Paragraphs>
  <TotalTime>0</TotalTime>
  <ScaleCrop>false</ScaleCrop>
  <LinksUpToDate>false</LinksUpToDate>
  <CharactersWithSpaces>1668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2024-06-03T09:03:00Z</dcterms:created>
  <dc:creator>admin</dc:creator>
  <cp:lastModifiedBy>闷喊团</cp:lastModifiedBy>
  <dcterms:modified xsi:type="dcterms:W3CDTF">2025-01-15T07:19:58Z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AAFB9117D3D64D02902FBDA72C5AAAF4_13</vt:lpwstr>
  </property>
</Properties>
</file>