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val="0"/>
        <w:kinsoku/>
        <w:wordWrap/>
        <w:overflowPunct/>
        <w:topLinePunct w:val="0"/>
        <w:autoSpaceDE/>
        <w:autoSpaceDN/>
        <w:bidi w:val="0"/>
        <w:adjustRightInd/>
        <w:snapToGrid/>
        <w:spacing w:after="120"/>
        <w:rPr>
          <w:rFonts w:hint="eastAsia"/>
          <w:sz w:val="36"/>
          <w:szCs w:val="36"/>
          <w:lang w:val="en-US" w:eastAsia="zh-CN"/>
        </w:rPr>
      </w:pPr>
    </w:p>
    <w:p>
      <w:pPr>
        <w:pStyle w:val="4"/>
        <w:keepNext w:val="0"/>
        <w:keepLines w:val="0"/>
        <w:pageBreakBefore w:val="0"/>
        <w:widowControl w:val="0"/>
        <w:kinsoku/>
        <w:wordWrap/>
        <w:overflowPunct/>
        <w:topLinePunct w:val="0"/>
        <w:autoSpaceDE/>
        <w:autoSpaceDN/>
        <w:bidi w:val="0"/>
        <w:adjustRightInd/>
        <w:snapToGrid/>
        <w:spacing w:after="120"/>
        <w:rPr>
          <w:rFonts w:hint="eastAsia"/>
          <w:sz w:val="36"/>
          <w:szCs w:val="36"/>
          <w:lang w:val="en-US" w:eastAsia="zh-CN"/>
        </w:rPr>
      </w:pPr>
    </w:p>
    <w:p>
      <w:pPr>
        <w:pStyle w:val="4"/>
        <w:keepNext w:val="0"/>
        <w:keepLines w:val="0"/>
        <w:pageBreakBefore w:val="0"/>
        <w:widowControl w:val="0"/>
        <w:kinsoku/>
        <w:wordWrap/>
        <w:overflowPunct/>
        <w:topLinePunct w:val="0"/>
        <w:autoSpaceDE/>
        <w:autoSpaceDN/>
        <w:bidi w:val="0"/>
        <w:adjustRightInd/>
        <w:snapToGrid/>
        <w:spacing w:after="120"/>
        <w:rPr>
          <w:rFonts w:hint="eastAsia"/>
          <w:sz w:val="36"/>
          <w:szCs w:val="36"/>
          <w:lang w:val="en-US" w:eastAsia="zh-CN"/>
        </w:rPr>
      </w:pPr>
      <w:bookmarkStart w:id="0" w:name="_Toc30703"/>
      <w:bookmarkStart w:id="1" w:name="_Toc11312"/>
      <w:bookmarkStart w:id="2" w:name="_Toc27521"/>
      <w:bookmarkStart w:id="3" w:name="_Toc11474"/>
      <w:r>
        <w:rPr>
          <w:rFonts w:hint="eastAsia"/>
          <w:sz w:val="36"/>
          <w:szCs w:val="36"/>
          <w:lang w:val="en-US" w:eastAsia="zh-CN"/>
        </w:rPr>
        <w:t>《特种设备使用单位落实使用安全主体责任监督管理规定》</w:t>
      </w:r>
      <w:bookmarkEnd w:id="0"/>
      <w:bookmarkEnd w:id="1"/>
      <w:bookmarkEnd w:id="2"/>
      <w:bookmarkEnd w:id="3"/>
    </w:p>
    <w:p>
      <w:pPr>
        <w:pStyle w:val="4"/>
        <w:keepNext w:val="0"/>
        <w:keepLines w:val="0"/>
        <w:pageBreakBefore w:val="0"/>
        <w:widowControl w:val="0"/>
        <w:kinsoku/>
        <w:wordWrap/>
        <w:overflowPunct/>
        <w:topLinePunct w:val="0"/>
        <w:autoSpaceDE/>
        <w:autoSpaceDN/>
        <w:bidi w:val="0"/>
        <w:adjustRightInd/>
        <w:snapToGrid/>
        <w:spacing w:after="120"/>
        <w:rPr>
          <w:rFonts w:hint="eastAsia"/>
          <w:sz w:val="36"/>
          <w:szCs w:val="36"/>
          <w:lang w:val="en-US" w:eastAsia="zh-CN"/>
        </w:rPr>
      </w:pPr>
      <w:bookmarkStart w:id="4" w:name="_Toc15561"/>
      <w:bookmarkStart w:id="5" w:name="_Toc25813"/>
      <w:bookmarkStart w:id="6" w:name="_Toc25608"/>
      <w:bookmarkStart w:id="7" w:name="_Toc31649"/>
      <w:r>
        <w:rPr>
          <w:rFonts w:hint="eastAsia"/>
          <w:sz w:val="36"/>
          <w:szCs w:val="36"/>
          <w:lang w:val="en-US" w:eastAsia="zh-CN"/>
        </w:rPr>
        <w:t>（市场监管总局令第74号）</w:t>
      </w:r>
      <w:bookmarkEnd w:id="4"/>
      <w:bookmarkEnd w:id="5"/>
      <w:bookmarkEnd w:id="6"/>
      <w:bookmarkEnd w:id="7"/>
    </w:p>
    <w:p>
      <w:pPr>
        <w:bidi w:val="0"/>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方正小标宋_GBK" w:hAnsi="方正小标宋_GBK" w:eastAsia="方正小标宋_GBK" w:cs="方正小标宋_GBK"/>
          <w:sz w:val="52"/>
          <w:szCs w:val="52"/>
          <w:lang w:eastAsia="zh-CN"/>
        </w:rPr>
      </w:pPr>
      <w:r>
        <w:rPr>
          <w:rFonts w:hint="eastAsia" w:ascii="方正小标宋_GBK" w:hAnsi="方正小标宋_GBK" w:eastAsia="方正小标宋_GBK" w:cs="方正小标宋_GBK"/>
          <w:sz w:val="52"/>
          <w:szCs w:val="52"/>
          <w:lang w:val="en-US" w:eastAsia="zh-CN"/>
        </w:rPr>
        <w:t>配套文件</w:t>
      </w:r>
      <w:r>
        <w:rPr>
          <w:rFonts w:hint="eastAsia" w:ascii="方正小标宋_GBK" w:hAnsi="方正小标宋_GBK" w:eastAsia="方正小标宋_GBK" w:cs="方正小标宋_GBK"/>
          <w:sz w:val="52"/>
          <w:szCs w:val="52"/>
          <w:lang w:eastAsia="zh-CN"/>
        </w:rPr>
        <w:t>参考模板</w:t>
      </w:r>
    </w:p>
    <w:p>
      <w:pPr>
        <w:bidi w:val="0"/>
        <w:rPr>
          <w:rFonts w:hint="default"/>
          <w:lang w:eastAsia="zh-CN"/>
        </w:rPr>
      </w:pPr>
    </w:p>
    <w:p>
      <w:pPr>
        <w:bidi w:val="0"/>
        <w:rPr>
          <w:rFonts w:hint="default"/>
          <w:lang w:eastAsia="zh-CN"/>
        </w:rPr>
      </w:pPr>
    </w:p>
    <w:p>
      <w:pPr>
        <w:bidi w:val="0"/>
        <w:rPr>
          <w:rFonts w:hint="default"/>
          <w:lang w:eastAsia="zh-CN"/>
        </w:rPr>
      </w:pPr>
    </w:p>
    <w:p>
      <w:pPr>
        <w:bidi w:val="0"/>
        <w:rPr>
          <w:rFonts w:hint="default"/>
          <w:lang w:eastAsia="zh-CN"/>
        </w:rPr>
      </w:pPr>
      <w:bookmarkStart w:id="342" w:name="_GoBack"/>
      <w:bookmarkEnd w:id="342"/>
    </w:p>
    <w:p>
      <w:pPr>
        <w:bidi w:val="0"/>
        <w:rPr>
          <w:rFonts w:hint="default"/>
          <w:lang w:eastAsia="zh-CN"/>
        </w:rPr>
      </w:pPr>
    </w:p>
    <w:p>
      <w:pPr>
        <w:bidi w:val="0"/>
        <w:rPr>
          <w:rFonts w:hint="default"/>
          <w:lang w:eastAsia="zh-CN"/>
        </w:rPr>
      </w:pPr>
    </w:p>
    <w:p>
      <w:pPr>
        <w:bidi w:val="0"/>
        <w:rPr>
          <w:rFonts w:hint="default"/>
          <w:lang w:eastAsia="zh-CN"/>
        </w:rPr>
      </w:pPr>
    </w:p>
    <w:p>
      <w:pPr>
        <w:bidi w:val="0"/>
        <w:rPr>
          <w:rFonts w:hint="default"/>
          <w:lang w:eastAsia="zh-CN"/>
        </w:rPr>
      </w:pPr>
    </w:p>
    <w:p>
      <w:pPr>
        <w:pStyle w:val="2"/>
        <w:keepNext w:val="0"/>
        <w:keepLines w:val="0"/>
        <w:pageBreakBefore w:val="0"/>
        <w:kinsoku/>
        <w:wordWrap/>
        <w:overflowPunct/>
        <w:topLinePunct w:val="0"/>
        <w:autoSpaceDE/>
        <w:autoSpaceDN/>
        <w:bidi w:val="0"/>
        <w:adjustRightInd/>
        <w:snapToGrid/>
        <w:spacing w:after="120" w:line="240" w:lineRule="auto"/>
        <w:textAlignment w:val="auto"/>
        <w:rPr>
          <w:rFonts w:hint="default" w:ascii="Times New Roman" w:hAnsi="Times New Roman" w:cs="Times New Roman"/>
          <w:lang w:eastAsia="zh-CN"/>
        </w:rPr>
      </w:pPr>
    </w:p>
    <w:p>
      <w:pPr>
        <w:pStyle w:val="6"/>
        <w:keepNext w:val="0"/>
        <w:keepLines w:val="0"/>
        <w:pageBreakBefore w:val="0"/>
        <w:kinsoku/>
        <w:wordWrap/>
        <w:overflowPunct/>
        <w:topLinePunct w:val="0"/>
        <w:autoSpaceDE/>
        <w:autoSpaceDN/>
        <w:bidi w:val="0"/>
        <w:adjustRightInd/>
        <w:snapToGrid/>
        <w:spacing w:beforeLines="0" w:afterLines="0" w:line="240" w:lineRule="auto"/>
        <w:textAlignment w:val="auto"/>
        <w:rPr>
          <w:rFonts w:hint="eastAsia"/>
          <w:lang w:eastAsia="zh-CN"/>
        </w:rPr>
      </w:pPr>
      <w:r>
        <w:rPr>
          <w:rFonts w:hint="eastAsia"/>
          <w:lang w:eastAsia="zh-CN"/>
        </w:rPr>
        <w:t>云南省市场监督管理局</w:t>
      </w:r>
    </w:p>
    <w:p>
      <w:pPr>
        <w:pStyle w:val="6"/>
        <w:keepNext w:val="0"/>
        <w:keepLines w:val="0"/>
        <w:pageBreakBefore w:val="0"/>
        <w:kinsoku/>
        <w:wordWrap/>
        <w:overflowPunct/>
        <w:topLinePunct w:val="0"/>
        <w:autoSpaceDE/>
        <w:autoSpaceDN/>
        <w:bidi w:val="0"/>
        <w:adjustRightInd/>
        <w:snapToGrid/>
        <w:spacing w:beforeLines="0" w:afterLines="0" w:line="240" w:lineRule="auto"/>
        <w:textAlignment w:val="auto"/>
        <w:rPr>
          <w:rFonts w:hint="default"/>
          <w:lang w:val="en-US" w:eastAsia="zh-CN"/>
        </w:rPr>
      </w:pPr>
      <w:r>
        <w:rPr>
          <w:rFonts w:hint="eastAsia"/>
          <w:lang w:val="en-US" w:eastAsia="zh-CN"/>
        </w:rPr>
        <w:t>2023年5月</w:t>
      </w:r>
    </w:p>
    <w:p>
      <w:pPr>
        <w:pStyle w:val="4"/>
        <w:bidi w:val="0"/>
        <w:rPr>
          <w:rFonts w:ascii="宋体" w:hAnsi="宋体" w:eastAsia="宋体" w:cs="Times New Roman"/>
          <w:kern w:val="2"/>
          <w:sz w:val="21"/>
          <w:szCs w:val="32"/>
          <w:lang w:val="en-US" w:eastAsia="zh-CN" w:bidi="ar-SA"/>
        </w:rPr>
        <w:sectPr>
          <w:pgSz w:w="11906" w:h="16838"/>
          <w:pgMar w:top="1587" w:right="1417" w:bottom="1417" w:left="1417" w:header="851" w:footer="992" w:gutter="0"/>
          <w:pgNumType w:fmt="decimal" w:start="1"/>
          <w:cols w:space="0" w:num="1"/>
          <w:rtlGutter w:val="0"/>
          <w:docGrid w:type="lines" w:linePitch="446" w:charSpace="0"/>
        </w:sectPr>
      </w:pPr>
    </w:p>
    <w:p>
      <w:pPr>
        <w:pStyle w:val="9"/>
        <w:keepNext w:val="0"/>
        <w:keepLines w:val="0"/>
        <w:pageBreakBefore w:val="0"/>
        <w:widowControl w:val="0"/>
        <w:tabs>
          <w:tab w:val="right" w:leader="dot" w:pos="9072"/>
        </w:tabs>
        <w:kinsoku/>
        <w:wordWrap/>
        <w:overflowPunct/>
        <w:topLinePunct w:val="0"/>
        <w:autoSpaceDE/>
        <w:autoSpaceDN/>
        <w:bidi w:val="0"/>
        <w:adjustRightInd/>
        <w:snapToGrid/>
        <w:ind w:firstLine="0" w:firstLineChars="0"/>
        <w:jc w:val="center"/>
        <w:textAlignment w:val="auto"/>
        <w:rPr>
          <w:rStyle w:val="18"/>
        </w:rPr>
      </w:pPr>
      <w:bookmarkStart w:id="8" w:name="_Toc10752"/>
      <w:bookmarkStart w:id="9" w:name="_Toc7564_WPSOffice_Level1"/>
      <w:bookmarkStart w:id="10" w:name="_Toc1599_WPSOffice_Level1"/>
      <w:r>
        <w:rPr>
          <w:rFonts w:hint="eastAsia"/>
          <w:lang w:val="en-US" w:eastAsia="zh-CN"/>
        </w:rPr>
        <w:fldChar w:fldCharType="begin"/>
      </w:r>
      <w:r>
        <w:rPr>
          <w:rFonts w:hint="eastAsia"/>
          <w:lang w:val="en-US" w:eastAsia="zh-CN"/>
        </w:rPr>
        <w:instrText xml:space="preserve">TOC \o "1-2" \h \u </w:instrText>
      </w:r>
      <w:r>
        <w:rPr>
          <w:rFonts w:hint="eastAsia"/>
          <w:lang w:val="en-US" w:eastAsia="zh-CN"/>
        </w:rPr>
        <w:fldChar w:fldCharType="separate"/>
      </w:r>
      <w:r>
        <w:rPr>
          <w:rStyle w:val="18"/>
          <w:rFonts w:hint="eastAsia"/>
          <w:lang w:val="en-US" w:eastAsia="zh-CN"/>
        </w:rPr>
        <w:t>目录</w:t>
      </w:r>
    </w:p>
    <w:p>
      <w:pPr>
        <w:pStyle w:val="9"/>
        <w:keepNext w:val="0"/>
        <w:keepLines w:val="0"/>
        <w:pageBreakBefore w:val="0"/>
        <w:widowControl w:val="0"/>
        <w:tabs>
          <w:tab w:val="right" w:leader="dot" w:pos="9072"/>
        </w:tabs>
        <w:kinsoku/>
        <w:wordWrap/>
        <w:overflowPunct/>
        <w:topLinePunct w:val="0"/>
        <w:autoSpaceDE/>
        <w:autoSpaceDN/>
        <w:bidi w:val="0"/>
        <w:adjustRightInd/>
        <w:snapToGrid/>
        <w:spacing w:line="240" w:lineRule="auto"/>
        <w:ind w:left="0" w:leftChars="0" w:firstLine="0" w:firstLineChars="0"/>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lang w:val="en-US" w:eastAsia="zh-CN"/>
        </w:rPr>
        <w:fldChar w:fldCharType="begin"/>
      </w:r>
      <w:r>
        <w:rPr>
          <w:rFonts w:hint="eastAsia" w:asciiTheme="minorEastAsia" w:hAnsiTheme="minorEastAsia" w:eastAsiaTheme="minorEastAsia" w:cstheme="minorEastAsia"/>
          <w:b/>
          <w:bCs/>
          <w:sz w:val="28"/>
          <w:szCs w:val="28"/>
          <w:lang w:val="en-US" w:eastAsia="zh-CN"/>
        </w:rPr>
        <w:instrText xml:space="preserve"> HYPERLINK \l _Toc20097 </w:instrText>
      </w:r>
      <w:r>
        <w:rPr>
          <w:rFonts w:hint="eastAsia" w:asciiTheme="minorEastAsia" w:hAnsiTheme="minorEastAsia" w:eastAsiaTheme="minorEastAsia" w:cstheme="minorEastAsia"/>
          <w:b/>
          <w:bCs/>
          <w:sz w:val="28"/>
          <w:szCs w:val="28"/>
          <w:lang w:val="en-US" w:eastAsia="zh-CN"/>
        </w:rPr>
        <w:fldChar w:fldCharType="separate"/>
      </w:r>
      <w:r>
        <w:rPr>
          <w:rFonts w:hint="eastAsia" w:asciiTheme="minorEastAsia" w:hAnsiTheme="minorEastAsia" w:eastAsiaTheme="minorEastAsia" w:cstheme="minorEastAsia"/>
          <w:b/>
          <w:bCs/>
          <w:sz w:val="28"/>
          <w:szCs w:val="28"/>
          <w:lang w:val="en-US" w:eastAsia="zh-CN"/>
        </w:rPr>
        <w:t>一、特种设备使用单位安全总监职责</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_Toc20097 \h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3</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lang w:val="en-US" w:eastAsia="zh-CN"/>
        </w:rPr>
        <w:fldChar w:fldCharType="end"/>
      </w:r>
    </w:p>
    <w:p>
      <w:pPr>
        <w:pStyle w:val="9"/>
        <w:keepNext w:val="0"/>
        <w:keepLines w:val="0"/>
        <w:pageBreakBefore w:val="0"/>
        <w:widowControl w:val="0"/>
        <w:tabs>
          <w:tab w:val="right" w:leader="dot" w:pos="9072"/>
        </w:tabs>
        <w:kinsoku/>
        <w:wordWrap/>
        <w:overflowPunct/>
        <w:topLinePunct w:val="0"/>
        <w:autoSpaceDE/>
        <w:autoSpaceDN/>
        <w:bidi w:val="0"/>
        <w:adjustRightInd/>
        <w:snapToGrid/>
        <w:spacing w:line="240" w:lineRule="auto"/>
        <w:ind w:left="0" w:left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fldChar w:fldCharType="begin"/>
      </w:r>
      <w:r>
        <w:rPr>
          <w:rFonts w:hint="eastAsia" w:asciiTheme="minorEastAsia" w:hAnsiTheme="minorEastAsia" w:eastAsiaTheme="minorEastAsia" w:cstheme="minorEastAsia"/>
          <w:sz w:val="21"/>
          <w:szCs w:val="21"/>
          <w:lang w:val="en-US" w:eastAsia="zh-CN"/>
        </w:rPr>
        <w:instrText xml:space="preserve"> HYPERLINK \l _Toc12467 </w:instrText>
      </w:r>
      <w:r>
        <w:rPr>
          <w:rFonts w:hint="eastAsia" w:asciiTheme="minorEastAsia" w:hAnsiTheme="minorEastAsia" w:eastAsiaTheme="minorEastAsia" w:cstheme="minorEastAsia"/>
          <w:sz w:val="21"/>
          <w:szCs w:val="21"/>
          <w:lang w:val="en-US" w:eastAsia="zh-CN"/>
        </w:rPr>
        <w:fldChar w:fldCharType="separate"/>
      </w:r>
      <w:r>
        <w:rPr>
          <w:rFonts w:hint="eastAsia" w:asciiTheme="minorEastAsia" w:hAnsiTheme="minorEastAsia" w:eastAsiaTheme="minorEastAsia" w:cstheme="minorEastAsia"/>
          <w:sz w:val="21"/>
          <w:szCs w:val="21"/>
          <w:lang w:val="zh-TW"/>
        </w:rPr>
        <w:t>锅炉安全总监职责</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_Toc12467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4</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lang w:val="en-US" w:eastAsia="zh-CN"/>
        </w:rPr>
        <w:fldChar w:fldCharType="end"/>
      </w:r>
    </w:p>
    <w:p>
      <w:pPr>
        <w:pStyle w:val="9"/>
        <w:keepNext w:val="0"/>
        <w:keepLines w:val="0"/>
        <w:pageBreakBefore w:val="0"/>
        <w:widowControl w:val="0"/>
        <w:tabs>
          <w:tab w:val="right" w:leader="dot" w:pos="9072"/>
        </w:tabs>
        <w:kinsoku/>
        <w:wordWrap/>
        <w:overflowPunct/>
        <w:topLinePunct w:val="0"/>
        <w:autoSpaceDE/>
        <w:autoSpaceDN/>
        <w:bidi w:val="0"/>
        <w:adjustRightInd/>
        <w:snapToGrid/>
        <w:spacing w:line="240" w:lineRule="auto"/>
        <w:ind w:left="0" w:left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fldChar w:fldCharType="begin"/>
      </w:r>
      <w:r>
        <w:rPr>
          <w:rFonts w:hint="eastAsia" w:asciiTheme="minorEastAsia" w:hAnsiTheme="minorEastAsia" w:eastAsiaTheme="minorEastAsia" w:cstheme="minorEastAsia"/>
          <w:sz w:val="21"/>
          <w:szCs w:val="21"/>
          <w:lang w:val="en-US" w:eastAsia="zh-CN"/>
        </w:rPr>
        <w:instrText xml:space="preserve"> HYPERLINK \l _Toc24153 </w:instrText>
      </w:r>
      <w:r>
        <w:rPr>
          <w:rFonts w:hint="eastAsia" w:asciiTheme="minorEastAsia" w:hAnsiTheme="minorEastAsia" w:eastAsiaTheme="minorEastAsia" w:cstheme="minorEastAsia"/>
          <w:sz w:val="21"/>
          <w:szCs w:val="21"/>
          <w:lang w:val="en-US" w:eastAsia="zh-CN"/>
        </w:rPr>
        <w:fldChar w:fldCharType="separate"/>
      </w:r>
      <w:r>
        <w:rPr>
          <w:rFonts w:hint="eastAsia" w:asciiTheme="minorEastAsia" w:hAnsiTheme="minorEastAsia" w:eastAsiaTheme="minorEastAsia" w:cstheme="minorEastAsia"/>
          <w:sz w:val="21"/>
          <w:szCs w:val="21"/>
          <w:lang w:val="zh-TW"/>
        </w:rPr>
        <w:t>压力容器安全总监职责</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_Toc24153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6</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lang w:val="en-US" w:eastAsia="zh-CN"/>
        </w:rPr>
        <w:fldChar w:fldCharType="end"/>
      </w:r>
    </w:p>
    <w:p>
      <w:pPr>
        <w:pStyle w:val="9"/>
        <w:keepNext w:val="0"/>
        <w:keepLines w:val="0"/>
        <w:pageBreakBefore w:val="0"/>
        <w:widowControl w:val="0"/>
        <w:tabs>
          <w:tab w:val="right" w:leader="dot" w:pos="9072"/>
        </w:tabs>
        <w:kinsoku/>
        <w:wordWrap/>
        <w:overflowPunct/>
        <w:topLinePunct w:val="0"/>
        <w:autoSpaceDE/>
        <w:autoSpaceDN/>
        <w:bidi w:val="0"/>
        <w:adjustRightInd/>
        <w:snapToGrid/>
        <w:spacing w:line="240" w:lineRule="auto"/>
        <w:ind w:left="0" w:left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fldChar w:fldCharType="begin"/>
      </w:r>
      <w:r>
        <w:rPr>
          <w:rFonts w:hint="eastAsia" w:asciiTheme="minorEastAsia" w:hAnsiTheme="minorEastAsia" w:eastAsiaTheme="minorEastAsia" w:cstheme="minorEastAsia"/>
          <w:sz w:val="21"/>
          <w:szCs w:val="21"/>
          <w:lang w:val="en-US" w:eastAsia="zh-CN"/>
        </w:rPr>
        <w:instrText xml:space="preserve"> HYPERLINK \l _Toc27301 </w:instrText>
      </w:r>
      <w:r>
        <w:rPr>
          <w:rFonts w:hint="eastAsia" w:asciiTheme="minorEastAsia" w:hAnsiTheme="minorEastAsia" w:eastAsiaTheme="minorEastAsia" w:cstheme="minorEastAsia"/>
          <w:sz w:val="21"/>
          <w:szCs w:val="21"/>
          <w:lang w:val="en-US" w:eastAsia="zh-CN"/>
        </w:rPr>
        <w:fldChar w:fldCharType="separate"/>
      </w:r>
      <w:r>
        <w:rPr>
          <w:rFonts w:hint="eastAsia" w:asciiTheme="minorEastAsia" w:hAnsiTheme="minorEastAsia" w:eastAsiaTheme="minorEastAsia" w:cstheme="minorEastAsia"/>
          <w:sz w:val="21"/>
          <w:szCs w:val="21"/>
          <w:lang w:val="zh-TW"/>
        </w:rPr>
        <w:t>气瓶充装安全总监职责</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_Toc27301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8</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lang w:val="en-US" w:eastAsia="zh-CN"/>
        </w:rPr>
        <w:fldChar w:fldCharType="end"/>
      </w:r>
    </w:p>
    <w:p>
      <w:pPr>
        <w:pStyle w:val="9"/>
        <w:keepNext w:val="0"/>
        <w:keepLines w:val="0"/>
        <w:pageBreakBefore w:val="0"/>
        <w:widowControl w:val="0"/>
        <w:tabs>
          <w:tab w:val="right" w:leader="dot" w:pos="9072"/>
        </w:tabs>
        <w:kinsoku/>
        <w:wordWrap/>
        <w:overflowPunct/>
        <w:topLinePunct w:val="0"/>
        <w:autoSpaceDE/>
        <w:autoSpaceDN/>
        <w:bidi w:val="0"/>
        <w:adjustRightInd/>
        <w:snapToGrid/>
        <w:spacing w:line="240" w:lineRule="auto"/>
        <w:ind w:left="0" w:left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fldChar w:fldCharType="begin"/>
      </w:r>
      <w:r>
        <w:rPr>
          <w:rFonts w:hint="eastAsia" w:asciiTheme="minorEastAsia" w:hAnsiTheme="minorEastAsia" w:eastAsiaTheme="minorEastAsia" w:cstheme="minorEastAsia"/>
          <w:sz w:val="21"/>
          <w:szCs w:val="21"/>
          <w:lang w:val="en-US" w:eastAsia="zh-CN"/>
        </w:rPr>
        <w:instrText xml:space="preserve"> HYPERLINK \l _Toc4155 </w:instrText>
      </w:r>
      <w:r>
        <w:rPr>
          <w:rFonts w:hint="eastAsia" w:asciiTheme="minorEastAsia" w:hAnsiTheme="minorEastAsia" w:eastAsiaTheme="minorEastAsia" w:cstheme="minorEastAsia"/>
          <w:sz w:val="21"/>
          <w:szCs w:val="21"/>
          <w:lang w:val="en-US" w:eastAsia="zh-CN"/>
        </w:rPr>
        <w:fldChar w:fldCharType="separate"/>
      </w:r>
      <w:r>
        <w:rPr>
          <w:rFonts w:hint="eastAsia" w:asciiTheme="minorEastAsia" w:hAnsiTheme="minorEastAsia" w:eastAsiaTheme="minorEastAsia" w:cstheme="minorEastAsia"/>
          <w:sz w:val="21"/>
          <w:szCs w:val="21"/>
          <w:lang w:val="zh-TW"/>
        </w:rPr>
        <w:t>压力管道安全总监职责</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_Toc4155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10</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lang w:val="en-US" w:eastAsia="zh-CN"/>
        </w:rPr>
        <w:fldChar w:fldCharType="end"/>
      </w:r>
    </w:p>
    <w:p>
      <w:pPr>
        <w:pStyle w:val="9"/>
        <w:keepNext w:val="0"/>
        <w:keepLines w:val="0"/>
        <w:pageBreakBefore w:val="0"/>
        <w:widowControl w:val="0"/>
        <w:tabs>
          <w:tab w:val="right" w:leader="dot" w:pos="9072"/>
        </w:tabs>
        <w:kinsoku/>
        <w:wordWrap/>
        <w:overflowPunct/>
        <w:topLinePunct w:val="0"/>
        <w:autoSpaceDE/>
        <w:autoSpaceDN/>
        <w:bidi w:val="0"/>
        <w:adjustRightInd/>
        <w:snapToGrid/>
        <w:spacing w:line="240" w:lineRule="auto"/>
        <w:ind w:left="0" w:left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fldChar w:fldCharType="begin"/>
      </w:r>
      <w:r>
        <w:rPr>
          <w:rFonts w:hint="eastAsia" w:asciiTheme="minorEastAsia" w:hAnsiTheme="minorEastAsia" w:eastAsiaTheme="minorEastAsia" w:cstheme="minorEastAsia"/>
          <w:sz w:val="21"/>
          <w:szCs w:val="21"/>
          <w:lang w:val="en-US" w:eastAsia="zh-CN"/>
        </w:rPr>
        <w:instrText xml:space="preserve"> HYPERLINK \l _Toc24955 </w:instrText>
      </w:r>
      <w:r>
        <w:rPr>
          <w:rFonts w:hint="eastAsia" w:asciiTheme="minorEastAsia" w:hAnsiTheme="minorEastAsia" w:eastAsiaTheme="minorEastAsia" w:cstheme="minorEastAsia"/>
          <w:sz w:val="21"/>
          <w:szCs w:val="21"/>
          <w:lang w:val="en-US" w:eastAsia="zh-CN"/>
        </w:rPr>
        <w:fldChar w:fldCharType="separate"/>
      </w:r>
      <w:r>
        <w:rPr>
          <w:rFonts w:hint="eastAsia" w:asciiTheme="minorEastAsia" w:hAnsiTheme="minorEastAsia" w:eastAsiaTheme="minorEastAsia" w:cstheme="minorEastAsia"/>
          <w:sz w:val="21"/>
          <w:szCs w:val="21"/>
          <w:lang w:val="zh-TW"/>
        </w:rPr>
        <w:t>电梯安全总监职责</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_Toc24955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12</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lang w:val="en-US" w:eastAsia="zh-CN"/>
        </w:rPr>
        <w:fldChar w:fldCharType="end"/>
      </w:r>
    </w:p>
    <w:p>
      <w:pPr>
        <w:pStyle w:val="9"/>
        <w:keepNext w:val="0"/>
        <w:keepLines w:val="0"/>
        <w:pageBreakBefore w:val="0"/>
        <w:widowControl w:val="0"/>
        <w:tabs>
          <w:tab w:val="right" w:leader="dot" w:pos="9072"/>
        </w:tabs>
        <w:kinsoku/>
        <w:wordWrap/>
        <w:overflowPunct/>
        <w:topLinePunct w:val="0"/>
        <w:autoSpaceDE/>
        <w:autoSpaceDN/>
        <w:bidi w:val="0"/>
        <w:adjustRightInd/>
        <w:snapToGrid/>
        <w:spacing w:line="240" w:lineRule="auto"/>
        <w:ind w:left="0" w:left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fldChar w:fldCharType="begin"/>
      </w:r>
      <w:r>
        <w:rPr>
          <w:rFonts w:hint="eastAsia" w:asciiTheme="minorEastAsia" w:hAnsiTheme="minorEastAsia" w:eastAsiaTheme="minorEastAsia" w:cstheme="minorEastAsia"/>
          <w:sz w:val="21"/>
          <w:szCs w:val="21"/>
          <w:lang w:val="en-US" w:eastAsia="zh-CN"/>
        </w:rPr>
        <w:instrText xml:space="preserve"> HYPERLINK \l _Toc866 </w:instrText>
      </w:r>
      <w:r>
        <w:rPr>
          <w:rFonts w:hint="eastAsia" w:asciiTheme="minorEastAsia" w:hAnsiTheme="minorEastAsia" w:eastAsiaTheme="minorEastAsia" w:cstheme="minorEastAsia"/>
          <w:sz w:val="21"/>
          <w:szCs w:val="21"/>
          <w:lang w:val="en-US" w:eastAsia="zh-CN"/>
        </w:rPr>
        <w:fldChar w:fldCharType="separate"/>
      </w:r>
      <w:r>
        <w:rPr>
          <w:rFonts w:hint="eastAsia" w:asciiTheme="minorEastAsia" w:hAnsiTheme="minorEastAsia" w:eastAsiaTheme="minorEastAsia" w:cstheme="minorEastAsia"/>
          <w:sz w:val="21"/>
          <w:szCs w:val="21"/>
          <w:lang w:val="zh-TW"/>
        </w:rPr>
        <w:t>起重机械安全总监职责</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_Toc866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14</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lang w:val="en-US" w:eastAsia="zh-CN"/>
        </w:rPr>
        <w:fldChar w:fldCharType="end"/>
      </w:r>
    </w:p>
    <w:p>
      <w:pPr>
        <w:pStyle w:val="9"/>
        <w:keepNext w:val="0"/>
        <w:keepLines w:val="0"/>
        <w:pageBreakBefore w:val="0"/>
        <w:widowControl w:val="0"/>
        <w:tabs>
          <w:tab w:val="right" w:leader="dot" w:pos="9072"/>
        </w:tabs>
        <w:kinsoku/>
        <w:wordWrap/>
        <w:overflowPunct/>
        <w:topLinePunct w:val="0"/>
        <w:autoSpaceDE/>
        <w:autoSpaceDN/>
        <w:bidi w:val="0"/>
        <w:adjustRightInd/>
        <w:snapToGrid/>
        <w:spacing w:line="240" w:lineRule="auto"/>
        <w:ind w:left="0" w:left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fldChar w:fldCharType="begin"/>
      </w:r>
      <w:r>
        <w:rPr>
          <w:rFonts w:hint="eastAsia" w:asciiTheme="minorEastAsia" w:hAnsiTheme="minorEastAsia" w:eastAsiaTheme="minorEastAsia" w:cstheme="minorEastAsia"/>
          <w:sz w:val="21"/>
          <w:szCs w:val="21"/>
          <w:lang w:val="en-US" w:eastAsia="zh-CN"/>
        </w:rPr>
        <w:instrText xml:space="preserve"> HYPERLINK \l _Toc2474 </w:instrText>
      </w:r>
      <w:r>
        <w:rPr>
          <w:rFonts w:hint="eastAsia" w:asciiTheme="minorEastAsia" w:hAnsiTheme="minorEastAsia" w:eastAsiaTheme="minorEastAsia" w:cstheme="minorEastAsia"/>
          <w:sz w:val="21"/>
          <w:szCs w:val="21"/>
          <w:lang w:val="en-US" w:eastAsia="zh-CN"/>
        </w:rPr>
        <w:fldChar w:fldCharType="separate"/>
      </w:r>
      <w:r>
        <w:rPr>
          <w:rFonts w:hint="eastAsia" w:asciiTheme="minorEastAsia" w:hAnsiTheme="minorEastAsia" w:eastAsiaTheme="minorEastAsia" w:cstheme="minorEastAsia"/>
          <w:sz w:val="21"/>
          <w:szCs w:val="21"/>
          <w:lang w:val="zh-TW"/>
        </w:rPr>
        <w:t>客运索道安全总监职责</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_Toc2474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16</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lang w:val="en-US" w:eastAsia="zh-CN"/>
        </w:rPr>
        <w:fldChar w:fldCharType="end"/>
      </w:r>
    </w:p>
    <w:p>
      <w:pPr>
        <w:pStyle w:val="9"/>
        <w:keepNext w:val="0"/>
        <w:keepLines w:val="0"/>
        <w:pageBreakBefore w:val="0"/>
        <w:widowControl w:val="0"/>
        <w:tabs>
          <w:tab w:val="right" w:leader="dot" w:pos="9072"/>
        </w:tabs>
        <w:kinsoku/>
        <w:wordWrap/>
        <w:overflowPunct/>
        <w:topLinePunct w:val="0"/>
        <w:autoSpaceDE/>
        <w:autoSpaceDN/>
        <w:bidi w:val="0"/>
        <w:adjustRightInd/>
        <w:snapToGrid/>
        <w:spacing w:line="240" w:lineRule="auto"/>
        <w:ind w:left="0" w:left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fldChar w:fldCharType="begin"/>
      </w:r>
      <w:r>
        <w:rPr>
          <w:rFonts w:hint="eastAsia" w:asciiTheme="minorEastAsia" w:hAnsiTheme="minorEastAsia" w:eastAsiaTheme="minorEastAsia" w:cstheme="minorEastAsia"/>
          <w:sz w:val="21"/>
          <w:szCs w:val="21"/>
          <w:lang w:val="en-US" w:eastAsia="zh-CN"/>
        </w:rPr>
        <w:instrText xml:space="preserve"> HYPERLINK \l _Toc27660 </w:instrText>
      </w:r>
      <w:r>
        <w:rPr>
          <w:rFonts w:hint="eastAsia" w:asciiTheme="minorEastAsia" w:hAnsiTheme="minorEastAsia" w:eastAsiaTheme="minorEastAsia" w:cstheme="minorEastAsia"/>
          <w:sz w:val="21"/>
          <w:szCs w:val="21"/>
          <w:lang w:val="en-US" w:eastAsia="zh-CN"/>
        </w:rPr>
        <w:fldChar w:fldCharType="separate"/>
      </w:r>
      <w:r>
        <w:rPr>
          <w:rFonts w:hint="eastAsia" w:asciiTheme="minorEastAsia" w:hAnsiTheme="minorEastAsia" w:eastAsiaTheme="minorEastAsia" w:cstheme="minorEastAsia"/>
          <w:sz w:val="21"/>
          <w:szCs w:val="21"/>
          <w:lang w:val="zh-TW"/>
        </w:rPr>
        <w:t>大型游乐设施安全总监职责</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_Toc27660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18</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lang w:val="en-US" w:eastAsia="zh-CN"/>
        </w:rPr>
        <w:fldChar w:fldCharType="end"/>
      </w:r>
    </w:p>
    <w:p>
      <w:pPr>
        <w:pStyle w:val="9"/>
        <w:keepNext w:val="0"/>
        <w:keepLines w:val="0"/>
        <w:pageBreakBefore w:val="0"/>
        <w:widowControl w:val="0"/>
        <w:tabs>
          <w:tab w:val="right" w:leader="dot" w:pos="9072"/>
        </w:tabs>
        <w:kinsoku/>
        <w:wordWrap/>
        <w:overflowPunct/>
        <w:topLinePunct w:val="0"/>
        <w:autoSpaceDE/>
        <w:autoSpaceDN/>
        <w:bidi w:val="0"/>
        <w:adjustRightInd/>
        <w:snapToGrid/>
        <w:spacing w:line="240" w:lineRule="auto"/>
        <w:ind w:left="0" w:left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fldChar w:fldCharType="begin"/>
      </w:r>
      <w:r>
        <w:rPr>
          <w:rFonts w:hint="eastAsia" w:asciiTheme="minorEastAsia" w:hAnsiTheme="minorEastAsia" w:eastAsiaTheme="minorEastAsia" w:cstheme="minorEastAsia"/>
          <w:sz w:val="21"/>
          <w:szCs w:val="21"/>
          <w:lang w:val="en-US" w:eastAsia="zh-CN"/>
        </w:rPr>
        <w:instrText xml:space="preserve"> HYPERLINK \l _Toc31142 </w:instrText>
      </w:r>
      <w:r>
        <w:rPr>
          <w:rFonts w:hint="eastAsia" w:asciiTheme="minorEastAsia" w:hAnsiTheme="minorEastAsia" w:eastAsiaTheme="minorEastAsia" w:cstheme="minorEastAsia"/>
          <w:sz w:val="21"/>
          <w:szCs w:val="21"/>
          <w:lang w:val="en-US" w:eastAsia="zh-CN"/>
        </w:rPr>
        <w:fldChar w:fldCharType="separate"/>
      </w:r>
      <w:r>
        <w:rPr>
          <w:rFonts w:hint="eastAsia" w:asciiTheme="minorEastAsia" w:hAnsiTheme="minorEastAsia" w:eastAsiaTheme="minorEastAsia" w:cstheme="minorEastAsia"/>
          <w:sz w:val="21"/>
          <w:szCs w:val="21"/>
          <w:lang w:val="zh-TW"/>
        </w:rPr>
        <w:t>场车安全总监职责</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_Toc31142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20</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lang w:val="en-US" w:eastAsia="zh-CN"/>
        </w:rPr>
        <w:fldChar w:fldCharType="end"/>
      </w:r>
    </w:p>
    <w:p>
      <w:pPr>
        <w:pStyle w:val="9"/>
        <w:keepNext w:val="0"/>
        <w:keepLines w:val="0"/>
        <w:pageBreakBefore w:val="0"/>
        <w:widowControl w:val="0"/>
        <w:tabs>
          <w:tab w:val="right" w:leader="dot" w:pos="9072"/>
        </w:tabs>
        <w:kinsoku/>
        <w:wordWrap/>
        <w:overflowPunct/>
        <w:topLinePunct w:val="0"/>
        <w:autoSpaceDE/>
        <w:autoSpaceDN/>
        <w:bidi w:val="0"/>
        <w:adjustRightInd/>
        <w:snapToGrid/>
        <w:spacing w:line="240" w:lineRule="auto"/>
        <w:ind w:left="0" w:leftChars="0" w:firstLine="0" w:firstLineChars="0"/>
        <w:textAlignment w:val="auto"/>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fldChar w:fldCharType="begin"/>
      </w:r>
      <w:r>
        <w:rPr>
          <w:rFonts w:hint="eastAsia" w:asciiTheme="minorEastAsia" w:hAnsiTheme="minorEastAsia" w:eastAsiaTheme="minorEastAsia" w:cstheme="minorEastAsia"/>
          <w:b/>
          <w:bCs/>
          <w:sz w:val="28"/>
          <w:szCs w:val="28"/>
          <w:lang w:val="en-US" w:eastAsia="zh-CN"/>
        </w:rPr>
        <w:instrText xml:space="preserve"> HYPERLINK \l _Toc13639 </w:instrText>
      </w:r>
      <w:r>
        <w:rPr>
          <w:rFonts w:hint="eastAsia" w:asciiTheme="minorEastAsia" w:hAnsiTheme="minorEastAsia" w:eastAsiaTheme="minorEastAsia" w:cstheme="minorEastAsia"/>
          <w:b/>
          <w:bCs/>
          <w:sz w:val="28"/>
          <w:szCs w:val="28"/>
          <w:lang w:val="en-US" w:eastAsia="zh-CN"/>
        </w:rPr>
        <w:fldChar w:fldCharType="separate"/>
      </w:r>
      <w:r>
        <w:rPr>
          <w:rFonts w:hint="eastAsia" w:asciiTheme="minorEastAsia" w:hAnsiTheme="minorEastAsia" w:eastAsiaTheme="minorEastAsia" w:cstheme="minorEastAsia"/>
          <w:b/>
          <w:bCs/>
          <w:sz w:val="28"/>
          <w:szCs w:val="28"/>
          <w:lang w:val="en-US" w:eastAsia="zh-CN"/>
        </w:rPr>
        <w:t>二、特种设备使用单位安全员守则</w:t>
      </w:r>
      <w:r>
        <w:rPr>
          <w:rFonts w:hint="eastAsia" w:asciiTheme="minorEastAsia" w:hAnsiTheme="minorEastAsia" w:eastAsiaTheme="minorEastAsia" w:cstheme="minorEastAsia"/>
          <w:b/>
          <w:bCs/>
          <w:sz w:val="28"/>
          <w:szCs w:val="28"/>
          <w:lang w:val="en-US" w:eastAsia="zh-CN"/>
        </w:rPr>
        <w:tab/>
      </w:r>
      <w:r>
        <w:rPr>
          <w:rFonts w:hint="eastAsia" w:asciiTheme="minorEastAsia" w:hAnsiTheme="minorEastAsia" w:eastAsiaTheme="minorEastAsia" w:cstheme="minorEastAsia"/>
          <w:b/>
          <w:bCs/>
          <w:sz w:val="28"/>
          <w:szCs w:val="28"/>
          <w:lang w:val="en-US" w:eastAsia="zh-CN"/>
        </w:rPr>
        <w:fldChar w:fldCharType="begin"/>
      </w:r>
      <w:r>
        <w:rPr>
          <w:rFonts w:hint="eastAsia" w:asciiTheme="minorEastAsia" w:hAnsiTheme="minorEastAsia" w:eastAsiaTheme="minorEastAsia" w:cstheme="minorEastAsia"/>
          <w:b/>
          <w:bCs/>
          <w:sz w:val="28"/>
          <w:szCs w:val="28"/>
          <w:lang w:val="en-US" w:eastAsia="zh-CN"/>
        </w:rPr>
        <w:instrText xml:space="preserve"> PAGEREF _Toc13639 \h </w:instrText>
      </w:r>
      <w:r>
        <w:rPr>
          <w:rFonts w:hint="eastAsia" w:asciiTheme="minorEastAsia" w:hAnsiTheme="minorEastAsia" w:eastAsiaTheme="minorEastAsia" w:cstheme="minorEastAsia"/>
          <w:b/>
          <w:bCs/>
          <w:sz w:val="28"/>
          <w:szCs w:val="28"/>
          <w:lang w:val="en-US" w:eastAsia="zh-CN"/>
        </w:rPr>
        <w:fldChar w:fldCharType="separate"/>
      </w:r>
      <w:r>
        <w:rPr>
          <w:rFonts w:hint="eastAsia" w:asciiTheme="minorEastAsia" w:hAnsiTheme="minorEastAsia" w:eastAsiaTheme="minorEastAsia" w:cstheme="minorEastAsia"/>
          <w:b/>
          <w:bCs/>
          <w:sz w:val="28"/>
          <w:szCs w:val="28"/>
          <w:lang w:val="en-US" w:eastAsia="zh-CN"/>
        </w:rPr>
        <w:t>22</w:t>
      </w:r>
      <w:r>
        <w:rPr>
          <w:rFonts w:hint="eastAsia" w:asciiTheme="minorEastAsia" w:hAnsiTheme="minorEastAsia" w:eastAsiaTheme="minorEastAsia" w:cstheme="minorEastAsia"/>
          <w:b/>
          <w:bCs/>
          <w:sz w:val="28"/>
          <w:szCs w:val="28"/>
          <w:lang w:val="en-US" w:eastAsia="zh-CN"/>
        </w:rPr>
        <w:fldChar w:fldCharType="end"/>
      </w:r>
      <w:r>
        <w:rPr>
          <w:rFonts w:hint="eastAsia" w:asciiTheme="minorEastAsia" w:hAnsiTheme="minorEastAsia" w:eastAsiaTheme="minorEastAsia" w:cstheme="minorEastAsia"/>
          <w:b/>
          <w:bCs/>
          <w:sz w:val="28"/>
          <w:szCs w:val="28"/>
          <w:lang w:val="en-US" w:eastAsia="zh-CN"/>
        </w:rPr>
        <w:fldChar w:fldCharType="end"/>
      </w:r>
    </w:p>
    <w:p>
      <w:pPr>
        <w:pStyle w:val="9"/>
        <w:keepNext w:val="0"/>
        <w:keepLines w:val="0"/>
        <w:pageBreakBefore w:val="0"/>
        <w:widowControl w:val="0"/>
        <w:tabs>
          <w:tab w:val="right" w:leader="dot" w:pos="9072"/>
        </w:tabs>
        <w:kinsoku/>
        <w:wordWrap/>
        <w:overflowPunct/>
        <w:topLinePunct w:val="0"/>
        <w:autoSpaceDE/>
        <w:autoSpaceDN/>
        <w:bidi w:val="0"/>
        <w:adjustRightInd/>
        <w:snapToGrid/>
        <w:spacing w:line="240" w:lineRule="auto"/>
        <w:ind w:left="0" w:left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fldChar w:fldCharType="begin"/>
      </w:r>
      <w:r>
        <w:rPr>
          <w:rFonts w:hint="eastAsia" w:asciiTheme="minorEastAsia" w:hAnsiTheme="minorEastAsia" w:eastAsiaTheme="minorEastAsia" w:cstheme="minorEastAsia"/>
          <w:sz w:val="21"/>
          <w:szCs w:val="21"/>
          <w:lang w:val="en-US" w:eastAsia="zh-CN"/>
        </w:rPr>
        <w:instrText xml:space="preserve"> HYPERLINK \l _Toc3340 </w:instrText>
      </w:r>
      <w:r>
        <w:rPr>
          <w:rFonts w:hint="eastAsia" w:asciiTheme="minorEastAsia" w:hAnsiTheme="minorEastAsia" w:eastAsiaTheme="minorEastAsia" w:cstheme="minorEastAsia"/>
          <w:sz w:val="21"/>
          <w:szCs w:val="21"/>
          <w:lang w:val="en-US" w:eastAsia="zh-CN"/>
        </w:rPr>
        <w:fldChar w:fldCharType="separate"/>
      </w:r>
      <w:r>
        <w:rPr>
          <w:rFonts w:hint="eastAsia" w:asciiTheme="minorEastAsia" w:hAnsiTheme="minorEastAsia" w:eastAsiaTheme="minorEastAsia" w:cstheme="minorEastAsia"/>
          <w:sz w:val="21"/>
          <w:szCs w:val="21"/>
        </w:rPr>
        <w:t>锅炉安全员守则</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_Toc3340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23</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lang w:val="en-US" w:eastAsia="zh-CN"/>
        </w:rPr>
        <w:fldChar w:fldCharType="end"/>
      </w:r>
    </w:p>
    <w:p>
      <w:pPr>
        <w:pStyle w:val="9"/>
        <w:keepNext w:val="0"/>
        <w:keepLines w:val="0"/>
        <w:pageBreakBefore w:val="0"/>
        <w:widowControl w:val="0"/>
        <w:tabs>
          <w:tab w:val="right" w:leader="dot" w:pos="9072"/>
        </w:tabs>
        <w:kinsoku/>
        <w:wordWrap/>
        <w:overflowPunct/>
        <w:topLinePunct w:val="0"/>
        <w:autoSpaceDE/>
        <w:autoSpaceDN/>
        <w:bidi w:val="0"/>
        <w:adjustRightInd/>
        <w:snapToGrid/>
        <w:spacing w:line="240" w:lineRule="auto"/>
        <w:ind w:left="0" w:left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fldChar w:fldCharType="begin"/>
      </w:r>
      <w:r>
        <w:rPr>
          <w:rFonts w:hint="eastAsia" w:asciiTheme="minorEastAsia" w:hAnsiTheme="minorEastAsia" w:eastAsiaTheme="minorEastAsia" w:cstheme="minorEastAsia"/>
          <w:sz w:val="21"/>
          <w:szCs w:val="21"/>
          <w:lang w:val="en-US" w:eastAsia="zh-CN"/>
        </w:rPr>
        <w:instrText xml:space="preserve"> HYPERLINK \l _Toc32244 </w:instrText>
      </w:r>
      <w:r>
        <w:rPr>
          <w:rFonts w:hint="eastAsia" w:asciiTheme="minorEastAsia" w:hAnsiTheme="minorEastAsia" w:eastAsiaTheme="minorEastAsia" w:cstheme="minorEastAsia"/>
          <w:sz w:val="21"/>
          <w:szCs w:val="21"/>
          <w:lang w:val="en-US" w:eastAsia="zh-CN"/>
        </w:rPr>
        <w:fldChar w:fldCharType="separate"/>
      </w:r>
      <w:r>
        <w:rPr>
          <w:rFonts w:hint="eastAsia" w:asciiTheme="minorEastAsia" w:hAnsiTheme="minorEastAsia" w:eastAsiaTheme="minorEastAsia" w:cstheme="minorEastAsia"/>
          <w:sz w:val="21"/>
          <w:szCs w:val="21"/>
        </w:rPr>
        <w:t>压力容器安全员守则</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_Toc32244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24</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lang w:val="en-US" w:eastAsia="zh-CN"/>
        </w:rPr>
        <w:fldChar w:fldCharType="end"/>
      </w:r>
    </w:p>
    <w:p>
      <w:pPr>
        <w:pStyle w:val="9"/>
        <w:keepNext w:val="0"/>
        <w:keepLines w:val="0"/>
        <w:pageBreakBefore w:val="0"/>
        <w:widowControl w:val="0"/>
        <w:tabs>
          <w:tab w:val="right" w:leader="dot" w:pos="9072"/>
        </w:tabs>
        <w:kinsoku/>
        <w:wordWrap/>
        <w:overflowPunct/>
        <w:topLinePunct w:val="0"/>
        <w:autoSpaceDE/>
        <w:autoSpaceDN/>
        <w:bidi w:val="0"/>
        <w:adjustRightInd/>
        <w:snapToGrid/>
        <w:spacing w:line="240" w:lineRule="auto"/>
        <w:ind w:left="0" w:left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fldChar w:fldCharType="begin"/>
      </w:r>
      <w:r>
        <w:rPr>
          <w:rFonts w:hint="eastAsia" w:asciiTheme="minorEastAsia" w:hAnsiTheme="minorEastAsia" w:eastAsiaTheme="minorEastAsia" w:cstheme="minorEastAsia"/>
          <w:sz w:val="21"/>
          <w:szCs w:val="21"/>
          <w:lang w:val="en-US" w:eastAsia="zh-CN"/>
        </w:rPr>
        <w:instrText xml:space="preserve"> HYPERLINK \l _Toc14855 </w:instrText>
      </w:r>
      <w:r>
        <w:rPr>
          <w:rFonts w:hint="eastAsia" w:asciiTheme="minorEastAsia" w:hAnsiTheme="minorEastAsia" w:eastAsiaTheme="minorEastAsia" w:cstheme="minorEastAsia"/>
          <w:sz w:val="21"/>
          <w:szCs w:val="21"/>
          <w:lang w:val="en-US" w:eastAsia="zh-CN"/>
        </w:rPr>
        <w:fldChar w:fldCharType="separate"/>
      </w:r>
      <w:r>
        <w:rPr>
          <w:rFonts w:hint="eastAsia" w:asciiTheme="minorEastAsia" w:hAnsiTheme="minorEastAsia" w:eastAsiaTheme="minorEastAsia" w:cstheme="minorEastAsia"/>
          <w:sz w:val="21"/>
          <w:szCs w:val="21"/>
          <w:lang w:val="zh-TW"/>
        </w:rPr>
        <w:t>气瓶充装安全员守则</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_Toc14855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25</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lang w:val="en-US" w:eastAsia="zh-CN"/>
        </w:rPr>
        <w:fldChar w:fldCharType="end"/>
      </w:r>
    </w:p>
    <w:p>
      <w:pPr>
        <w:pStyle w:val="9"/>
        <w:keepNext w:val="0"/>
        <w:keepLines w:val="0"/>
        <w:pageBreakBefore w:val="0"/>
        <w:widowControl w:val="0"/>
        <w:tabs>
          <w:tab w:val="right" w:leader="dot" w:pos="9072"/>
        </w:tabs>
        <w:kinsoku/>
        <w:wordWrap/>
        <w:overflowPunct/>
        <w:topLinePunct w:val="0"/>
        <w:autoSpaceDE/>
        <w:autoSpaceDN/>
        <w:bidi w:val="0"/>
        <w:adjustRightInd/>
        <w:snapToGrid/>
        <w:spacing w:line="240" w:lineRule="auto"/>
        <w:ind w:left="0" w:left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fldChar w:fldCharType="begin"/>
      </w:r>
      <w:r>
        <w:rPr>
          <w:rFonts w:hint="eastAsia" w:asciiTheme="minorEastAsia" w:hAnsiTheme="minorEastAsia" w:eastAsiaTheme="minorEastAsia" w:cstheme="minorEastAsia"/>
          <w:sz w:val="21"/>
          <w:szCs w:val="21"/>
          <w:lang w:val="en-US" w:eastAsia="zh-CN"/>
        </w:rPr>
        <w:instrText xml:space="preserve"> HYPERLINK \l _Toc13086 </w:instrText>
      </w:r>
      <w:r>
        <w:rPr>
          <w:rFonts w:hint="eastAsia" w:asciiTheme="minorEastAsia" w:hAnsiTheme="minorEastAsia" w:eastAsiaTheme="minorEastAsia" w:cstheme="minorEastAsia"/>
          <w:sz w:val="21"/>
          <w:szCs w:val="21"/>
          <w:lang w:val="en-US" w:eastAsia="zh-CN"/>
        </w:rPr>
        <w:fldChar w:fldCharType="separate"/>
      </w:r>
      <w:r>
        <w:rPr>
          <w:rFonts w:hint="eastAsia" w:asciiTheme="minorEastAsia" w:hAnsiTheme="minorEastAsia" w:eastAsiaTheme="minorEastAsia" w:cstheme="minorEastAsia"/>
          <w:sz w:val="21"/>
          <w:szCs w:val="21"/>
        </w:rPr>
        <w:t>压力管道安全员守则</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_Toc13086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25</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lang w:val="en-US" w:eastAsia="zh-CN"/>
        </w:rPr>
        <w:fldChar w:fldCharType="end"/>
      </w:r>
    </w:p>
    <w:p>
      <w:pPr>
        <w:pStyle w:val="9"/>
        <w:keepNext w:val="0"/>
        <w:keepLines w:val="0"/>
        <w:pageBreakBefore w:val="0"/>
        <w:widowControl w:val="0"/>
        <w:tabs>
          <w:tab w:val="right" w:leader="dot" w:pos="9072"/>
        </w:tabs>
        <w:kinsoku/>
        <w:wordWrap/>
        <w:overflowPunct/>
        <w:topLinePunct w:val="0"/>
        <w:autoSpaceDE/>
        <w:autoSpaceDN/>
        <w:bidi w:val="0"/>
        <w:adjustRightInd/>
        <w:snapToGrid/>
        <w:spacing w:line="240" w:lineRule="auto"/>
        <w:ind w:left="0" w:left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fldChar w:fldCharType="begin"/>
      </w:r>
      <w:r>
        <w:rPr>
          <w:rFonts w:hint="eastAsia" w:asciiTheme="minorEastAsia" w:hAnsiTheme="minorEastAsia" w:eastAsiaTheme="minorEastAsia" w:cstheme="minorEastAsia"/>
          <w:sz w:val="21"/>
          <w:szCs w:val="21"/>
          <w:lang w:val="en-US" w:eastAsia="zh-CN"/>
        </w:rPr>
        <w:instrText xml:space="preserve"> HYPERLINK \l _Toc29399 </w:instrText>
      </w:r>
      <w:r>
        <w:rPr>
          <w:rFonts w:hint="eastAsia" w:asciiTheme="minorEastAsia" w:hAnsiTheme="minorEastAsia" w:eastAsiaTheme="minorEastAsia" w:cstheme="minorEastAsia"/>
          <w:sz w:val="21"/>
          <w:szCs w:val="21"/>
          <w:lang w:val="en-US" w:eastAsia="zh-CN"/>
        </w:rPr>
        <w:fldChar w:fldCharType="separate"/>
      </w:r>
      <w:r>
        <w:rPr>
          <w:rFonts w:hint="eastAsia" w:asciiTheme="minorEastAsia" w:hAnsiTheme="minorEastAsia" w:eastAsiaTheme="minorEastAsia" w:cstheme="minorEastAsia"/>
          <w:sz w:val="21"/>
          <w:szCs w:val="21"/>
        </w:rPr>
        <w:t>电梯安全员守则</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_Toc29399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27</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lang w:val="en-US" w:eastAsia="zh-CN"/>
        </w:rPr>
        <w:fldChar w:fldCharType="end"/>
      </w:r>
    </w:p>
    <w:p>
      <w:pPr>
        <w:pStyle w:val="9"/>
        <w:keepNext w:val="0"/>
        <w:keepLines w:val="0"/>
        <w:pageBreakBefore w:val="0"/>
        <w:widowControl w:val="0"/>
        <w:tabs>
          <w:tab w:val="right" w:leader="dot" w:pos="9072"/>
        </w:tabs>
        <w:kinsoku/>
        <w:wordWrap/>
        <w:overflowPunct/>
        <w:topLinePunct w:val="0"/>
        <w:autoSpaceDE/>
        <w:autoSpaceDN/>
        <w:bidi w:val="0"/>
        <w:adjustRightInd/>
        <w:snapToGrid/>
        <w:spacing w:line="240" w:lineRule="auto"/>
        <w:ind w:left="0" w:left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fldChar w:fldCharType="begin"/>
      </w:r>
      <w:r>
        <w:rPr>
          <w:rFonts w:hint="eastAsia" w:asciiTheme="minorEastAsia" w:hAnsiTheme="minorEastAsia" w:eastAsiaTheme="minorEastAsia" w:cstheme="minorEastAsia"/>
          <w:sz w:val="21"/>
          <w:szCs w:val="21"/>
          <w:lang w:val="en-US" w:eastAsia="zh-CN"/>
        </w:rPr>
        <w:instrText xml:space="preserve"> HYPERLINK \l _Toc23005 </w:instrText>
      </w:r>
      <w:r>
        <w:rPr>
          <w:rFonts w:hint="eastAsia" w:asciiTheme="minorEastAsia" w:hAnsiTheme="minorEastAsia" w:eastAsiaTheme="minorEastAsia" w:cstheme="minorEastAsia"/>
          <w:sz w:val="21"/>
          <w:szCs w:val="21"/>
          <w:lang w:val="en-US" w:eastAsia="zh-CN"/>
        </w:rPr>
        <w:fldChar w:fldCharType="separate"/>
      </w:r>
      <w:r>
        <w:rPr>
          <w:rFonts w:hint="eastAsia" w:asciiTheme="minorEastAsia" w:hAnsiTheme="minorEastAsia" w:eastAsiaTheme="minorEastAsia" w:cstheme="minorEastAsia"/>
          <w:sz w:val="21"/>
          <w:szCs w:val="21"/>
        </w:rPr>
        <w:t>起重机械安全员守则</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_Toc23005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28</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lang w:val="en-US" w:eastAsia="zh-CN"/>
        </w:rPr>
        <w:fldChar w:fldCharType="end"/>
      </w:r>
    </w:p>
    <w:p>
      <w:pPr>
        <w:pStyle w:val="9"/>
        <w:keepNext w:val="0"/>
        <w:keepLines w:val="0"/>
        <w:pageBreakBefore w:val="0"/>
        <w:widowControl w:val="0"/>
        <w:tabs>
          <w:tab w:val="right" w:leader="dot" w:pos="9072"/>
        </w:tabs>
        <w:kinsoku/>
        <w:wordWrap/>
        <w:overflowPunct/>
        <w:topLinePunct w:val="0"/>
        <w:autoSpaceDE/>
        <w:autoSpaceDN/>
        <w:bidi w:val="0"/>
        <w:adjustRightInd/>
        <w:snapToGrid/>
        <w:spacing w:line="240" w:lineRule="auto"/>
        <w:ind w:left="0" w:left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fldChar w:fldCharType="begin"/>
      </w:r>
      <w:r>
        <w:rPr>
          <w:rFonts w:hint="eastAsia" w:asciiTheme="minorEastAsia" w:hAnsiTheme="minorEastAsia" w:eastAsiaTheme="minorEastAsia" w:cstheme="minorEastAsia"/>
          <w:sz w:val="21"/>
          <w:szCs w:val="21"/>
          <w:lang w:val="en-US" w:eastAsia="zh-CN"/>
        </w:rPr>
        <w:instrText xml:space="preserve"> HYPERLINK \l _Toc31916 </w:instrText>
      </w:r>
      <w:r>
        <w:rPr>
          <w:rFonts w:hint="eastAsia" w:asciiTheme="minorEastAsia" w:hAnsiTheme="minorEastAsia" w:eastAsiaTheme="minorEastAsia" w:cstheme="minorEastAsia"/>
          <w:sz w:val="21"/>
          <w:szCs w:val="21"/>
          <w:lang w:val="en-US" w:eastAsia="zh-CN"/>
        </w:rPr>
        <w:fldChar w:fldCharType="separate"/>
      </w:r>
      <w:r>
        <w:rPr>
          <w:rFonts w:hint="eastAsia" w:asciiTheme="minorEastAsia" w:hAnsiTheme="minorEastAsia" w:eastAsiaTheme="minorEastAsia" w:cstheme="minorEastAsia"/>
          <w:sz w:val="21"/>
          <w:szCs w:val="21"/>
        </w:rPr>
        <w:t>客运索道安全员守则</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_Toc31916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29</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lang w:val="en-US" w:eastAsia="zh-CN"/>
        </w:rPr>
        <w:fldChar w:fldCharType="end"/>
      </w:r>
    </w:p>
    <w:p>
      <w:pPr>
        <w:pStyle w:val="9"/>
        <w:keepNext w:val="0"/>
        <w:keepLines w:val="0"/>
        <w:pageBreakBefore w:val="0"/>
        <w:widowControl w:val="0"/>
        <w:tabs>
          <w:tab w:val="right" w:leader="dot" w:pos="9072"/>
        </w:tabs>
        <w:kinsoku/>
        <w:wordWrap/>
        <w:overflowPunct/>
        <w:topLinePunct w:val="0"/>
        <w:autoSpaceDE/>
        <w:autoSpaceDN/>
        <w:bidi w:val="0"/>
        <w:adjustRightInd/>
        <w:snapToGrid/>
        <w:spacing w:line="240" w:lineRule="auto"/>
        <w:ind w:left="0" w:left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fldChar w:fldCharType="begin"/>
      </w:r>
      <w:r>
        <w:rPr>
          <w:rFonts w:hint="eastAsia" w:asciiTheme="minorEastAsia" w:hAnsiTheme="minorEastAsia" w:eastAsiaTheme="minorEastAsia" w:cstheme="minorEastAsia"/>
          <w:sz w:val="21"/>
          <w:szCs w:val="21"/>
          <w:lang w:val="en-US" w:eastAsia="zh-CN"/>
        </w:rPr>
        <w:instrText xml:space="preserve"> HYPERLINK \l _Toc27981 </w:instrText>
      </w:r>
      <w:r>
        <w:rPr>
          <w:rFonts w:hint="eastAsia" w:asciiTheme="minorEastAsia" w:hAnsiTheme="minorEastAsia" w:eastAsiaTheme="minorEastAsia" w:cstheme="minorEastAsia"/>
          <w:sz w:val="21"/>
          <w:szCs w:val="21"/>
          <w:lang w:val="en-US" w:eastAsia="zh-CN"/>
        </w:rPr>
        <w:fldChar w:fldCharType="separate"/>
      </w:r>
      <w:r>
        <w:rPr>
          <w:rFonts w:hint="eastAsia" w:asciiTheme="minorEastAsia" w:hAnsiTheme="minorEastAsia" w:eastAsiaTheme="minorEastAsia" w:cstheme="minorEastAsia"/>
          <w:sz w:val="21"/>
          <w:szCs w:val="21"/>
        </w:rPr>
        <w:t>大型游乐设施安全员守则</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_Toc27981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30</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lang w:val="en-US" w:eastAsia="zh-CN"/>
        </w:rPr>
        <w:fldChar w:fldCharType="end"/>
      </w:r>
    </w:p>
    <w:p>
      <w:pPr>
        <w:pStyle w:val="9"/>
        <w:keepNext w:val="0"/>
        <w:keepLines w:val="0"/>
        <w:pageBreakBefore w:val="0"/>
        <w:widowControl w:val="0"/>
        <w:tabs>
          <w:tab w:val="right" w:leader="dot" w:pos="9072"/>
        </w:tabs>
        <w:kinsoku/>
        <w:wordWrap/>
        <w:overflowPunct/>
        <w:topLinePunct w:val="0"/>
        <w:autoSpaceDE/>
        <w:autoSpaceDN/>
        <w:bidi w:val="0"/>
        <w:adjustRightInd/>
        <w:snapToGrid/>
        <w:spacing w:line="240" w:lineRule="auto"/>
        <w:ind w:left="0" w:left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fldChar w:fldCharType="begin"/>
      </w:r>
      <w:r>
        <w:rPr>
          <w:rFonts w:hint="eastAsia" w:asciiTheme="minorEastAsia" w:hAnsiTheme="minorEastAsia" w:eastAsiaTheme="minorEastAsia" w:cstheme="minorEastAsia"/>
          <w:sz w:val="21"/>
          <w:szCs w:val="21"/>
          <w:lang w:val="en-US" w:eastAsia="zh-CN"/>
        </w:rPr>
        <w:instrText xml:space="preserve"> HYPERLINK \l _Toc11821 </w:instrText>
      </w:r>
      <w:r>
        <w:rPr>
          <w:rFonts w:hint="eastAsia" w:asciiTheme="minorEastAsia" w:hAnsiTheme="minorEastAsia" w:eastAsiaTheme="minorEastAsia" w:cstheme="minorEastAsia"/>
          <w:sz w:val="21"/>
          <w:szCs w:val="21"/>
          <w:lang w:val="en-US" w:eastAsia="zh-CN"/>
        </w:rPr>
        <w:fldChar w:fldCharType="separate"/>
      </w:r>
      <w:r>
        <w:rPr>
          <w:rFonts w:hint="eastAsia" w:asciiTheme="minorEastAsia" w:hAnsiTheme="minorEastAsia" w:eastAsiaTheme="minorEastAsia" w:cstheme="minorEastAsia"/>
          <w:sz w:val="21"/>
          <w:szCs w:val="21"/>
        </w:rPr>
        <w:t>场车安全员守则</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_Toc11821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31</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lang w:val="en-US" w:eastAsia="zh-CN"/>
        </w:rPr>
        <w:fldChar w:fldCharType="end"/>
      </w:r>
    </w:p>
    <w:p>
      <w:pPr>
        <w:pStyle w:val="9"/>
        <w:keepNext w:val="0"/>
        <w:keepLines w:val="0"/>
        <w:pageBreakBefore w:val="0"/>
        <w:widowControl w:val="0"/>
        <w:tabs>
          <w:tab w:val="right" w:leader="dot" w:pos="9072"/>
        </w:tabs>
        <w:kinsoku/>
        <w:wordWrap/>
        <w:overflowPunct/>
        <w:topLinePunct w:val="0"/>
        <w:autoSpaceDE/>
        <w:autoSpaceDN/>
        <w:bidi w:val="0"/>
        <w:adjustRightInd/>
        <w:snapToGrid/>
        <w:spacing w:line="240" w:lineRule="auto"/>
        <w:ind w:left="0" w:leftChars="0" w:firstLine="0" w:firstLineChars="0"/>
        <w:textAlignment w:val="auto"/>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fldChar w:fldCharType="begin"/>
      </w:r>
      <w:r>
        <w:rPr>
          <w:rFonts w:hint="eastAsia" w:asciiTheme="minorEastAsia" w:hAnsiTheme="minorEastAsia" w:eastAsiaTheme="minorEastAsia" w:cstheme="minorEastAsia"/>
          <w:b/>
          <w:bCs/>
          <w:sz w:val="28"/>
          <w:szCs w:val="28"/>
          <w:lang w:val="en-US" w:eastAsia="zh-CN"/>
        </w:rPr>
        <w:instrText xml:space="preserve"> HYPERLINK \l _Toc6515 </w:instrText>
      </w:r>
      <w:r>
        <w:rPr>
          <w:rFonts w:hint="eastAsia" w:asciiTheme="minorEastAsia" w:hAnsiTheme="minorEastAsia" w:eastAsiaTheme="minorEastAsia" w:cstheme="minorEastAsia"/>
          <w:b/>
          <w:bCs/>
          <w:sz w:val="28"/>
          <w:szCs w:val="28"/>
          <w:lang w:val="en-US" w:eastAsia="zh-CN"/>
        </w:rPr>
        <w:fldChar w:fldCharType="separate"/>
      </w:r>
      <w:r>
        <w:rPr>
          <w:rFonts w:hint="eastAsia" w:asciiTheme="minorEastAsia" w:hAnsiTheme="minorEastAsia" w:eastAsiaTheme="minorEastAsia" w:cstheme="minorEastAsia"/>
          <w:b/>
          <w:bCs/>
          <w:sz w:val="28"/>
          <w:szCs w:val="28"/>
          <w:lang w:val="en-US" w:eastAsia="zh-CN"/>
        </w:rPr>
        <w:t>三、安全风险管控清单</w:t>
      </w:r>
      <w:r>
        <w:rPr>
          <w:rFonts w:hint="eastAsia" w:asciiTheme="minorEastAsia" w:hAnsiTheme="minorEastAsia" w:eastAsiaTheme="minorEastAsia" w:cstheme="minorEastAsia"/>
          <w:b/>
          <w:bCs/>
          <w:sz w:val="28"/>
          <w:szCs w:val="28"/>
          <w:lang w:val="en-US" w:eastAsia="zh-CN"/>
        </w:rPr>
        <w:tab/>
      </w:r>
      <w:r>
        <w:rPr>
          <w:rFonts w:hint="eastAsia" w:asciiTheme="minorEastAsia" w:hAnsiTheme="minorEastAsia" w:eastAsiaTheme="minorEastAsia" w:cstheme="minorEastAsia"/>
          <w:b/>
          <w:bCs/>
          <w:sz w:val="28"/>
          <w:szCs w:val="28"/>
          <w:lang w:val="en-US" w:eastAsia="zh-CN"/>
        </w:rPr>
        <w:fldChar w:fldCharType="begin"/>
      </w:r>
      <w:r>
        <w:rPr>
          <w:rFonts w:hint="eastAsia" w:asciiTheme="minorEastAsia" w:hAnsiTheme="minorEastAsia" w:eastAsiaTheme="minorEastAsia" w:cstheme="minorEastAsia"/>
          <w:b/>
          <w:bCs/>
          <w:sz w:val="28"/>
          <w:szCs w:val="28"/>
          <w:lang w:val="en-US" w:eastAsia="zh-CN"/>
        </w:rPr>
        <w:instrText xml:space="preserve"> PAGEREF _Toc6515 \h </w:instrText>
      </w:r>
      <w:r>
        <w:rPr>
          <w:rFonts w:hint="eastAsia" w:asciiTheme="minorEastAsia" w:hAnsiTheme="minorEastAsia" w:eastAsiaTheme="minorEastAsia" w:cstheme="minorEastAsia"/>
          <w:b/>
          <w:bCs/>
          <w:sz w:val="28"/>
          <w:szCs w:val="28"/>
          <w:lang w:val="en-US" w:eastAsia="zh-CN"/>
        </w:rPr>
        <w:fldChar w:fldCharType="separate"/>
      </w:r>
      <w:r>
        <w:rPr>
          <w:rFonts w:hint="eastAsia" w:asciiTheme="minorEastAsia" w:hAnsiTheme="minorEastAsia" w:eastAsiaTheme="minorEastAsia" w:cstheme="minorEastAsia"/>
          <w:b/>
          <w:bCs/>
          <w:sz w:val="28"/>
          <w:szCs w:val="28"/>
          <w:lang w:val="en-US" w:eastAsia="zh-CN"/>
        </w:rPr>
        <w:t>32</w:t>
      </w:r>
      <w:r>
        <w:rPr>
          <w:rFonts w:hint="eastAsia" w:asciiTheme="minorEastAsia" w:hAnsiTheme="minorEastAsia" w:eastAsiaTheme="minorEastAsia" w:cstheme="minorEastAsia"/>
          <w:b/>
          <w:bCs/>
          <w:sz w:val="28"/>
          <w:szCs w:val="28"/>
          <w:lang w:val="en-US" w:eastAsia="zh-CN"/>
        </w:rPr>
        <w:fldChar w:fldCharType="end"/>
      </w:r>
      <w:r>
        <w:rPr>
          <w:rFonts w:hint="eastAsia" w:asciiTheme="minorEastAsia" w:hAnsiTheme="minorEastAsia" w:eastAsiaTheme="minorEastAsia" w:cstheme="minorEastAsia"/>
          <w:b/>
          <w:bCs/>
          <w:sz w:val="28"/>
          <w:szCs w:val="28"/>
          <w:lang w:val="en-US" w:eastAsia="zh-CN"/>
        </w:rPr>
        <w:fldChar w:fldCharType="end"/>
      </w:r>
    </w:p>
    <w:p>
      <w:pPr>
        <w:pStyle w:val="9"/>
        <w:keepNext w:val="0"/>
        <w:keepLines w:val="0"/>
        <w:pageBreakBefore w:val="0"/>
        <w:widowControl w:val="0"/>
        <w:tabs>
          <w:tab w:val="right" w:leader="dot" w:pos="9072"/>
        </w:tabs>
        <w:kinsoku/>
        <w:wordWrap/>
        <w:overflowPunct/>
        <w:topLinePunct w:val="0"/>
        <w:autoSpaceDE/>
        <w:autoSpaceDN/>
        <w:bidi w:val="0"/>
        <w:adjustRightInd/>
        <w:snapToGrid/>
        <w:spacing w:line="240" w:lineRule="auto"/>
        <w:ind w:left="0" w:left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fldChar w:fldCharType="begin"/>
      </w:r>
      <w:r>
        <w:rPr>
          <w:rFonts w:hint="eastAsia" w:asciiTheme="minorEastAsia" w:hAnsiTheme="minorEastAsia" w:eastAsiaTheme="minorEastAsia" w:cstheme="minorEastAsia"/>
          <w:sz w:val="21"/>
          <w:szCs w:val="21"/>
          <w:lang w:val="en-US" w:eastAsia="zh-CN"/>
        </w:rPr>
        <w:instrText xml:space="preserve"> HYPERLINK \l _Toc23395 </w:instrText>
      </w:r>
      <w:r>
        <w:rPr>
          <w:rFonts w:hint="eastAsia" w:asciiTheme="minorEastAsia" w:hAnsiTheme="minorEastAsia" w:eastAsiaTheme="minorEastAsia" w:cstheme="minorEastAsia"/>
          <w:sz w:val="21"/>
          <w:szCs w:val="21"/>
          <w:lang w:val="en-US" w:eastAsia="zh-CN"/>
        </w:rPr>
        <w:fldChar w:fldCharType="separate"/>
      </w:r>
      <w:r>
        <w:rPr>
          <w:rFonts w:hint="eastAsia" w:asciiTheme="minorEastAsia" w:hAnsiTheme="minorEastAsia" w:eastAsiaTheme="minorEastAsia" w:cstheme="minorEastAsia"/>
          <w:sz w:val="21"/>
          <w:szCs w:val="21"/>
        </w:rPr>
        <w:t>锅炉安全风险管控清单</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_Toc23395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33</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lang w:val="en-US" w:eastAsia="zh-CN"/>
        </w:rPr>
        <w:fldChar w:fldCharType="end"/>
      </w:r>
    </w:p>
    <w:p>
      <w:pPr>
        <w:pStyle w:val="9"/>
        <w:keepNext w:val="0"/>
        <w:keepLines w:val="0"/>
        <w:pageBreakBefore w:val="0"/>
        <w:widowControl w:val="0"/>
        <w:tabs>
          <w:tab w:val="right" w:leader="dot" w:pos="9072"/>
        </w:tabs>
        <w:kinsoku/>
        <w:wordWrap/>
        <w:overflowPunct/>
        <w:topLinePunct w:val="0"/>
        <w:autoSpaceDE/>
        <w:autoSpaceDN/>
        <w:bidi w:val="0"/>
        <w:adjustRightInd/>
        <w:snapToGrid/>
        <w:spacing w:line="240" w:lineRule="auto"/>
        <w:ind w:left="0" w:left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fldChar w:fldCharType="begin"/>
      </w:r>
      <w:r>
        <w:rPr>
          <w:rFonts w:hint="eastAsia" w:asciiTheme="minorEastAsia" w:hAnsiTheme="minorEastAsia" w:eastAsiaTheme="minorEastAsia" w:cstheme="minorEastAsia"/>
          <w:sz w:val="21"/>
          <w:szCs w:val="21"/>
          <w:lang w:val="en-US" w:eastAsia="zh-CN"/>
        </w:rPr>
        <w:instrText xml:space="preserve"> HYPERLINK \l _Toc8699 </w:instrText>
      </w:r>
      <w:r>
        <w:rPr>
          <w:rFonts w:hint="eastAsia" w:asciiTheme="minorEastAsia" w:hAnsiTheme="minorEastAsia" w:eastAsiaTheme="minorEastAsia" w:cstheme="minorEastAsia"/>
          <w:sz w:val="21"/>
          <w:szCs w:val="21"/>
          <w:lang w:val="en-US" w:eastAsia="zh-CN"/>
        </w:rPr>
        <w:fldChar w:fldCharType="separate"/>
      </w:r>
      <w:r>
        <w:rPr>
          <w:rFonts w:hint="eastAsia" w:asciiTheme="minorEastAsia" w:hAnsiTheme="minorEastAsia" w:eastAsiaTheme="minorEastAsia" w:cstheme="minorEastAsia"/>
          <w:sz w:val="21"/>
          <w:szCs w:val="21"/>
        </w:rPr>
        <w:t>压力容器安全风险管控清单</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_Toc8699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36</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lang w:val="en-US" w:eastAsia="zh-CN"/>
        </w:rPr>
        <w:fldChar w:fldCharType="end"/>
      </w:r>
    </w:p>
    <w:p>
      <w:pPr>
        <w:pStyle w:val="9"/>
        <w:keepNext w:val="0"/>
        <w:keepLines w:val="0"/>
        <w:pageBreakBefore w:val="0"/>
        <w:widowControl w:val="0"/>
        <w:tabs>
          <w:tab w:val="right" w:leader="dot" w:pos="9072"/>
        </w:tabs>
        <w:kinsoku/>
        <w:wordWrap/>
        <w:overflowPunct/>
        <w:topLinePunct w:val="0"/>
        <w:autoSpaceDE/>
        <w:autoSpaceDN/>
        <w:bidi w:val="0"/>
        <w:adjustRightInd/>
        <w:snapToGrid/>
        <w:spacing w:line="240" w:lineRule="auto"/>
        <w:ind w:left="0" w:left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fldChar w:fldCharType="begin"/>
      </w:r>
      <w:r>
        <w:rPr>
          <w:rFonts w:hint="eastAsia" w:asciiTheme="minorEastAsia" w:hAnsiTheme="minorEastAsia" w:eastAsiaTheme="minorEastAsia" w:cstheme="minorEastAsia"/>
          <w:sz w:val="21"/>
          <w:szCs w:val="21"/>
          <w:lang w:val="en-US" w:eastAsia="zh-CN"/>
        </w:rPr>
        <w:instrText xml:space="preserve"> HYPERLINK \l _Toc8680 </w:instrText>
      </w:r>
      <w:r>
        <w:rPr>
          <w:rFonts w:hint="eastAsia" w:asciiTheme="minorEastAsia" w:hAnsiTheme="minorEastAsia" w:eastAsiaTheme="minorEastAsia" w:cstheme="minorEastAsia"/>
          <w:sz w:val="21"/>
          <w:szCs w:val="21"/>
          <w:lang w:val="en-US" w:eastAsia="zh-CN"/>
        </w:rPr>
        <w:fldChar w:fldCharType="separate"/>
      </w:r>
      <w:r>
        <w:rPr>
          <w:rFonts w:hint="eastAsia" w:asciiTheme="minorEastAsia" w:hAnsiTheme="minorEastAsia" w:eastAsiaTheme="minorEastAsia" w:cstheme="minorEastAsia"/>
          <w:sz w:val="21"/>
          <w:szCs w:val="21"/>
        </w:rPr>
        <w:t>气瓶充装风险管控清单</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_Toc8680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38</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lang w:val="en-US" w:eastAsia="zh-CN"/>
        </w:rPr>
        <w:fldChar w:fldCharType="end"/>
      </w:r>
    </w:p>
    <w:p>
      <w:pPr>
        <w:pStyle w:val="9"/>
        <w:keepNext w:val="0"/>
        <w:keepLines w:val="0"/>
        <w:pageBreakBefore w:val="0"/>
        <w:widowControl w:val="0"/>
        <w:tabs>
          <w:tab w:val="right" w:leader="dot" w:pos="9072"/>
        </w:tabs>
        <w:kinsoku/>
        <w:wordWrap/>
        <w:overflowPunct/>
        <w:topLinePunct w:val="0"/>
        <w:autoSpaceDE/>
        <w:autoSpaceDN/>
        <w:bidi w:val="0"/>
        <w:adjustRightInd/>
        <w:snapToGrid/>
        <w:spacing w:line="240" w:lineRule="auto"/>
        <w:ind w:left="0" w:left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fldChar w:fldCharType="begin"/>
      </w:r>
      <w:r>
        <w:rPr>
          <w:rFonts w:hint="eastAsia" w:asciiTheme="minorEastAsia" w:hAnsiTheme="minorEastAsia" w:eastAsiaTheme="minorEastAsia" w:cstheme="minorEastAsia"/>
          <w:sz w:val="21"/>
          <w:szCs w:val="21"/>
          <w:lang w:val="en-US" w:eastAsia="zh-CN"/>
        </w:rPr>
        <w:instrText xml:space="preserve"> HYPERLINK \l _Toc31797 </w:instrText>
      </w:r>
      <w:r>
        <w:rPr>
          <w:rFonts w:hint="eastAsia" w:asciiTheme="minorEastAsia" w:hAnsiTheme="minorEastAsia" w:eastAsiaTheme="minorEastAsia" w:cstheme="minorEastAsia"/>
          <w:sz w:val="21"/>
          <w:szCs w:val="21"/>
          <w:lang w:val="en-US" w:eastAsia="zh-CN"/>
        </w:rPr>
        <w:fldChar w:fldCharType="separate"/>
      </w:r>
      <w:r>
        <w:rPr>
          <w:rFonts w:hint="eastAsia" w:asciiTheme="minorEastAsia" w:hAnsiTheme="minorEastAsia" w:eastAsiaTheme="minorEastAsia" w:cstheme="minorEastAsia"/>
          <w:sz w:val="21"/>
          <w:szCs w:val="21"/>
        </w:rPr>
        <w:t>压力管道安全风险管控清单</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_Toc31797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40</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lang w:val="en-US" w:eastAsia="zh-CN"/>
        </w:rPr>
        <w:fldChar w:fldCharType="end"/>
      </w:r>
    </w:p>
    <w:p>
      <w:pPr>
        <w:pStyle w:val="9"/>
        <w:keepNext w:val="0"/>
        <w:keepLines w:val="0"/>
        <w:pageBreakBefore w:val="0"/>
        <w:widowControl w:val="0"/>
        <w:tabs>
          <w:tab w:val="right" w:leader="dot" w:pos="9072"/>
        </w:tabs>
        <w:kinsoku/>
        <w:wordWrap/>
        <w:overflowPunct/>
        <w:topLinePunct w:val="0"/>
        <w:autoSpaceDE/>
        <w:autoSpaceDN/>
        <w:bidi w:val="0"/>
        <w:adjustRightInd/>
        <w:snapToGrid/>
        <w:spacing w:line="240" w:lineRule="auto"/>
        <w:ind w:left="0" w:left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fldChar w:fldCharType="begin"/>
      </w:r>
      <w:r>
        <w:rPr>
          <w:rFonts w:hint="eastAsia" w:asciiTheme="minorEastAsia" w:hAnsiTheme="minorEastAsia" w:eastAsiaTheme="minorEastAsia" w:cstheme="minorEastAsia"/>
          <w:sz w:val="21"/>
          <w:szCs w:val="21"/>
          <w:lang w:val="en-US" w:eastAsia="zh-CN"/>
        </w:rPr>
        <w:instrText xml:space="preserve"> HYPERLINK \l _Toc8062 </w:instrText>
      </w:r>
      <w:r>
        <w:rPr>
          <w:rFonts w:hint="eastAsia" w:asciiTheme="minorEastAsia" w:hAnsiTheme="minorEastAsia" w:eastAsiaTheme="minorEastAsia" w:cstheme="minorEastAsia"/>
          <w:sz w:val="21"/>
          <w:szCs w:val="21"/>
          <w:lang w:val="en-US" w:eastAsia="zh-CN"/>
        </w:rPr>
        <w:fldChar w:fldCharType="separate"/>
      </w:r>
      <w:r>
        <w:rPr>
          <w:rFonts w:hint="eastAsia" w:asciiTheme="minorEastAsia" w:hAnsiTheme="minorEastAsia" w:eastAsiaTheme="minorEastAsia" w:cstheme="minorEastAsia"/>
          <w:sz w:val="21"/>
          <w:szCs w:val="21"/>
        </w:rPr>
        <w:t>电梯安全风险管控清单</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_Toc8062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42</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lang w:val="en-US" w:eastAsia="zh-CN"/>
        </w:rPr>
        <w:fldChar w:fldCharType="end"/>
      </w:r>
    </w:p>
    <w:p>
      <w:pPr>
        <w:pStyle w:val="9"/>
        <w:keepNext w:val="0"/>
        <w:keepLines w:val="0"/>
        <w:pageBreakBefore w:val="0"/>
        <w:widowControl w:val="0"/>
        <w:tabs>
          <w:tab w:val="right" w:leader="dot" w:pos="9072"/>
        </w:tabs>
        <w:kinsoku/>
        <w:wordWrap/>
        <w:overflowPunct/>
        <w:topLinePunct w:val="0"/>
        <w:autoSpaceDE/>
        <w:autoSpaceDN/>
        <w:bidi w:val="0"/>
        <w:adjustRightInd/>
        <w:snapToGrid/>
        <w:spacing w:line="240" w:lineRule="auto"/>
        <w:ind w:left="0" w:left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fldChar w:fldCharType="begin"/>
      </w:r>
      <w:r>
        <w:rPr>
          <w:rFonts w:hint="eastAsia" w:asciiTheme="minorEastAsia" w:hAnsiTheme="minorEastAsia" w:eastAsiaTheme="minorEastAsia" w:cstheme="minorEastAsia"/>
          <w:sz w:val="21"/>
          <w:szCs w:val="21"/>
          <w:lang w:val="en-US" w:eastAsia="zh-CN"/>
        </w:rPr>
        <w:instrText xml:space="preserve"> HYPERLINK \l _Toc7620 </w:instrText>
      </w:r>
      <w:r>
        <w:rPr>
          <w:rFonts w:hint="eastAsia" w:asciiTheme="minorEastAsia" w:hAnsiTheme="minorEastAsia" w:eastAsiaTheme="minorEastAsia" w:cstheme="minorEastAsia"/>
          <w:sz w:val="21"/>
          <w:szCs w:val="21"/>
          <w:lang w:val="en-US" w:eastAsia="zh-CN"/>
        </w:rPr>
        <w:fldChar w:fldCharType="separate"/>
      </w:r>
      <w:r>
        <w:rPr>
          <w:rFonts w:hint="eastAsia" w:asciiTheme="minorEastAsia" w:hAnsiTheme="minorEastAsia" w:eastAsiaTheme="minorEastAsia" w:cstheme="minorEastAsia"/>
          <w:sz w:val="21"/>
          <w:szCs w:val="21"/>
        </w:rPr>
        <w:t>起重机械安全风险管控清单</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_Toc7620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44</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lang w:val="en-US" w:eastAsia="zh-CN"/>
        </w:rPr>
        <w:fldChar w:fldCharType="end"/>
      </w:r>
    </w:p>
    <w:p>
      <w:pPr>
        <w:pStyle w:val="9"/>
        <w:keepNext w:val="0"/>
        <w:keepLines w:val="0"/>
        <w:pageBreakBefore w:val="0"/>
        <w:widowControl w:val="0"/>
        <w:tabs>
          <w:tab w:val="right" w:leader="dot" w:pos="9072"/>
        </w:tabs>
        <w:kinsoku/>
        <w:wordWrap/>
        <w:overflowPunct/>
        <w:topLinePunct w:val="0"/>
        <w:autoSpaceDE/>
        <w:autoSpaceDN/>
        <w:bidi w:val="0"/>
        <w:adjustRightInd/>
        <w:snapToGrid/>
        <w:spacing w:line="240" w:lineRule="auto"/>
        <w:ind w:left="0" w:left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fldChar w:fldCharType="begin"/>
      </w:r>
      <w:r>
        <w:rPr>
          <w:rFonts w:hint="eastAsia" w:asciiTheme="minorEastAsia" w:hAnsiTheme="minorEastAsia" w:eastAsiaTheme="minorEastAsia" w:cstheme="minorEastAsia"/>
          <w:sz w:val="21"/>
          <w:szCs w:val="21"/>
          <w:lang w:val="en-US" w:eastAsia="zh-CN"/>
        </w:rPr>
        <w:instrText xml:space="preserve"> HYPERLINK \l _Toc11905 </w:instrText>
      </w:r>
      <w:r>
        <w:rPr>
          <w:rFonts w:hint="eastAsia" w:asciiTheme="minorEastAsia" w:hAnsiTheme="minorEastAsia" w:eastAsiaTheme="minorEastAsia" w:cstheme="minorEastAsia"/>
          <w:sz w:val="21"/>
          <w:szCs w:val="21"/>
          <w:lang w:val="en-US" w:eastAsia="zh-CN"/>
        </w:rPr>
        <w:fldChar w:fldCharType="separate"/>
      </w:r>
      <w:r>
        <w:rPr>
          <w:rFonts w:hint="eastAsia" w:asciiTheme="minorEastAsia" w:hAnsiTheme="minorEastAsia" w:eastAsiaTheme="minorEastAsia" w:cstheme="minorEastAsia"/>
          <w:sz w:val="21"/>
          <w:szCs w:val="21"/>
        </w:rPr>
        <w:t>客运索道安全风险管控清单</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_Toc11905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46</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lang w:val="en-US" w:eastAsia="zh-CN"/>
        </w:rPr>
        <w:fldChar w:fldCharType="end"/>
      </w:r>
    </w:p>
    <w:p>
      <w:pPr>
        <w:pStyle w:val="9"/>
        <w:keepNext w:val="0"/>
        <w:keepLines w:val="0"/>
        <w:pageBreakBefore w:val="0"/>
        <w:widowControl w:val="0"/>
        <w:tabs>
          <w:tab w:val="right" w:leader="dot" w:pos="9072"/>
        </w:tabs>
        <w:kinsoku/>
        <w:wordWrap/>
        <w:overflowPunct/>
        <w:topLinePunct w:val="0"/>
        <w:autoSpaceDE/>
        <w:autoSpaceDN/>
        <w:bidi w:val="0"/>
        <w:adjustRightInd/>
        <w:snapToGrid/>
        <w:spacing w:line="240" w:lineRule="auto"/>
        <w:ind w:left="0" w:left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fldChar w:fldCharType="begin"/>
      </w:r>
      <w:r>
        <w:rPr>
          <w:rFonts w:hint="eastAsia" w:asciiTheme="minorEastAsia" w:hAnsiTheme="minorEastAsia" w:eastAsiaTheme="minorEastAsia" w:cstheme="minorEastAsia"/>
          <w:sz w:val="21"/>
          <w:szCs w:val="21"/>
          <w:lang w:val="en-US" w:eastAsia="zh-CN"/>
        </w:rPr>
        <w:instrText xml:space="preserve"> HYPERLINK \l _Toc19916 </w:instrText>
      </w:r>
      <w:r>
        <w:rPr>
          <w:rFonts w:hint="eastAsia" w:asciiTheme="minorEastAsia" w:hAnsiTheme="minorEastAsia" w:eastAsiaTheme="minorEastAsia" w:cstheme="minorEastAsia"/>
          <w:sz w:val="21"/>
          <w:szCs w:val="21"/>
          <w:lang w:val="en-US" w:eastAsia="zh-CN"/>
        </w:rPr>
        <w:fldChar w:fldCharType="separate"/>
      </w:r>
      <w:r>
        <w:rPr>
          <w:rFonts w:hint="eastAsia" w:asciiTheme="minorEastAsia" w:hAnsiTheme="minorEastAsia" w:eastAsiaTheme="minorEastAsia" w:cstheme="minorEastAsia"/>
          <w:sz w:val="21"/>
          <w:szCs w:val="21"/>
        </w:rPr>
        <w:t>大型游乐设施安全风险管控清单</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_Toc19916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48</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lang w:val="en-US" w:eastAsia="zh-CN"/>
        </w:rPr>
        <w:fldChar w:fldCharType="end"/>
      </w:r>
    </w:p>
    <w:p>
      <w:pPr>
        <w:pStyle w:val="9"/>
        <w:keepNext w:val="0"/>
        <w:keepLines w:val="0"/>
        <w:pageBreakBefore w:val="0"/>
        <w:widowControl w:val="0"/>
        <w:tabs>
          <w:tab w:val="right" w:leader="dot" w:pos="9072"/>
        </w:tabs>
        <w:kinsoku/>
        <w:wordWrap/>
        <w:overflowPunct/>
        <w:topLinePunct w:val="0"/>
        <w:autoSpaceDE/>
        <w:autoSpaceDN/>
        <w:bidi w:val="0"/>
        <w:adjustRightInd/>
        <w:snapToGrid/>
        <w:spacing w:line="240" w:lineRule="auto"/>
        <w:ind w:left="0" w:left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fldChar w:fldCharType="begin"/>
      </w:r>
      <w:r>
        <w:rPr>
          <w:rFonts w:hint="eastAsia" w:asciiTheme="minorEastAsia" w:hAnsiTheme="minorEastAsia" w:eastAsiaTheme="minorEastAsia" w:cstheme="minorEastAsia"/>
          <w:sz w:val="21"/>
          <w:szCs w:val="21"/>
          <w:lang w:val="en-US" w:eastAsia="zh-CN"/>
        </w:rPr>
        <w:instrText xml:space="preserve"> HYPERLINK \l _Toc24276 </w:instrText>
      </w:r>
      <w:r>
        <w:rPr>
          <w:rFonts w:hint="eastAsia" w:asciiTheme="minorEastAsia" w:hAnsiTheme="minorEastAsia" w:eastAsiaTheme="minorEastAsia" w:cstheme="minorEastAsia"/>
          <w:sz w:val="21"/>
          <w:szCs w:val="21"/>
          <w:lang w:val="en-US" w:eastAsia="zh-CN"/>
        </w:rPr>
        <w:fldChar w:fldCharType="separate"/>
      </w:r>
      <w:r>
        <w:rPr>
          <w:rFonts w:hint="eastAsia" w:asciiTheme="minorEastAsia" w:hAnsiTheme="minorEastAsia" w:eastAsiaTheme="minorEastAsia" w:cstheme="minorEastAsia"/>
          <w:sz w:val="21"/>
          <w:szCs w:val="21"/>
        </w:rPr>
        <w:t>场车安全风险管控清单</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_Toc24276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50</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lang w:val="en-US" w:eastAsia="zh-CN"/>
        </w:rPr>
        <w:fldChar w:fldCharType="end"/>
      </w:r>
    </w:p>
    <w:p>
      <w:pPr>
        <w:pStyle w:val="9"/>
        <w:keepNext w:val="0"/>
        <w:keepLines w:val="0"/>
        <w:pageBreakBefore w:val="0"/>
        <w:widowControl w:val="0"/>
        <w:tabs>
          <w:tab w:val="right" w:leader="dot" w:pos="9072"/>
        </w:tabs>
        <w:kinsoku/>
        <w:wordWrap/>
        <w:overflowPunct/>
        <w:topLinePunct w:val="0"/>
        <w:autoSpaceDE/>
        <w:autoSpaceDN/>
        <w:bidi w:val="0"/>
        <w:adjustRightInd/>
        <w:snapToGrid/>
        <w:spacing w:line="240" w:lineRule="auto"/>
        <w:ind w:left="0" w:leftChars="0" w:firstLine="0" w:firstLineChars="0"/>
        <w:textAlignment w:val="auto"/>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fldChar w:fldCharType="begin"/>
      </w:r>
      <w:r>
        <w:rPr>
          <w:rFonts w:hint="eastAsia" w:asciiTheme="minorEastAsia" w:hAnsiTheme="minorEastAsia" w:eastAsiaTheme="minorEastAsia" w:cstheme="minorEastAsia"/>
          <w:b/>
          <w:bCs/>
          <w:sz w:val="28"/>
          <w:szCs w:val="28"/>
          <w:lang w:val="en-US" w:eastAsia="zh-CN"/>
        </w:rPr>
        <w:instrText xml:space="preserve"> HYPERLINK \l _Toc29873 </w:instrText>
      </w:r>
      <w:r>
        <w:rPr>
          <w:rFonts w:hint="eastAsia" w:asciiTheme="minorEastAsia" w:hAnsiTheme="minorEastAsia" w:eastAsiaTheme="minorEastAsia" w:cstheme="minorEastAsia"/>
          <w:b/>
          <w:bCs/>
          <w:sz w:val="28"/>
          <w:szCs w:val="28"/>
          <w:lang w:val="en-US" w:eastAsia="zh-CN"/>
        </w:rPr>
        <w:fldChar w:fldCharType="separate"/>
      </w:r>
      <w:r>
        <w:rPr>
          <w:rFonts w:hint="eastAsia" w:asciiTheme="minorEastAsia" w:hAnsiTheme="minorEastAsia" w:eastAsiaTheme="minorEastAsia" w:cstheme="minorEastAsia"/>
          <w:b/>
          <w:bCs/>
          <w:sz w:val="28"/>
          <w:szCs w:val="28"/>
          <w:lang w:val="en-US" w:eastAsia="zh-CN"/>
        </w:rPr>
        <w:t>附录B（清单例表）</w:t>
      </w:r>
      <w:r>
        <w:rPr>
          <w:rFonts w:hint="eastAsia" w:asciiTheme="minorEastAsia" w:hAnsiTheme="minorEastAsia" w:eastAsiaTheme="minorEastAsia" w:cstheme="minorEastAsia"/>
          <w:b/>
          <w:bCs/>
          <w:sz w:val="28"/>
          <w:szCs w:val="28"/>
          <w:lang w:val="en-US" w:eastAsia="zh-CN"/>
        </w:rPr>
        <w:tab/>
      </w:r>
      <w:r>
        <w:rPr>
          <w:rFonts w:hint="eastAsia" w:asciiTheme="minorEastAsia" w:hAnsiTheme="minorEastAsia" w:eastAsiaTheme="minorEastAsia" w:cstheme="minorEastAsia"/>
          <w:b/>
          <w:bCs/>
          <w:sz w:val="28"/>
          <w:szCs w:val="28"/>
          <w:lang w:val="en-US" w:eastAsia="zh-CN"/>
        </w:rPr>
        <w:fldChar w:fldCharType="begin"/>
      </w:r>
      <w:r>
        <w:rPr>
          <w:rFonts w:hint="eastAsia" w:asciiTheme="minorEastAsia" w:hAnsiTheme="minorEastAsia" w:eastAsiaTheme="minorEastAsia" w:cstheme="minorEastAsia"/>
          <w:b/>
          <w:bCs/>
          <w:sz w:val="28"/>
          <w:szCs w:val="28"/>
          <w:lang w:val="en-US" w:eastAsia="zh-CN"/>
        </w:rPr>
        <w:instrText xml:space="preserve"> PAGEREF _Toc29873 \h </w:instrText>
      </w:r>
      <w:r>
        <w:rPr>
          <w:rFonts w:hint="eastAsia" w:asciiTheme="minorEastAsia" w:hAnsiTheme="minorEastAsia" w:eastAsiaTheme="minorEastAsia" w:cstheme="minorEastAsia"/>
          <w:b/>
          <w:bCs/>
          <w:sz w:val="28"/>
          <w:szCs w:val="28"/>
          <w:lang w:val="en-US" w:eastAsia="zh-CN"/>
        </w:rPr>
        <w:fldChar w:fldCharType="separate"/>
      </w:r>
      <w:r>
        <w:rPr>
          <w:rFonts w:hint="eastAsia" w:asciiTheme="minorEastAsia" w:hAnsiTheme="minorEastAsia" w:eastAsiaTheme="minorEastAsia" w:cstheme="minorEastAsia"/>
          <w:b/>
          <w:bCs/>
          <w:sz w:val="28"/>
          <w:szCs w:val="28"/>
          <w:lang w:val="en-US" w:eastAsia="zh-CN"/>
        </w:rPr>
        <w:t>52</w:t>
      </w:r>
      <w:r>
        <w:rPr>
          <w:rFonts w:hint="eastAsia" w:asciiTheme="minorEastAsia" w:hAnsiTheme="minorEastAsia" w:eastAsiaTheme="minorEastAsia" w:cstheme="minorEastAsia"/>
          <w:b/>
          <w:bCs/>
          <w:sz w:val="28"/>
          <w:szCs w:val="28"/>
          <w:lang w:val="en-US" w:eastAsia="zh-CN"/>
        </w:rPr>
        <w:fldChar w:fldCharType="end"/>
      </w:r>
      <w:r>
        <w:rPr>
          <w:rFonts w:hint="eastAsia" w:asciiTheme="minorEastAsia" w:hAnsiTheme="minorEastAsia" w:eastAsiaTheme="minorEastAsia" w:cstheme="minorEastAsia"/>
          <w:b/>
          <w:bCs/>
          <w:sz w:val="28"/>
          <w:szCs w:val="28"/>
          <w:lang w:val="en-US" w:eastAsia="zh-CN"/>
        </w:rPr>
        <w:fldChar w:fldCharType="end"/>
      </w:r>
    </w:p>
    <w:p>
      <w:pPr>
        <w:pStyle w:val="9"/>
        <w:keepNext w:val="0"/>
        <w:keepLines w:val="0"/>
        <w:pageBreakBefore w:val="0"/>
        <w:widowControl w:val="0"/>
        <w:tabs>
          <w:tab w:val="right" w:leader="dot" w:pos="9072"/>
        </w:tabs>
        <w:kinsoku/>
        <w:wordWrap/>
        <w:overflowPunct/>
        <w:topLinePunct w:val="0"/>
        <w:autoSpaceDE/>
        <w:autoSpaceDN/>
        <w:bidi w:val="0"/>
        <w:adjustRightInd/>
        <w:snapToGrid/>
        <w:spacing w:line="240" w:lineRule="auto"/>
        <w:ind w:left="0" w:left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fldChar w:fldCharType="begin"/>
      </w:r>
      <w:r>
        <w:rPr>
          <w:rFonts w:hint="eastAsia" w:asciiTheme="minorEastAsia" w:hAnsiTheme="minorEastAsia" w:eastAsiaTheme="minorEastAsia" w:cstheme="minorEastAsia"/>
          <w:sz w:val="21"/>
          <w:szCs w:val="21"/>
          <w:lang w:val="en-US" w:eastAsia="zh-CN"/>
        </w:rPr>
        <w:instrText xml:space="preserve"> HYPERLINK \l _Toc22321 </w:instrText>
      </w:r>
      <w:r>
        <w:rPr>
          <w:rFonts w:hint="eastAsia" w:asciiTheme="minorEastAsia" w:hAnsiTheme="minorEastAsia" w:eastAsiaTheme="minorEastAsia" w:cstheme="minorEastAsia"/>
          <w:sz w:val="21"/>
          <w:szCs w:val="21"/>
          <w:lang w:val="en-US" w:eastAsia="zh-CN"/>
        </w:rPr>
        <w:fldChar w:fldCharType="separate"/>
      </w:r>
      <w:r>
        <w:rPr>
          <w:rFonts w:hint="eastAsia" w:asciiTheme="minorEastAsia" w:hAnsiTheme="minorEastAsia" w:eastAsiaTheme="minorEastAsia" w:cstheme="minorEastAsia"/>
          <w:bCs/>
          <w:sz w:val="21"/>
          <w:szCs w:val="21"/>
        </w:rPr>
        <w:t>附录B1</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锅炉安全风险管控清单</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_Toc22321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53</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lang w:val="en-US" w:eastAsia="zh-CN"/>
        </w:rPr>
        <w:fldChar w:fldCharType="end"/>
      </w:r>
    </w:p>
    <w:p>
      <w:pPr>
        <w:pStyle w:val="9"/>
        <w:keepNext w:val="0"/>
        <w:keepLines w:val="0"/>
        <w:pageBreakBefore w:val="0"/>
        <w:widowControl w:val="0"/>
        <w:tabs>
          <w:tab w:val="right" w:leader="dot" w:pos="9072"/>
        </w:tabs>
        <w:kinsoku/>
        <w:wordWrap/>
        <w:overflowPunct/>
        <w:topLinePunct w:val="0"/>
        <w:autoSpaceDE/>
        <w:autoSpaceDN/>
        <w:bidi w:val="0"/>
        <w:adjustRightInd/>
        <w:snapToGrid/>
        <w:spacing w:line="240" w:lineRule="auto"/>
        <w:ind w:left="0" w:left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fldChar w:fldCharType="begin"/>
      </w:r>
      <w:r>
        <w:rPr>
          <w:rFonts w:hint="eastAsia" w:asciiTheme="minorEastAsia" w:hAnsiTheme="minorEastAsia" w:eastAsiaTheme="minorEastAsia" w:cstheme="minorEastAsia"/>
          <w:sz w:val="21"/>
          <w:szCs w:val="21"/>
          <w:lang w:val="en-US" w:eastAsia="zh-CN"/>
        </w:rPr>
        <w:instrText xml:space="preserve"> HYPERLINK \l _Toc1692 </w:instrText>
      </w:r>
      <w:r>
        <w:rPr>
          <w:rFonts w:hint="eastAsia" w:asciiTheme="minorEastAsia" w:hAnsiTheme="minorEastAsia" w:eastAsiaTheme="minorEastAsia" w:cstheme="minorEastAsia"/>
          <w:sz w:val="21"/>
          <w:szCs w:val="21"/>
          <w:lang w:val="en-US" w:eastAsia="zh-CN"/>
        </w:rPr>
        <w:fldChar w:fldCharType="separate"/>
      </w:r>
      <w:r>
        <w:rPr>
          <w:rFonts w:hint="eastAsia" w:asciiTheme="minorEastAsia" w:hAnsiTheme="minorEastAsia" w:eastAsiaTheme="minorEastAsia" w:cstheme="minorEastAsia"/>
          <w:bCs/>
          <w:sz w:val="21"/>
          <w:szCs w:val="21"/>
        </w:rPr>
        <w:t>附录B2</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压力容器安全风险管控清单</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_Toc1692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58</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lang w:val="en-US" w:eastAsia="zh-CN"/>
        </w:rPr>
        <w:fldChar w:fldCharType="end"/>
      </w:r>
    </w:p>
    <w:p>
      <w:pPr>
        <w:pStyle w:val="9"/>
        <w:keepNext w:val="0"/>
        <w:keepLines w:val="0"/>
        <w:pageBreakBefore w:val="0"/>
        <w:widowControl w:val="0"/>
        <w:tabs>
          <w:tab w:val="right" w:leader="dot" w:pos="9072"/>
        </w:tabs>
        <w:kinsoku/>
        <w:wordWrap/>
        <w:overflowPunct/>
        <w:topLinePunct w:val="0"/>
        <w:autoSpaceDE/>
        <w:autoSpaceDN/>
        <w:bidi w:val="0"/>
        <w:adjustRightInd/>
        <w:snapToGrid/>
        <w:spacing w:line="240" w:lineRule="auto"/>
        <w:ind w:left="0" w:left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fldChar w:fldCharType="begin"/>
      </w:r>
      <w:r>
        <w:rPr>
          <w:rFonts w:hint="eastAsia" w:asciiTheme="minorEastAsia" w:hAnsiTheme="minorEastAsia" w:eastAsiaTheme="minorEastAsia" w:cstheme="minorEastAsia"/>
          <w:sz w:val="21"/>
          <w:szCs w:val="21"/>
          <w:lang w:val="en-US" w:eastAsia="zh-CN"/>
        </w:rPr>
        <w:instrText xml:space="preserve"> HYPERLINK \l _Toc27144 </w:instrText>
      </w:r>
      <w:r>
        <w:rPr>
          <w:rFonts w:hint="eastAsia" w:asciiTheme="minorEastAsia" w:hAnsiTheme="minorEastAsia" w:eastAsiaTheme="minorEastAsia" w:cstheme="minorEastAsia"/>
          <w:sz w:val="21"/>
          <w:szCs w:val="21"/>
          <w:lang w:val="en-US" w:eastAsia="zh-CN"/>
        </w:rPr>
        <w:fldChar w:fldCharType="separate"/>
      </w:r>
      <w:r>
        <w:rPr>
          <w:rFonts w:hint="eastAsia" w:asciiTheme="minorEastAsia" w:hAnsiTheme="minorEastAsia" w:eastAsiaTheme="minorEastAsia" w:cstheme="minorEastAsia"/>
          <w:bCs/>
          <w:sz w:val="21"/>
          <w:szCs w:val="21"/>
        </w:rPr>
        <w:t>附录B3</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气瓶充装风险管控清单</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_Toc27144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67</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lang w:val="en-US" w:eastAsia="zh-CN"/>
        </w:rPr>
        <w:fldChar w:fldCharType="end"/>
      </w:r>
    </w:p>
    <w:p>
      <w:pPr>
        <w:pStyle w:val="9"/>
        <w:keepNext w:val="0"/>
        <w:keepLines w:val="0"/>
        <w:pageBreakBefore w:val="0"/>
        <w:widowControl w:val="0"/>
        <w:tabs>
          <w:tab w:val="right" w:leader="dot" w:pos="9072"/>
        </w:tabs>
        <w:kinsoku/>
        <w:wordWrap/>
        <w:overflowPunct/>
        <w:topLinePunct w:val="0"/>
        <w:autoSpaceDE/>
        <w:autoSpaceDN/>
        <w:bidi w:val="0"/>
        <w:adjustRightInd/>
        <w:snapToGrid/>
        <w:spacing w:line="240" w:lineRule="auto"/>
        <w:ind w:left="0" w:left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fldChar w:fldCharType="begin"/>
      </w:r>
      <w:r>
        <w:rPr>
          <w:rFonts w:hint="eastAsia" w:asciiTheme="minorEastAsia" w:hAnsiTheme="minorEastAsia" w:eastAsiaTheme="minorEastAsia" w:cstheme="minorEastAsia"/>
          <w:sz w:val="21"/>
          <w:szCs w:val="21"/>
          <w:lang w:val="en-US" w:eastAsia="zh-CN"/>
        </w:rPr>
        <w:instrText xml:space="preserve"> HYPERLINK \l _Toc18279 </w:instrText>
      </w:r>
      <w:r>
        <w:rPr>
          <w:rFonts w:hint="eastAsia" w:asciiTheme="minorEastAsia" w:hAnsiTheme="minorEastAsia" w:eastAsiaTheme="minorEastAsia" w:cstheme="minorEastAsia"/>
          <w:sz w:val="21"/>
          <w:szCs w:val="21"/>
          <w:lang w:val="en-US" w:eastAsia="zh-CN"/>
        </w:rPr>
        <w:fldChar w:fldCharType="separate"/>
      </w:r>
      <w:r>
        <w:rPr>
          <w:rFonts w:hint="eastAsia" w:asciiTheme="minorEastAsia" w:hAnsiTheme="minorEastAsia" w:eastAsiaTheme="minorEastAsia" w:cstheme="minorEastAsia"/>
          <w:bCs/>
          <w:sz w:val="21"/>
          <w:szCs w:val="21"/>
        </w:rPr>
        <w:t>附录B4</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压力管道安全风险管控清单</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_Toc18279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78</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lang w:val="en-US" w:eastAsia="zh-CN"/>
        </w:rPr>
        <w:fldChar w:fldCharType="end"/>
      </w:r>
    </w:p>
    <w:p>
      <w:pPr>
        <w:pStyle w:val="9"/>
        <w:keepNext w:val="0"/>
        <w:keepLines w:val="0"/>
        <w:pageBreakBefore w:val="0"/>
        <w:widowControl w:val="0"/>
        <w:tabs>
          <w:tab w:val="right" w:leader="dot" w:pos="9072"/>
        </w:tabs>
        <w:kinsoku/>
        <w:wordWrap/>
        <w:overflowPunct/>
        <w:topLinePunct w:val="0"/>
        <w:autoSpaceDE/>
        <w:autoSpaceDN/>
        <w:bidi w:val="0"/>
        <w:adjustRightInd/>
        <w:snapToGrid/>
        <w:spacing w:line="240" w:lineRule="auto"/>
        <w:ind w:left="0" w:left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fldChar w:fldCharType="begin"/>
      </w:r>
      <w:r>
        <w:rPr>
          <w:rFonts w:hint="eastAsia" w:asciiTheme="minorEastAsia" w:hAnsiTheme="minorEastAsia" w:eastAsiaTheme="minorEastAsia" w:cstheme="minorEastAsia"/>
          <w:sz w:val="21"/>
          <w:szCs w:val="21"/>
          <w:lang w:val="en-US" w:eastAsia="zh-CN"/>
        </w:rPr>
        <w:instrText xml:space="preserve"> HYPERLINK \l _Toc16981 </w:instrText>
      </w:r>
      <w:r>
        <w:rPr>
          <w:rFonts w:hint="eastAsia" w:asciiTheme="minorEastAsia" w:hAnsiTheme="minorEastAsia" w:eastAsiaTheme="minorEastAsia" w:cstheme="minorEastAsia"/>
          <w:sz w:val="21"/>
          <w:szCs w:val="21"/>
          <w:lang w:val="en-US" w:eastAsia="zh-CN"/>
        </w:rPr>
        <w:fldChar w:fldCharType="separate"/>
      </w:r>
      <w:r>
        <w:rPr>
          <w:rFonts w:hint="eastAsia" w:asciiTheme="minorEastAsia" w:hAnsiTheme="minorEastAsia" w:eastAsiaTheme="minorEastAsia" w:cstheme="minorEastAsia"/>
          <w:bCs/>
          <w:sz w:val="21"/>
          <w:szCs w:val="21"/>
        </w:rPr>
        <w:t>附录B5</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电梯安全风险管控清单</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_Toc16981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84</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lang w:val="en-US" w:eastAsia="zh-CN"/>
        </w:rPr>
        <w:fldChar w:fldCharType="end"/>
      </w:r>
    </w:p>
    <w:p>
      <w:pPr>
        <w:pStyle w:val="9"/>
        <w:keepNext w:val="0"/>
        <w:keepLines w:val="0"/>
        <w:pageBreakBefore w:val="0"/>
        <w:widowControl w:val="0"/>
        <w:tabs>
          <w:tab w:val="right" w:leader="dot" w:pos="9072"/>
        </w:tabs>
        <w:kinsoku/>
        <w:wordWrap/>
        <w:overflowPunct/>
        <w:topLinePunct w:val="0"/>
        <w:autoSpaceDE/>
        <w:autoSpaceDN/>
        <w:bidi w:val="0"/>
        <w:adjustRightInd/>
        <w:snapToGrid/>
        <w:spacing w:line="240" w:lineRule="auto"/>
        <w:ind w:left="0" w:left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fldChar w:fldCharType="begin"/>
      </w:r>
      <w:r>
        <w:rPr>
          <w:rFonts w:hint="eastAsia" w:asciiTheme="minorEastAsia" w:hAnsiTheme="minorEastAsia" w:eastAsiaTheme="minorEastAsia" w:cstheme="minorEastAsia"/>
          <w:sz w:val="21"/>
          <w:szCs w:val="21"/>
          <w:lang w:val="en-US" w:eastAsia="zh-CN"/>
        </w:rPr>
        <w:instrText xml:space="preserve"> HYPERLINK \l _Toc23194 </w:instrText>
      </w:r>
      <w:r>
        <w:rPr>
          <w:rFonts w:hint="eastAsia" w:asciiTheme="minorEastAsia" w:hAnsiTheme="minorEastAsia" w:eastAsiaTheme="minorEastAsia" w:cstheme="minorEastAsia"/>
          <w:sz w:val="21"/>
          <w:szCs w:val="21"/>
          <w:lang w:val="en-US" w:eastAsia="zh-CN"/>
        </w:rPr>
        <w:fldChar w:fldCharType="separate"/>
      </w:r>
      <w:r>
        <w:rPr>
          <w:rFonts w:hint="eastAsia" w:asciiTheme="minorEastAsia" w:hAnsiTheme="minorEastAsia" w:eastAsiaTheme="minorEastAsia" w:cstheme="minorEastAsia"/>
          <w:bCs/>
          <w:sz w:val="21"/>
          <w:szCs w:val="21"/>
        </w:rPr>
        <w:t>附录B6</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起重机械安全风险管控清单</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_Toc23194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88</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lang w:val="en-US" w:eastAsia="zh-CN"/>
        </w:rPr>
        <w:fldChar w:fldCharType="end"/>
      </w:r>
    </w:p>
    <w:p>
      <w:pPr>
        <w:pStyle w:val="9"/>
        <w:keepNext w:val="0"/>
        <w:keepLines w:val="0"/>
        <w:pageBreakBefore w:val="0"/>
        <w:widowControl w:val="0"/>
        <w:tabs>
          <w:tab w:val="right" w:leader="dot" w:pos="9072"/>
        </w:tabs>
        <w:kinsoku/>
        <w:wordWrap/>
        <w:overflowPunct/>
        <w:topLinePunct w:val="0"/>
        <w:autoSpaceDE/>
        <w:autoSpaceDN/>
        <w:bidi w:val="0"/>
        <w:adjustRightInd/>
        <w:snapToGrid/>
        <w:spacing w:line="240" w:lineRule="auto"/>
        <w:ind w:left="0" w:left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fldChar w:fldCharType="begin"/>
      </w:r>
      <w:r>
        <w:rPr>
          <w:rFonts w:hint="eastAsia" w:asciiTheme="minorEastAsia" w:hAnsiTheme="minorEastAsia" w:eastAsiaTheme="minorEastAsia" w:cstheme="minorEastAsia"/>
          <w:sz w:val="21"/>
          <w:szCs w:val="21"/>
          <w:lang w:val="en-US" w:eastAsia="zh-CN"/>
        </w:rPr>
        <w:instrText xml:space="preserve"> HYPERLINK \l _Toc28686 </w:instrText>
      </w:r>
      <w:r>
        <w:rPr>
          <w:rFonts w:hint="eastAsia" w:asciiTheme="minorEastAsia" w:hAnsiTheme="minorEastAsia" w:eastAsiaTheme="minorEastAsia" w:cstheme="minorEastAsia"/>
          <w:sz w:val="21"/>
          <w:szCs w:val="21"/>
          <w:lang w:val="en-US" w:eastAsia="zh-CN"/>
        </w:rPr>
        <w:fldChar w:fldCharType="separate"/>
      </w:r>
      <w:r>
        <w:rPr>
          <w:rFonts w:hint="eastAsia" w:asciiTheme="minorEastAsia" w:hAnsiTheme="minorEastAsia" w:eastAsiaTheme="minorEastAsia" w:cstheme="minorEastAsia"/>
          <w:bCs/>
          <w:sz w:val="21"/>
          <w:szCs w:val="21"/>
        </w:rPr>
        <w:t>附录B7</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客运索道安全风险管控清单</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_Toc28686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92</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lang w:val="en-US" w:eastAsia="zh-CN"/>
        </w:rPr>
        <w:fldChar w:fldCharType="end"/>
      </w:r>
    </w:p>
    <w:p>
      <w:pPr>
        <w:pStyle w:val="9"/>
        <w:keepNext w:val="0"/>
        <w:keepLines w:val="0"/>
        <w:pageBreakBefore w:val="0"/>
        <w:widowControl w:val="0"/>
        <w:tabs>
          <w:tab w:val="right" w:leader="dot" w:pos="9072"/>
        </w:tabs>
        <w:kinsoku/>
        <w:wordWrap/>
        <w:overflowPunct/>
        <w:topLinePunct w:val="0"/>
        <w:autoSpaceDE/>
        <w:autoSpaceDN/>
        <w:bidi w:val="0"/>
        <w:adjustRightInd/>
        <w:snapToGrid/>
        <w:spacing w:line="240" w:lineRule="auto"/>
        <w:ind w:left="0" w:left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fldChar w:fldCharType="begin"/>
      </w:r>
      <w:r>
        <w:rPr>
          <w:rFonts w:hint="eastAsia" w:asciiTheme="minorEastAsia" w:hAnsiTheme="minorEastAsia" w:eastAsiaTheme="minorEastAsia" w:cstheme="minorEastAsia"/>
          <w:sz w:val="21"/>
          <w:szCs w:val="21"/>
          <w:lang w:val="en-US" w:eastAsia="zh-CN"/>
        </w:rPr>
        <w:instrText xml:space="preserve"> HYPERLINK \l _Toc26782 </w:instrText>
      </w:r>
      <w:r>
        <w:rPr>
          <w:rFonts w:hint="eastAsia" w:asciiTheme="minorEastAsia" w:hAnsiTheme="minorEastAsia" w:eastAsiaTheme="minorEastAsia" w:cstheme="minorEastAsia"/>
          <w:sz w:val="21"/>
          <w:szCs w:val="21"/>
          <w:lang w:val="en-US" w:eastAsia="zh-CN"/>
        </w:rPr>
        <w:fldChar w:fldCharType="separate"/>
      </w:r>
      <w:r>
        <w:rPr>
          <w:rFonts w:hint="eastAsia" w:asciiTheme="minorEastAsia" w:hAnsiTheme="minorEastAsia" w:eastAsiaTheme="minorEastAsia" w:cstheme="minorEastAsia"/>
          <w:bCs/>
          <w:sz w:val="21"/>
          <w:szCs w:val="21"/>
        </w:rPr>
        <w:t>附录B8</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大型游乐设施安全风险管控清单</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_Toc26782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96</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lang w:val="en-US" w:eastAsia="zh-CN"/>
        </w:rPr>
        <w:fldChar w:fldCharType="end"/>
      </w:r>
    </w:p>
    <w:p>
      <w:pPr>
        <w:pStyle w:val="9"/>
        <w:keepNext w:val="0"/>
        <w:keepLines w:val="0"/>
        <w:pageBreakBefore w:val="0"/>
        <w:widowControl w:val="0"/>
        <w:tabs>
          <w:tab w:val="right" w:leader="dot" w:pos="9072"/>
        </w:tabs>
        <w:kinsoku/>
        <w:wordWrap/>
        <w:overflowPunct/>
        <w:topLinePunct w:val="0"/>
        <w:autoSpaceDE/>
        <w:autoSpaceDN/>
        <w:bidi w:val="0"/>
        <w:adjustRightInd/>
        <w:snapToGrid/>
        <w:spacing w:line="240" w:lineRule="auto"/>
        <w:ind w:left="0" w:left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fldChar w:fldCharType="begin"/>
      </w:r>
      <w:r>
        <w:rPr>
          <w:rFonts w:hint="eastAsia" w:asciiTheme="minorEastAsia" w:hAnsiTheme="minorEastAsia" w:eastAsiaTheme="minorEastAsia" w:cstheme="minorEastAsia"/>
          <w:sz w:val="21"/>
          <w:szCs w:val="21"/>
          <w:lang w:val="en-US" w:eastAsia="zh-CN"/>
        </w:rPr>
        <w:instrText xml:space="preserve"> HYPERLINK \l _Toc6423 </w:instrText>
      </w:r>
      <w:r>
        <w:rPr>
          <w:rFonts w:hint="eastAsia" w:asciiTheme="minorEastAsia" w:hAnsiTheme="minorEastAsia" w:eastAsiaTheme="minorEastAsia" w:cstheme="minorEastAsia"/>
          <w:sz w:val="21"/>
          <w:szCs w:val="21"/>
          <w:lang w:val="en-US" w:eastAsia="zh-CN"/>
        </w:rPr>
        <w:fldChar w:fldCharType="separate"/>
      </w:r>
      <w:r>
        <w:rPr>
          <w:rFonts w:hint="eastAsia" w:asciiTheme="minorEastAsia" w:hAnsiTheme="minorEastAsia" w:eastAsiaTheme="minorEastAsia" w:cstheme="minorEastAsia"/>
          <w:bCs/>
          <w:sz w:val="21"/>
          <w:szCs w:val="21"/>
        </w:rPr>
        <w:t>附录B9</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场车安全风险管控清单</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_Toc6423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99</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lang w:val="en-US" w:eastAsia="zh-CN"/>
        </w:rPr>
        <w:fldChar w:fldCharType="end"/>
      </w:r>
    </w:p>
    <w:p>
      <w:pPr>
        <w:pStyle w:val="9"/>
        <w:keepNext w:val="0"/>
        <w:keepLines w:val="0"/>
        <w:pageBreakBefore w:val="0"/>
        <w:widowControl w:val="0"/>
        <w:tabs>
          <w:tab w:val="right" w:leader="dot" w:pos="9072"/>
        </w:tabs>
        <w:kinsoku/>
        <w:wordWrap/>
        <w:overflowPunct/>
        <w:topLinePunct w:val="0"/>
        <w:autoSpaceDE/>
        <w:autoSpaceDN/>
        <w:bidi w:val="0"/>
        <w:adjustRightInd/>
        <w:snapToGrid/>
        <w:spacing w:line="240" w:lineRule="auto"/>
        <w:ind w:left="0" w:leftChars="0" w:firstLine="0" w:firstLineChars="0"/>
        <w:textAlignment w:val="auto"/>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四、</w:t>
      </w:r>
      <w:r>
        <w:rPr>
          <w:rFonts w:hint="eastAsia" w:asciiTheme="minorEastAsia" w:hAnsiTheme="minorEastAsia" w:eastAsiaTheme="minorEastAsia" w:cstheme="minorEastAsia"/>
          <w:b/>
          <w:bCs/>
          <w:sz w:val="28"/>
          <w:szCs w:val="28"/>
          <w:lang w:val="en-US" w:eastAsia="zh-CN"/>
        </w:rPr>
        <w:fldChar w:fldCharType="begin"/>
      </w:r>
      <w:r>
        <w:rPr>
          <w:rFonts w:hint="eastAsia" w:asciiTheme="minorEastAsia" w:hAnsiTheme="minorEastAsia" w:eastAsiaTheme="minorEastAsia" w:cstheme="minorEastAsia"/>
          <w:b/>
          <w:bCs/>
          <w:sz w:val="28"/>
          <w:szCs w:val="28"/>
          <w:lang w:val="en-US" w:eastAsia="zh-CN"/>
        </w:rPr>
        <w:instrText xml:space="preserve"> HYPERLINK \l _Toc10845 </w:instrText>
      </w:r>
      <w:r>
        <w:rPr>
          <w:rFonts w:hint="eastAsia" w:asciiTheme="minorEastAsia" w:hAnsiTheme="minorEastAsia" w:eastAsiaTheme="minorEastAsia" w:cstheme="minorEastAsia"/>
          <w:b/>
          <w:bCs/>
          <w:sz w:val="28"/>
          <w:szCs w:val="28"/>
          <w:lang w:val="en-US" w:eastAsia="zh-CN"/>
        </w:rPr>
        <w:fldChar w:fldCharType="separate"/>
      </w:r>
      <w:r>
        <w:rPr>
          <w:rFonts w:hint="eastAsia" w:asciiTheme="minorEastAsia" w:hAnsiTheme="minorEastAsia" w:eastAsiaTheme="minorEastAsia" w:cstheme="minorEastAsia"/>
          <w:b/>
          <w:bCs/>
          <w:sz w:val="28"/>
          <w:szCs w:val="28"/>
          <w:lang w:val="en-US" w:eastAsia="zh-CN"/>
        </w:rPr>
        <w:t>特种设备使用安全风险日管控、周排查、月调度管理制度</w:t>
      </w:r>
      <w:r>
        <w:rPr>
          <w:rFonts w:hint="eastAsia" w:asciiTheme="minorEastAsia" w:hAnsiTheme="minorEastAsia" w:eastAsiaTheme="minorEastAsia" w:cstheme="minorEastAsia"/>
          <w:b/>
          <w:bCs/>
          <w:sz w:val="28"/>
          <w:szCs w:val="28"/>
          <w:lang w:val="en-US" w:eastAsia="zh-CN"/>
        </w:rPr>
        <w:tab/>
      </w:r>
      <w:r>
        <w:rPr>
          <w:rFonts w:hint="eastAsia" w:asciiTheme="minorEastAsia" w:hAnsiTheme="minorEastAsia" w:eastAsiaTheme="minorEastAsia" w:cstheme="minorEastAsia"/>
          <w:b/>
          <w:bCs/>
          <w:sz w:val="28"/>
          <w:szCs w:val="28"/>
          <w:lang w:val="en-US" w:eastAsia="zh-CN"/>
        </w:rPr>
        <w:fldChar w:fldCharType="begin"/>
      </w:r>
      <w:r>
        <w:rPr>
          <w:rFonts w:hint="eastAsia" w:asciiTheme="minorEastAsia" w:hAnsiTheme="minorEastAsia" w:eastAsiaTheme="minorEastAsia" w:cstheme="minorEastAsia"/>
          <w:b/>
          <w:bCs/>
          <w:sz w:val="28"/>
          <w:szCs w:val="28"/>
          <w:lang w:val="en-US" w:eastAsia="zh-CN"/>
        </w:rPr>
        <w:instrText xml:space="preserve"> PAGEREF _Toc10845 \h </w:instrText>
      </w:r>
      <w:r>
        <w:rPr>
          <w:rFonts w:hint="eastAsia" w:asciiTheme="minorEastAsia" w:hAnsiTheme="minorEastAsia" w:eastAsiaTheme="minorEastAsia" w:cstheme="minorEastAsia"/>
          <w:b/>
          <w:bCs/>
          <w:sz w:val="28"/>
          <w:szCs w:val="28"/>
          <w:lang w:val="en-US" w:eastAsia="zh-CN"/>
        </w:rPr>
        <w:fldChar w:fldCharType="separate"/>
      </w:r>
      <w:r>
        <w:rPr>
          <w:rFonts w:hint="eastAsia" w:asciiTheme="minorEastAsia" w:hAnsiTheme="minorEastAsia" w:eastAsiaTheme="minorEastAsia" w:cstheme="minorEastAsia"/>
          <w:b/>
          <w:bCs/>
          <w:sz w:val="28"/>
          <w:szCs w:val="28"/>
          <w:lang w:val="en-US" w:eastAsia="zh-CN"/>
        </w:rPr>
        <w:t>106</w:t>
      </w:r>
      <w:r>
        <w:rPr>
          <w:rFonts w:hint="eastAsia" w:asciiTheme="minorEastAsia" w:hAnsiTheme="minorEastAsia" w:eastAsiaTheme="minorEastAsia" w:cstheme="minorEastAsia"/>
          <w:b/>
          <w:bCs/>
          <w:sz w:val="28"/>
          <w:szCs w:val="28"/>
          <w:lang w:val="en-US" w:eastAsia="zh-CN"/>
        </w:rPr>
        <w:fldChar w:fldCharType="end"/>
      </w:r>
      <w:r>
        <w:rPr>
          <w:rFonts w:hint="eastAsia" w:asciiTheme="minorEastAsia" w:hAnsiTheme="minorEastAsia" w:eastAsiaTheme="minorEastAsia" w:cstheme="minorEastAsia"/>
          <w:b/>
          <w:bCs/>
          <w:sz w:val="28"/>
          <w:szCs w:val="28"/>
          <w:lang w:val="en-US" w:eastAsia="zh-CN"/>
        </w:rPr>
        <w:fldChar w:fldCharType="end"/>
      </w:r>
    </w:p>
    <w:p>
      <w:pPr>
        <w:pStyle w:val="9"/>
        <w:keepNext w:val="0"/>
        <w:keepLines w:val="0"/>
        <w:pageBreakBefore w:val="0"/>
        <w:widowControl w:val="0"/>
        <w:tabs>
          <w:tab w:val="right" w:leader="dot" w:pos="9072"/>
        </w:tabs>
        <w:kinsoku/>
        <w:wordWrap/>
        <w:overflowPunct/>
        <w:topLinePunct w:val="0"/>
        <w:autoSpaceDE/>
        <w:autoSpaceDN/>
        <w:bidi w:val="0"/>
        <w:adjustRightInd/>
        <w:snapToGrid/>
        <w:spacing w:line="240" w:lineRule="auto"/>
        <w:ind w:left="0" w:left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fldChar w:fldCharType="begin"/>
      </w:r>
      <w:r>
        <w:rPr>
          <w:rFonts w:hint="eastAsia" w:asciiTheme="minorEastAsia" w:hAnsiTheme="minorEastAsia" w:eastAsiaTheme="minorEastAsia" w:cstheme="minorEastAsia"/>
          <w:sz w:val="21"/>
          <w:szCs w:val="21"/>
          <w:lang w:val="en-US" w:eastAsia="zh-CN"/>
        </w:rPr>
        <w:instrText xml:space="preserve"> HYPERLINK \l _Toc29847 </w:instrText>
      </w:r>
      <w:r>
        <w:rPr>
          <w:rFonts w:hint="eastAsia" w:asciiTheme="minorEastAsia" w:hAnsiTheme="minorEastAsia" w:eastAsiaTheme="minorEastAsia" w:cstheme="minorEastAsia"/>
          <w:sz w:val="21"/>
          <w:szCs w:val="21"/>
          <w:lang w:val="en-US" w:eastAsia="zh-CN"/>
        </w:rPr>
        <w:fldChar w:fldCharType="separate"/>
      </w:r>
      <w:r>
        <w:rPr>
          <w:rFonts w:hint="eastAsia" w:asciiTheme="minorEastAsia" w:hAnsiTheme="minorEastAsia" w:eastAsiaTheme="minorEastAsia" w:cstheme="minorEastAsia"/>
          <w:sz w:val="21"/>
          <w:szCs w:val="21"/>
        </w:rPr>
        <w:t>每日XX安全检查记录</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_Toc29847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110</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lang w:val="en-US" w:eastAsia="zh-CN"/>
        </w:rPr>
        <w:fldChar w:fldCharType="end"/>
      </w:r>
    </w:p>
    <w:p>
      <w:pPr>
        <w:pStyle w:val="9"/>
        <w:keepNext w:val="0"/>
        <w:keepLines w:val="0"/>
        <w:pageBreakBefore w:val="0"/>
        <w:widowControl w:val="0"/>
        <w:tabs>
          <w:tab w:val="right" w:leader="dot" w:pos="9072"/>
        </w:tabs>
        <w:kinsoku/>
        <w:wordWrap/>
        <w:overflowPunct/>
        <w:topLinePunct w:val="0"/>
        <w:autoSpaceDE/>
        <w:autoSpaceDN/>
        <w:bidi w:val="0"/>
        <w:adjustRightInd/>
        <w:snapToGrid/>
        <w:spacing w:line="240" w:lineRule="auto"/>
        <w:ind w:left="0" w:left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fldChar w:fldCharType="begin"/>
      </w:r>
      <w:r>
        <w:rPr>
          <w:rFonts w:hint="eastAsia" w:asciiTheme="minorEastAsia" w:hAnsiTheme="minorEastAsia" w:eastAsiaTheme="minorEastAsia" w:cstheme="minorEastAsia"/>
          <w:sz w:val="21"/>
          <w:szCs w:val="21"/>
          <w:lang w:val="en-US" w:eastAsia="zh-CN"/>
        </w:rPr>
        <w:instrText xml:space="preserve"> HYPERLINK \l _Toc21765 </w:instrText>
      </w:r>
      <w:r>
        <w:rPr>
          <w:rFonts w:hint="eastAsia" w:asciiTheme="minorEastAsia" w:hAnsiTheme="minorEastAsia" w:eastAsiaTheme="minorEastAsia" w:cstheme="minorEastAsia"/>
          <w:sz w:val="21"/>
          <w:szCs w:val="21"/>
          <w:lang w:val="en-US" w:eastAsia="zh-CN"/>
        </w:rPr>
        <w:fldChar w:fldCharType="separate"/>
      </w:r>
      <w:r>
        <w:rPr>
          <w:rFonts w:hint="eastAsia" w:asciiTheme="minorEastAsia" w:hAnsiTheme="minorEastAsia" w:eastAsiaTheme="minorEastAsia" w:cstheme="minorEastAsia"/>
          <w:sz w:val="21"/>
          <w:szCs w:val="21"/>
        </w:rPr>
        <w:t>每周XX安全排查报告</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_Toc21765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111</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lang w:val="en-US" w:eastAsia="zh-CN"/>
        </w:rPr>
        <w:fldChar w:fldCharType="end"/>
      </w:r>
    </w:p>
    <w:p>
      <w:pPr>
        <w:pStyle w:val="9"/>
        <w:keepNext w:val="0"/>
        <w:keepLines w:val="0"/>
        <w:pageBreakBefore w:val="0"/>
        <w:widowControl w:val="0"/>
        <w:tabs>
          <w:tab w:val="right" w:leader="dot" w:pos="9072"/>
        </w:tabs>
        <w:kinsoku/>
        <w:wordWrap/>
        <w:overflowPunct/>
        <w:topLinePunct w:val="0"/>
        <w:autoSpaceDE/>
        <w:autoSpaceDN/>
        <w:bidi w:val="0"/>
        <w:adjustRightInd/>
        <w:snapToGrid/>
        <w:spacing w:line="240" w:lineRule="auto"/>
        <w:ind w:left="0" w:left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fldChar w:fldCharType="begin"/>
      </w:r>
      <w:r>
        <w:rPr>
          <w:rFonts w:hint="eastAsia" w:asciiTheme="minorEastAsia" w:hAnsiTheme="minorEastAsia" w:eastAsiaTheme="minorEastAsia" w:cstheme="minorEastAsia"/>
          <w:sz w:val="21"/>
          <w:szCs w:val="21"/>
          <w:lang w:val="en-US" w:eastAsia="zh-CN"/>
        </w:rPr>
        <w:instrText xml:space="preserve"> HYPERLINK \l _Toc19449 </w:instrText>
      </w:r>
      <w:r>
        <w:rPr>
          <w:rFonts w:hint="eastAsia" w:asciiTheme="minorEastAsia" w:hAnsiTheme="minorEastAsia" w:eastAsiaTheme="minorEastAsia" w:cstheme="minorEastAsia"/>
          <w:sz w:val="21"/>
          <w:szCs w:val="21"/>
          <w:lang w:val="en-US" w:eastAsia="zh-CN"/>
        </w:rPr>
        <w:fldChar w:fldCharType="separate"/>
      </w:r>
      <w:r>
        <w:rPr>
          <w:rFonts w:hint="eastAsia" w:asciiTheme="minorEastAsia" w:hAnsiTheme="minorEastAsia" w:eastAsiaTheme="minorEastAsia" w:cstheme="minorEastAsia"/>
          <w:sz w:val="21"/>
          <w:szCs w:val="21"/>
        </w:rPr>
        <w:t>每月安全调度会议纪要</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_Toc19449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112</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lang w:val="en-US" w:eastAsia="zh-CN"/>
        </w:rPr>
        <w:fldChar w:fldCharType="end"/>
      </w:r>
    </w:p>
    <w:p>
      <w:pPr>
        <w:pStyle w:val="9"/>
        <w:keepNext w:val="0"/>
        <w:keepLines w:val="0"/>
        <w:pageBreakBefore w:val="0"/>
        <w:widowControl w:val="0"/>
        <w:tabs>
          <w:tab w:val="right" w:leader="dot" w:pos="9072"/>
        </w:tabs>
        <w:kinsoku/>
        <w:wordWrap/>
        <w:overflowPunct/>
        <w:topLinePunct w:val="0"/>
        <w:autoSpaceDE/>
        <w:autoSpaceDN/>
        <w:bidi w:val="0"/>
        <w:adjustRightInd/>
        <w:snapToGrid/>
        <w:spacing w:line="240" w:lineRule="auto"/>
        <w:ind w:left="0" w:leftChars="0" w:firstLine="0" w:firstLineChars="0"/>
        <w:textAlignment w:val="auto"/>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五、</w:t>
      </w:r>
      <w:r>
        <w:rPr>
          <w:rFonts w:hint="eastAsia" w:asciiTheme="minorEastAsia" w:hAnsiTheme="minorEastAsia" w:eastAsiaTheme="minorEastAsia" w:cstheme="minorEastAsia"/>
          <w:b/>
          <w:bCs/>
          <w:sz w:val="28"/>
          <w:szCs w:val="28"/>
          <w:lang w:val="en-US" w:eastAsia="zh-CN"/>
        </w:rPr>
        <w:fldChar w:fldCharType="begin"/>
      </w:r>
      <w:r>
        <w:rPr>
          <w:rFonts w:hint="eastAsia" w:asciiTheme="minorEastAsia" w:hAnsiTheme="minorEastAsia" w:eastAsiaTheme="minorEastAsia" w:cstheme="minorEastAsia"/>
          <w:b/>
          <w:bCs/>
          <w:sz w:val="28"/>
          <w:szCs w:val="28"/>
          <w:lang w:val="en-US" w:eastAsia="zh-CN"/>
        </w:rPr>
        <w:instrText xml:space="preserve"> HYPERLINK \l _Toc30483 </w:instrText>
      </w:r>
      <w:r>
        <w:rPr>
          <w:rFonts w:hint="eastAsia" w:asciiTheme="minorEastAsia" w:hAnsiTheme="minorEastAsia" w:eastAsiaTheme="minorEastAsia" w:cstheme="minorEastAsia"/>
          <w:b/>
          <w:bCs/>
          <w:sz w:val="28"/>
          <w:szCs w:val="28"/>
          <w:lang w:val="en-US" w:eastAsia="zh-CN"/>
        </w:rPr>
        <w:fldChar w:fldCharType="separate"/>
      </w:r>
      <w:r>
        <w:rPr>
          <w:rFonts w:hint="eastAsia" w:asciiTheme="minorEastAsia" w:hAnsiTheme="minorEastAsia" w:eastAsiaTheme="minorEastAsia" w:cstheme="minorEastAsia"/>
          <w:b/>
          <w:bCs/>
          <w:sz w:val="28"/>
          <w:szCs w:val="28"/>
          <w:lang w:val="en-US" w:eastAsia="zh-CN"/>
        </w:rPr>
        <w:t>有关通知</w:t>
      </w:r>
      <w:r>
        <w:rPr>
          <w:rFonts w:hint="eastAsia" w:asciiTheme="minorEastAsia" w:hAnsiTheme="minorEastAsia" w:eastAsiaTheme="minorEastAsia" w:cstheme="minorEastAsia"/>
          <w:b/>
          <w:bCs/>
          <w:sz w:val="28"/>
          <w:szCs w:val="28"/>
          <w:lang w:val="en-US" w:eastAsia="zh-CN"/>
        </w:rPr>
        <w:tab/>
      </w:r>
      <w:r>
        <w:rPr>
          <w:rFonts w:hint="eastAsia" w:asciiTheme="minorEastAsia" w:hAnsiTheme="minorEastAsia" w:eastAsiaTheme="minorEastAsia" w:cstheme="minorEastAsia"/>
          <w:b/>
          <w:bCs/>
          <w:sz w:val="28"/>
          <w:szCs w:val="28"/>
          <w:lang w:val="en-US" w:eastAsia="zh-CN"/>
        </w:rPr>
        <w:fldChar w:fldCharType="begin"/>
      </w:r>
      <w:r>
        <w:rPr>
          <w:rFonts w:hint="eastAsia" w:asciiTheme="minorEastAsia" w:hAnsiTheme="minorEastAsia" w:eastAsiaTheme="minorEastAsia" w:cstheme="minorEastAsia"/>
          <w:b/>
          <w:bCs/>
          <w:sz w:val="28"/>
          <w:szCs w:val="28"/>
          <w:lang w:val="en-US" w:eastAsia="zh-CN"/>
        </w:rPr>
        <w:instrText xml:space="preserve"> PAGEREF _Toc30483 \h </w:instrText>
      </w:r>
      <w:r>
        <w:rPr>
          <w:rFonts w:hint="eastAsia" w:asciiTheme="minorEastAsia" w:hAnsiTheme="minorEastAsia" w:eastAsiaTheme="minorEastAsia" w:cstheme="minorEastAsia"/>
          <w:b/>
          <w:bCs/>
          <w:sz w:val="28"/>
          <w:szCs w:val="28"/>
          <w:lang w:val="en-US" w:eastAsia="zh-CN"/>
        </w:rPr>
        <w:fldChar w:fldCharType="separate"/>
      </w:r>
      <w:r>
        <w:rPr>
          <w:rFonts w:hint="eastAsia" w:asciiTheme="minorEastAsia" w:hAnsiTheme="minorEastAsia" w:eastAsiaTheme="minorEastAsia" w:cstheme="minorEastAsia"/>
          <w:b/>
          <w:bCs/>
          <w:sz w:val="28"/>
          <w:szCs w:val="28"/>
          <w:lang w:val="en-US" w:eastAsia="zh-CN"/>
        </w:rPr>
        <w:t>113</w:t>
      </w:r>
      <w:r>
        <w:rPr>
          <w:rFonts w:hint="eastAsia" w:asciiTheme="minorEastAsia" w:hAnsiTheme="minorEastAsia" w:eastAsiaTheme="minorEastAsia" w:cstheme="minorEastAsia"/>
          <w:b/>
          <w:bCs/>
          <w:sz w:val="28"/>
          <w:szCs w:val="28"/>
          <w:lang w:val="en-US" w:eastAsia="zh-CN"/>
        </w:rPr>
        <w:fldChar w:fldCharType="end"/>
      </w:r>
      <w:r>
        <w:rPr>
          <w:rFonts w:hint="eastAsia" w:asciiTheme="minorEastAsia" w:hAnsiTheme="minorEastAsia" w:eastAsiaTheme="minorEastAsia" w:cstheme="minorEastAsia"/>
          <w:b/>
          <w:bCs/>
          <w:sz w:val="28"/>
          <w:szCs w:val="28"/>
          <w:lang w:val="en-US" w:eastAsia="zh-CN"/>
        </w:rPr>
        <w:fldChar w:fldCharType="end"/>
      </w:r>
    </w:p>
    <w:p>
      <w:pPr>
        <w:rPr>
          <w:rFonts w:hint="eastAsia"/>
          <w:lang w:val="en-US" w:eastAsia="zh-CN"/>
        </w:rPr>
      </w:pPr>
      <w:r>
        <w:rPr>
          <w:rFonts w:hint="eastAsia"/>
          <w:lang w:val="en-US" w:eastAsia="zh-CN"/>
        </w:rPr>
        <w:fldChar w:fldCharType="end"/>
      </w:r>
    </w:p>
    <w:p>
      <w:pPr>
        <w:rPr>
          <w:rFonts w:hint="eastAsia"/>
          <w:lang w:val="en-US" w:eastAsia="zh-CN"/>
        </w:rPr>
      </w:pPr>
      <w:r>
        <w:rPr>
          <w:rFonts w:hint="eastAsia"/>
          <w:lang w:val="en-US" w:eastAsia="zh-CN"/>
        </w:rPr>
        <w:br w:type="page"/>
      </w:r>
    </w:p>
    <w:p>
      <w:pPr>
        <w:pStyle w:val="4"/>
        <w:bidi w:val="0"/>
        <w:rPr>
          <w:rFonts w:hint="eastAsia"/>
          <w:lang w:val="en-US" w:eastAsia="zh-CN"/>
        </w:rPr>
      </w:pPr>
      <w:bookmarkStart w:id="11" w:name="_Toc15354"/>
      <w:bookmarkStart w:id="12" w:name="_Toc21774"/>
      <w:bookmarkStart w:id="13" w:name="_Toc20097"/>
    </w:p>
    <w:p>
      <w:pPr>
        <w:pStyle w:val="4"/>
        <w:bidi w:val="0"/>
        <w:rPr>
          <w:rFonts w:hint="eastAsia"/>
          <w:lang w:val="en-US" w:eastAsia="zh-CN"/>
        </w:rPr>
      </w:pPr>
    </w:p>
    <w:p>
      <w:pPr>
        <w:pStyle w:val="4"/>
        <w:bidi w:val="0"/>
        <w:rPr>
          <w:rFonts w:hint="eastAsia"/>
          <w:lang w:val="en-US" w:eastAsia="zh-CN"/>
        </w:rPr>
      </w:pPr>
      <w:r>
        <w:rPr>
          <w:rFonts w:hint="eastAsia"/>
          <w:lang w:val="en-US" w:eastAsia="zh-CN"/>
        </w:rPr>
        <w:t>一、特种设备使用单位安全总监职责</w:t>
      </w:r>
      <w:bookmarkEnd w:id="8"/>
      <w:bookmarkEnd w:id="9"/>
      <w:bookmarkEnd w:id="10"/>
      <w:bookmarkEnd w:id="11"/>
      <w:bookmarkEnd w:id="12"/>
      <w:bookmarkEnd w:id="13"/>
    </w:p>
    <w:p>
      <w:pPr>
        <w:rPr>
          <w:rFonts w:hint="eastAsia"/>
        </w:rPr>
      </w:pPr>
      <w:r>
        <w:rPr>
          <w:rFonts w:hint="eastAsia"/>
        </w:rPr>
        <w:br w:type="page"/>
      </w:r>
    </w:p>
    <w:p>
      <w:pPr>
        <w:pStyle w:val="4"/>
        <w:bidi w:val="0"/>
        <w:rPr>
          <w:lang w:val="zh-TW"/>
        </w:rPr>
      </w:pPr>
      <w:bookmarkStart w:id="14" w:name="_Toc27284"/>
      <w:bookmarkStart w:id="15" w:name="_Toc22896"/>
      <w:bookmarkStart w:id="16" w:name="_Toc9984"/>
      <w:bookmarkStart w:id="17" w:name="_Toc21327_WPSOffice_Level2"/>
      <w:bookmarkStart w:id="18" w:name="_Toc12467"/>
      <w:r>
        <w:rPr>
          <w:rFonts w:hint="eastAsia"/>
          <w:lang w:val="zh-TW"/>
        </w:rPr>
        <w:t>锅炉安全总监职责</w:t>
      </w:r>
      <w:bookmarkEnd w:id="14"/>
      <w:bookmarkEnd w:id="15"/>
      <w:bookmarkEnd w:id="16"/>
      <w:bookmarkEnd w:id="17"/>
      <w:bookmarkEnd w:id="18"/>
    </w:p>
    <w:p>
      <w:pPr>
        <w:bidi w:val="0"/>
        <w:rPr>
          <w:lang w:val="zh-TW"/>
        </w:rPr>
      </w:pPr>
      <w:r>
        <w:rPr>
          <w:rFonts w:hint="eastAsia"/>
          <w:lang w:val="zh-TW"/>
        </w:rPr>
        <w:t>本单位设立的锅炉安全总监是指管理层中负责锅炉使用安全的管理人员。安全总监直接对本单位主要负责人负责，承担下列职责：</w:t>
      </w:r>
    </w:p>
    <w:p>
      <w:pPr>
        <w:bidi w:val="0"/>
        <w:rPr>
          <w:lang w:val="zh-TW"/>
        </w:rPr>
      </w:pPr>
      <w:r>
        <w:rPr>
          <w:rFonts w:hint="eastAsia"/>
          <w:lang w:val="zh-TW"/>
        </w:rPr>
        <w:t>（一）协助主要负责人履行本单位锅炉安全的领导职责，确保本单位锅炉的安全使用；</w:t>
      </w:r>
    </w:p>
    <w:p>
      <w:pPr>
        <w:bidi w:val="0"/>
        <w:rPr>
          <w:lang w:val="zh-TW"/>
        </w:rPr>
      </w:pPr>
      <w:r>
        <w:rPr>
          <w:rFonts w:hint="eastAsia"/>
          <w:lang w:val="zh-TW"/>
        </w:rPr>
        <w:t>（二）组织宣传、贯彻《中华人民共和国特种设备安全法》《特种设备安全监察条例》《特种设备使用管理规则》《锅炉安全技术规程》《锅炉节能环保技术规程》等锅炉有关法律法规和安全技术规范及相关标准；</w:t>
      </w:r>
    </w:p>
    <w:p>
      <w:pPr>
        <w:bidi w:val="0"/>
        <w:rPr>
          <w:lang w:val="zh-TW"/>
        </w:rPr>
      </w:pPr>
      <w:r>
        <w:rPr>
          <w:rFonts w:hint="eastAsia"/>
          <w:lang w:val="zh-TW"/>
        </w:rPr>
        <w:t>（三）组织制定本单位锅炉使用安全管理制度，督促落实锅炉使用安全责任制，组织开展锅炉安全合规管理，组织制定《锅炉安全风险管控清单》</w:t>
      </w:r>
    </w:p>
    <w:p>
      <w:pPr>
        <w:bidi w:val="0"/>
        <w:rPr>
          <w:lang w:val="zh-TW"/>
        </w:rPr>
      </w:pPr>
      <w:r>
        <w:rPr>
          <w:rFonts w:hint="eastAsia"/>
          <w:lang w:val="zh-TW"/>
        </w:rPr>
        <w:t>（四）落实本单位安全管理机构设置、安全管理人员的配备；</w:t>
      </w:r>
    </w:p>
    <w:p>
      <w:pPr>
        <w:bidi w:val="0"/>
        <w:rPr>
          <w:lang w:val="zh-TW"/>
        </w:rPr>
      </w:pPr>
      <w:r>
        <w:rPr>
          <w:rFonts w:hint="eastAsia"/>
          <w:lang w:val="zh-TW"/>
        </w:rPr>
        <w:t>（五）组织制定锅炉事故应急专项预案并开展应急演练；</w:t>
      </w:r>
    </w:p>
    <w:p>
      <w:pPr>
        <w:bidi w:val="0"/>
        <w:rPr>
          <w:lang w:val="zh-TW"/>
        </w:rPr>
      </w:pPr>
      <w:r>
        <w:rPr>
          <w:rFonts w:hint="eastAsia"/>
          <w:lang w:val="zh-TW"/>
        </w:rPr>
        <w:t>（六）落实锅炉安全事故报告义务，采取措施防止事故扩大；</w:t>
      </w:r>
    </w:p>
    <w:p>
      <w:pPr>
        <w:bidi w:val="0"/>
        <w:rPr>
          <w:lang w:val="zh-TW"/>
        </w:rPr>
      </w:pPr>
      <w:r>
        <w:rPr>
          <w:rFonts w:hint="eastAsia"/>
          <w:lang w:val="zh-TW"/>
        </w:rPr>
        <w:t>（七）对锅炉安全员进行安全教育和技术培训，监督、指导锅炉安全员做好相关工作；</w:t>
      </w:r>
    </w:p>
    <w:p>
      <w:pPr>
        <w:bidi w:val="0"/>
        <w:rPr>
          <w:lang w:val="zh-TW"/>
        </w:rPr>
      </w:pPr>
      <w:r>
        <w:rPr>
          <w:rFonts w:hint="eastAsia"/>
          <w:lang w:val="zh-TW"/>
        </w:rPr>
        <w:t>（八）按照规定组织开展锅炉使用安全风险评价工作，拟定并督促落实锅炉使用安全风险防控措施；</w:t>
      </w:r>
    </w:p>
    <w:p>
      <w:pPr>
        <w:bidi w:val="0"/>
        <w:rPr>
          <w:lang w:val="zh-TW"/>
        </w:rPr>
      </w:pPr>
      <w:r>
        <w:rPr>
          <w:rFonts w:hint="eastAsia"/>
          <w:lang w:val="zh-TW"/>
        </w:rPr>
        <w:t>（九）组织建立锅炉安全日管控、周排查、月调度工作制度并有效实施；</w:t>
      </w:r>
    </w:p>
    <w:p>
      <w:pPr>
        <w:bidi w:val="0"/>
        <w:rPr>
          <w:lang w:val="zh-TW"/>
        </w:rPr>
      </w:pPr>
      <w:r>
        <w:rPr>
          <w:rFonts w:hint="eastAsia"/>
          <w:lang w:val="zh-TW"/>
        </w:rPr>
        <w:t>（十）对本单位锅炉使用安全管理工作进行检查，分析研判锅炉使用安全管理情况，研究解决日管控中发现的问题，及时向主要负责人报告有关情况，提出改进措施；</w:t>
      </w:r>
    </w:p>
    <w:p>
      <w:pPr>
        <w:bidi w:val="0"/>
        <w:rPr>
          <w:lang w:val="zh-TW"/>
        </w:rPr>
      </w:pPr>
      <w:r>
        <w:rPr>
          <w:rFonts w:hint="eastAsia"/>
          <w:lang w:val="zh-TW"/>
        </w:rPr>
        <w:t>（十一）接受和配合有关部门开展锅炉安全监督检查、监督检验、定期检验和事故调查等工作，如实提供有关材料；</w:t>
      </w:r>
    </w:p>
    <w:p>
      <w:pPr>
        <w:bidi w:val="0"/>
        <w:rPr>
          <w:lang w:val="zh-TW"/>
        </w:rPr>
      </w:pPr>
      <w:r>
        <w:rPr>
          <w:rFonts w:hint="eastAsia"/>
          <w:lang w:val="zh-TW"/>
        </w:rPr>
        <w:t>（十二）履行市场监督管理部门规定和本单位要求的其他锅炉使用安全管理职责。</w:t>
      </w:r>
    </w:p>
    <w:p>
      <w:pPr>
        <w:wordWrap w:val="0"/>
        <w:topLinePunct/>
        <w:snapToGrid w:val="0"/>
        <w:spacing w:line="600" w:lineRule="exact"/>
        <w:ind w:firstLine="640" w:firstLineChars="200"/>
        <w:rPr>
          <w:rFonts w:ascii="Times New Roman" w:hAnsi="Times New Roman" w:eastAsia="仿宋_GB2312" w:cs="仿宋"/>
          <w:sz w:val="32"/>
          <w:szCs w:val="32"/>
          <w:lang w:val="zh-TW"/>
        </w:rPr>
      </w:pPr>
    </w:p>
    <w:p>
      <w:pPr>
        <w:rPr>
          <w:rFonts w:hint="eastAsia" w:ascii="Times New Roman" w:hAnsi="Times New Roman" w:eastAsia="仿宋_GB2312" w:cs="仿宋"/>
          <w:b/>
          <w:bCs/>
          <w:sz w:val="44"/>
          <w:szCs w:val="44"/>
          <w:lang w:val="zh-TW"/>
        </w:rPr>
      </w:pPr>
      <w:r>
        <w:rPr>
          <w:rFonts w:hint="eastAsia" w:ascii="Times New Roman" w:hAnsi="Times New Roman" w:eastAsia="仿宋_GB2312" w:cs="仿宋"/>
          <w:b/>
          <w:bCs/>
          <w:sz w:val="44"/>
          <w:szCs w:val="44"/>
          <w:lang w:val="zh-TW"/>
        </w:rPr>
        <w:br w:type="page"/>
      </w:r>
    </w:p>
    <w:p>
      <w:pPr>
        <w:pStyle w:val="4"/>
        <w:bidi w:val="0"/>
        <w:rPr>
          <w:lang w:val="zh-TW"/>
        </w:rPr>
      </w:pPr>
      <w:bookmarkStart w:id="19" w:name="_Toc10263_WPSOffice_Level2"/>
      <w:bookmarkStart w:id="20" w:name="_Toc6605"/>
      <w:bookmarkStart w:id="21" w:name="_Toc9999"/>
      <w:bookmarkStart w:id="22" w:name="_Toc8100"/>
      <w:bookmarkStart w:id="23" w:name="_Toc24153"/>
      <w:r>
        <w:rPr>
          <w:rFonts w:hint="eastAsia"/>
          <w:lang w:val="zh-TW"/>
        </w:rPr>
        <w:t>压力容器安全总监职责</w:t>
      </w:r>
      <w:bookmarkEnd w:id="19"/>
      <w:bookmarkEnd w:id="20"/>
      <w:bookmarkEnd w:id="21"/>
      <w:bookmarkEnd w:id="22"/>
      <w:bookmarkEnd w:id="23"/>
    </w:p>
    <w:p>
      <w:pPr>
        <w:bidi w:val="0"/>
        <w:rPr>
          <w:lang w:val="zh-TW"/>
        </w:rPr>
      </w:pPr>
      <w:r>
        <w:rPr>
          <w:rFonts w:hint="eastAsia"/>
          <w:lang w:val="zh-TW"/>
        </w:rPr>
        <w:t>本单位设立的压力容器安全总监是指管理层中负责压力容器使用安全的管理人员。安全总监直接对本单位主要负责人负责，承担下列职责：</w:t>
      </w:r>
    </w:p>
    <w:p>
      <w:pPr>
        <w:bidi w:val="0"/>
        <w:rPr>
          <w:lang w:val="zh-TW"/>
        </w:rPr>
      </w:pPr>
      <w:r>
        <w:rPr>
          <w:rFonts w:hint="eastAsia"/>
          <w:lang w:val="zh-TW"/>
        </w:rPr>
        <w:t>（一）协助主要负责人履行本单位压力容器安全的领导职责，确保本单位压力容器的安全使用；</w:t>
      </w:r>
    </w:p>
    <w:p>
      <w:pPr>
        <w:bidi w:val="0"/>
        <w:rPr>
          <w:lang w:val="zh-TW"/>
        </w:rPr>
      </w:pPr>
      <w:r>
        <w:rPr>
          <w:rFonts w:hint="eastAsia"/>
          <w:lang w:val="zh-TW"/>
        </w:rPr>
        <w:t>（二）按有关规定要求，落实压力容器安全管理机构的设置、特种设备安全管理人员的配备；</w:t>
      </w:r>
    </w:p>
    <w:p>
      <w:pPr>
        <w:bidi w:val="0"/>
        <w:rPr>
          <w:lang w:val="zh-TW"/>
        </w:rPr>
      </w:pPr>
      <w:r>
        <w:rPr>
          <w:rFonts w:hint="eastAsia"/>
          <w:lang w:val="zh-TW"/>
        </w:rPr>
        <w:t>（三）组织宣传、贯彻《中华人民共和国特种设备安全法》《特种设备安全监察条例》《特种设备使用管理规则》《固定式压力容器安全技术监察规程》《移动式压力容器安全技术监察规程》《氧舱安全技术监察规程》等压力容器有关法律法规和安全技术规范及相关标准；</w:t>
      </w:r>
    </w:p>
    <w:p>
      <w:pPr>
        <w:bidi w:val="0"/>
        <w:rPr>
          <w:lang w:val="zh-TW"/>
        </w:rPr>
      </w:pPr>
      <w:r>
        <w:rPr>
          <w:rFonts w:hint="eastAsia"/>
          <w:lang w:val="zh-TW"/>
        </w:rPr>
        <w:t>（四）组织制定本单位压力容器使用安全管理制度，督促落实压力容器使用安全责任制，组织开展压力容器安全合规管理，组织制定《压力容器安全风险管控清单》；</w:t>
      </w:r>
    </w:p>
    <w:p>
      <w:pPr>
        <w:bidi w:val="0"/>
        <w:rPr>
          <w:lang w:val="zh-TW"/>
        </w:rPr>
      </w:pPr>
      <w:r>
        <w:rPr>
          <w:rFonts w:hint="eastAsia"/>
          <w:lang w:val="zh-TW"/>
        </w:rPr>
        <w:t>（五）落实压力容器安全事故报告义务，采取措施防止事故扩大；</w:t>
      </w:r>
    </w:p>
    <w:p>
      <w:pPr>
        <w:bidi w:val="0"/>
        <w:rPr>
          <w:lang w:val="zh-TW"/>
        </w:rPr>
      </w:pPr>
      <w:r>
        <w:rPr>
          <w:rFonts w:hint="eastAsia"/>
          <w:lang w:val="zh-TW"/>
        </w:rPr>
        <w:t>（六）组织制定压力容器事故应急专项预案并定期组织应急演练；</w:t>
      </w:r>
    </w:p>
    <w:p>
      <w:pPr>
        <w:bidi w:val="0"/>
        <w:rPr>
          <w:lang w:val="zh-TW"/>
        </w:rPr>
      </w:pPr>
      <w:r>
        <w:rPr>
          <w:rFonts w:hint="eastAsia"/>
          <w:lang w:val="zh-TW"/>
        </w:rPr>
        <w:t>（七）对压力容器安全员进行安全教育和技术培训，监督、指导压力容器安全员做好相关工作；</w:t>
      </w:r>
    </w:p>
    <w:p>
      <w:pPr>
        <w:bidi w:val="0"/>
        <w:rPr>
          <w:lang w:val="zh-TW"/>
        </w:rPr>
      </w:pPr>
      <w:r>
        <w:rPr>
          <w:rFonts w:hint="eastAsia"/>
          <w:lang w:val="zh-TW"/>
        </w:rPr>
        <w:t>（八）按照规定组织开展压力容器使用安全风险评价工作，拟定并督促落实压力容器使用安全风险防控措施；</w:t>
      </w:r>
    </w:p>
    <w:p>
      <w:pPr>
        <w:bidi w:val="0"/>
        <w:rPr>
          <w:lang w:val="zh-TW"/>
        </w:rPr>
      </w:pPr>
      <w:r>
        <w:rPr>
          <w:rFonts w:hint="eastAsia"/>
          <w:lang w:val="zh-TW"/>
        </w:rPr>
        <w:t>（九）对本单位压力容器使用安全管理工作进行检查，分析研判压力容器使用安全管理情况，研究解决日管控中发现的问题，及时向主要负责人报告有关情况，提出改进措施；</w:t>
      </w:r>
    </w:p>
    <w:p>
      <w:pPr>
        <w:bidi w:val="0"/>
        <w:rPr>
          <w:lang w:val="zh-TW"/>
        </w:rPr>
      </w:pPr>
      <w:r>
        <w:rPr>
          <w:rFonts w:hint="eastAsia"/>
          <w:lang w:val="zh-TW"/>
        </w:rPr>
        <w:t>（十）接受和配合有关部门开展压力容器安全监督检查、监督检验、定期检验和事故调查等工作，如实提供有关材料；</w:t>
      </w:r>
    </w:p>
    <w:p>
      <w:pPr>
        <w:bidi w:val="0"/>
        <w:rPr>
          <w:lang w:val="zh-TW"/>
        </w:rPr>
      </w:pPr>
      <w:r>
        <w:rPr>
          <w:rFonts w:hint="eastAsia"/>
          <w:lang w:val="zh-TW"/>
        </w:rPr>
        <w:t>（十一）当安全员报告压力容器存在事故隐患应当停止使用时，立即作出停止使用压力容器的决定；</w:t>
      </w:r>
    </w:p>
    <w:p>
      <w:pPr>
        <w:bidi w:val="0"/>
        <w:rPr>
          <w:lang w:val="zh-TW"/>
        </w:rPr>
      </w:pPr>
      <w:r>
        <w:rPr>
          <w:rFonts w:hint="eastAsia"/>
          <w:lang w:val="zh-TW"/>
        </w:rPr>
        <w:t>（十二）履行市场监督管理部门规定和本单位要求的其他压力容器使用安全管理职责。</w:t>
      </w:r>
    </w:p>
    <w:p>
      <w:pPr>
        <w:bidi w:val="0"/>
        <w:rPr>
          <w:lang w:val="zh-TW"/>
        </w:rPr>
      </w:pPr>
    </w:p>
    <w:p>
      <w:pPr>
        <w:rPr>
          <w:rFonts w:hint="eastAsia" w:ascii="Times New Roman" w:hAnsi="Times New Roman" w:eastAsia="仿宋_GB2312" w:cs="仿宋"/>
          <w:b/>
          <w:bCs/>
          <w:sz w:val="44"/>
          <w:szCs w:val="44"/>
          <w:lang w:val="zh-TW"/>
        </w:rPr>
      </w:pPr>
      <w:r>
        <w:rPr>
          <w:rFonts w:hint="eastAsia" w:ascii="Times New Roman" w:hAnsi="Times New Roman" w:eastAsia="仿宋_GB2312" w:cs="仿宋"/>
          <w:b/>
          <w:bCs/>
          <w:sz w:val="44"/>
          <w:szCs w:val="44"/>
          <w:lang w:val="zh-TW"/>
        </w:rPr>
        <w:br w:type="page"/>
      </w:r>
    </w:p>
    <w:p>
      <w:pPr>
        <w:pStyle w:val="4"/>
        <w:bidi w:val="0"/>
        <w:rPr>
          <w:lang w:val="zh-TW"/>
        </w:rPr>
      </w:pPr>
      <w:bookmarkStart w:id="24" w:name="_Toc15206_WPSOffice_Level2"/>
      <w:bookmarkStart w:id="25" w:name="_Toc21108"/>
      <w:bookmarkStart w:id="26" w:name="_Toc22128"/>
      <w:bookmarkStart w:id="27" w:name="_Toc25131"/>
      <w:bookmarkStart w:id="28" w:name="_Toc27301"/>
      <w:r>
        <w:rPr>
          <w:rFonts w:hint="eastAsia"/>
          <w:lang w:val="zh-TW"/>
        </w:rPr>
        <w:t>气瓶充装安全总监职责</w:t>
      </w:r>
      <w:bookmarkEnd w:id="24"/>
      <w:bookmarkEnd w:id="25"/>
      <w:bookmarkEnd w:id="26"/>
      <w:bookmarkEnd w:id="27"/>
      <w:bookmarkEnd w:id="28"/>
    </w:p>
    <w:p>
      <w:pPr>
        <w:bidi w:val="0"/>
        <w:rPr>
          <w:lang w:val="zh-TW"/>
        </w:rPr>
      </w:pPr>
      <w:r>
        <w:rPr>
          <w:rFonts w:hint="eastAsia"/>
          <w:lang w:val="zh-TW"/>
        </w:rPr>
        <w:t>本单位设立的气瓶充装安全总监是指管理层中负责气瓶充装安全的管理人员。安全总监直接对本单位主要负责人负责，承担下列职责：</w:t>
      </w:r>
    </w:p>
    <w:p>
      <w:pPr>
        <w:bidi w:val="0"/>
        <w:rPr>
          <w:lang w:val="zh-TW"/>
        </w:rPr>
      </w:pPr>
      <w:r>
        <w:rPr>
          <w:rFonts w:hint="eastAsia"/>
          <w:lang w:val="zh-TW"/>
        </w:rPr>
        <w:t>（一）协助主要负责人履行本单位气瓶充装安全的领导职责，确保本单位气瓶充装的安全使用；</w:t>
      </w:r>
    </w:p>
    <w:p>
      <w:pPr>
        <w:bidi w:val="0"/>
        <w:rPr>
          <w:lang w:val="zh-TW"/>
        </w:rPr>
      </w:pPr>
      <w:r>
        <w:rPr>
          <w:rFonts w:hint="eastAsia"/>
          <w:lang w:val="zh-TW"/>
        </w:rPr>
        <w:t>（二）按有关规定要求，落实气瓶充装安全管理机构的设置（需要时）、特种设备安全管理人员的配备；</w:t>
      </w:r>
    </w:p>
    <w:p>
      <w:pPr>
        <w:bidi w:val="0"/>
        <w:rPr>
          <w:lang w:val="zh-TW"/>
        </w:rPr>
      </w:pPr>
      <w:r>
        <w:rPr>
          <w:rFonts w:hint="eastAsia"/>
          <w:lang w:val="zh-TW"/>
        </w:rPr>
        <w:t>（三）组织宣传、贯彻《中华人民共和国特种设备安全法》《特种设备安全监察条例》《特种设备使用管理规则》《气瓶安全技术规程》等气瓶有关法律法规和安全技术规范及相关标准；</w:t>
      </w:r>
    </w:p>
    <w:p>
      <w:pPr>
        <w:bidi w:val="0"/>
        <w:rPr>
          <w:lang w:val="zh-TW"/>
        </w:rPr>
      </w:pPr>
      <w:r>
        <w:rPr>
          <w:rFonts w:hint="eastAsia"/>
          <w:lang w:val="zh-TW"/>
        </w:rPr>
        <w:t>（四）组织制定本单位气瓶安全管理制度，督促落实气瓶充装安全责任制，组织开展气瓶安全合规管理，组织制定《气瓶充装安全风险管控清单》；</w:t>
      </w:r>
    </w:p>
    <w:p>
      <w:pPr>
        <w:bidi w:val="0"/>
        <w:rPr>
          <w:lang w:val="zh-TW"/>
        </w:rPr>
      </w:pPr>
      <w:r>
        <w:rPr>
          <w:rFonts w:hint="eastAsia"/>
          <w:lang w:val="zh-TW"/>
        </w:rPr>
        <w:t>（五）组织建立并负责维护气瓶充装质量安全追溯信息平台；</w:t>
      </w:r>
    </w:p>
    <w:p>
      <w:pPr>
        <w:bidi w:val="0"/>
        <w:rPr>
          <w:lang w:val="zh-TW"/>
        </w:rPr>
      </w:pPr>
      <w:r>
        <w:rPr>
          <w:rFonts w:hint="eastAsia"/>
          <w:lang w:val="zh-TW"/>
        </w:rPr>
        <w:t>（六）组织制定气瓶事故应急专项预案并开展应急演练；</w:t>
      </w:r>
    </w:p>
    <w:p>
      <w:pPr>
        <w:bidi w:val="0"/>
        <w:rPr>
          <w:lang w:val="zh-TW"/>
        </w:rPr>
      </w:pPr>
      <w:r>
        <w:rPr>
          <w:rFonts w:hint="eastAsia"/>
          <w:lang w:val="zh-TW"/>
        </w:rPr>
        <w:t>（七）对本单位气瓶充装安全管理工作实施情况进行检查，分析研判气瓶充装安全管理状况，研究解决日管控中发现的问题，及时向主要负责人报告有关情况，提出改进措施；</w:t>
      </w:r>
    </w:p>
    <w:p>
      <w:pPr>
        <w:bidi w:val="0"/>
        <w:rPr>
          <w:lang w:val="zh-TW"/>
        </w:rPr>
      </w:pPr>
      <w:r>
        <w:rPr>
          <w:rFonts w:hint="eastAsia"/>
          <w:lang w:val="zh-TW"/>
        </w:rPr>
        <w:t>（八）组织开展风险隐患排查及治理工作；</w:t>
      </w:r>
    </w:p>
    <w:p>
      <w:pPr>
        <w:bidi w:val="0"/>
        <w:rPr>
          <w:lang w:val="zh-TW"/>
        </w:rPr>
      </w:pPr>
      <w:r>
        <w:rPr>
          <w:rFonts w:hint="eastAsia"/>
          <w:lang w:val="zh-TW"/>
        </w:rPr>
        <w:t>（九）按照规定组织开展气瓶充装安全风险评价工作，拟定督促、落实气瓶充装安全风险防控措施；</w:t>
      </w:r>
    </w:p>
    <w:p>
      <w:pPr>
        <w:bidi w:val="0"/>
        <w:rPr>
          <w:lang w:val="zh-TW"/>
        </w:rPr>
      </w:pPr>
      <w:r>
        <w:rPr>
          <w:rFonts w:hint="eastAsia"/>
          <w:lang w:val="zh-TW"/>
        </w:rPr>
        <w:t>（十）落实气瓶安全事故报告义务，发生事故及时上报，采取措施防止事故扩大，配合事故调查处理；</w:t>
      </w:r>
    </w:p>
    <w:p>
      <w:pPr>
        <w:bidi w:val="0"/>
        <w:rPr>
          <w:lang w:val="zh-TW"/>
        </w:rPr>
      </w:pPr>
      <w:r>
        <w:rPr>
          <w:rFonts w:hint="eastAsia"/>
          <w:lang w:val="zh-TW"/>
        </w:rPr>
        <w:t>（十一）对气瓶安全员进行安全教育和技术培训，监督、指导气瓶安全员做好相关工作；</w:t>
      </w:r>
    </w:p>
    <w:p>
      <w:pPr>
        <w:bidi w:val="0"/>
        <w:rPr>
          <w:lang w:val="zh-TW"/>
        </w:rPr>
      </w:pPr>
      <w:r>
        <w:rPr>
          <w:rFonts w:hint="eastAsia"/>
          <w:lang w:val="zh-TW"/>
        </w:rPr>
        <w:t>（十二）组织编制安全用气须知或者用气说明书；</w:t>
      </w:r>
    </w:p>
    <w:p>
      <w:pPr>
        <w:bidi w:val="0"/>
        <w:rPr>
          <w:lang w:val="zh-TW"/>
        </w:rPr>
      </w:pPr>
      <w:r>
        <w:rPr>
          <w:rFonts w:hint="eastAsia"/>
          <w:lang w:val="zh-TW"/>
        </w:rPr>
        <w:t>（十三）组织实施报废气瓶的去功能化和办理注销使用登记；</w:t>
      </w:r>
    </w:p>
    <w:p>
      <w:pPr>
        <w:bidi w:val="0"/>
        <w:rPr>
          <w:lang w:val="zh-TW"/>
        </w:rPr>
      </w:pPr>
      <w:r>
        <w:rPr>
          <w:rFonts w:hint="eastAsia"/>
          <w:lang w:val="zh-TW"/>
        </w:rPr>
        <w:t>（十四）履行市场监督管理部门规定和本单位要求的其他气瓶充装安全管理职责。</w:t>
      </w:r>
    </w:p>
    <w:p>
      <w:pPr>
        <w:bidi w:val="0"/>
        <w:rPr>
          <w:lang w:val="zh-TW"/>
        </w:rPr>
      </w:pPr>
    </w:p>
    <w:p>
      <w:pPr>
        <w:rPr>
          <w:rFonts w:hint="eastAsia" w:ascii="Times New Roman" w:hAnsi="Times New Roman" w:eastAsia="仿宋_GB2312" w:cs="仿宋"/>
          <w:b/>
          <w:bCs/>
          <w:sz w:val="44"/>
          <w:szCs w:val="44"/>
          <w:lang w:val="zh-TW"/>
        </w:rPr>
      </w:pPr>
      <w:r>
        <w:rPr>
          <w:rFonts w:hint="eastAsia" w:ascii="Times New Roman" w:hAnsi="Times New Roman" w:eastAsia="仿宋_GB2312" w:cs="仿宋"/>
          <w:b/>
          <w:bCs/>
          <w:sz w:val="44"/>
          <w:szCs w:val="44"/>
          <w:lang w:val="zh-TW"/>
        </w:rPr>
        <w:br w:type="page"/>
      </w:r>
    </w:p>
    <w:p>
      <w:pPr>
        <w:pStyle w:val="4"/>
        <w:bidi w:val="0"/>
        <w:rPr>
          <w:lang w:val="zh-TW"/>
        </w:rPr>
      </w:pPr>
      <w:bookmarkStart w:id="29" w:name="_Toc3054_WPSOffice_Level2"/>
      <w:bookmarkStart w:id="30" w:name="_Toc18938"/>
      <w:bookmarkStart w:id="31" w:name="_Toc8397"/>
      <w:bookmarkStart w:id="32" w:name="_Toc28066"/>
      <w:bookmarkStart w:id="33" w:name="_Toc4155"/>
      <w:r>
        <w:rPr>
          <w:rFonts w:hint="eastAsia"/>
          <w:lang w:val="zh-TW"/>
        </w:rPr>
        <w:t>压力管道安全总监职责</w:t>
      </w:r>
      <w:bookmarkEnd w:id="29"/>
      <w:bookmarkEnd w:id="30"/>
      <w:bookmarkEnd w:id="31"/>
      <w:bookmarkEnd w:id="32"/>
      <w:bookmarkEnd w:id="33"/>
    </w:p>
    <w:p>
      <w:pPr>
        <w:bidi w:val="0"/>
        <w:rPr>
          <w:lang w:val="zh-TW"/>
        </w:rPr>
      </w:pPr>
      <w:r>
        <w:rPr>
          <w:rFonts w:hint="eastAsia"/>
          <w:lang w:val="zh-TW"/>
        </w:rPr>
        <w:t>本单位设立的压力管道安全总监是指管理层中负责压力管道使用安全的管理人员。安全总监直接对本单位主要负责人负责，承担下列职责：</w:t>
      </w:r>
    </w:p>
    <w:p>
      <w:pPr>
        <w:bidi w:val="0"/>
        <w:rPr>
          <w:lang w:val="zh-TW"/>
        </w:rPr>
      </w:pPr>
      <w:r>
        <w:rPr>
          <w:rFonts w:hint="eastAsia"/>
          <w:lang w:val="zh-TW"/>
        </w:rPr>
        <w:t>（一）协助主要负责人履行本单位压力管道安全的领导职责，确保本单位压力管道的安全使用；</w:t>
      </w:r>
    </w:p>
    <w:p>
      <w:pPr>
        <w:bidi w:val="0"/>
        <w:rPr>
          <w:lang w:val="zh-TW"/>
        </w:rPr>
      </w:pPr>
      <w:r>
        <w:rPr>
          <w:rFonts w:hint="eastAsia"/>
          <w:lang w:val="zh-TW"/>
        </w:rPr>
        <w:t>（二）按有关规定要求，落实压力管道安全管理机构的设置、特种设备安全管理人员的配备；</w:t>
      </w:r>
    </w:p>
    <w:p>
      <w:pPr>
        <w:bidi w:val="0"/>
        <w:rPr>
          <w:lang w:val="zh-TW"/>
        </w:rPr>
      </w:pPr>
      <w:r>
        <w:rPr>
          <w:rFonts w:hint="eastAsia"/>
          <w:lang w:val="zh-TW"/>
        </w:rPr>
        <w:t>（三）组织宣传、贯彻《中华人民共和国特种设备安全法》《特种设备安全监察条例》《特种设备使用管理规则》《压力管道安全技术监察规程》等压力管道有关法律法规和安全技术规范及相关标准；</w:t>
      </w:r>
    </w:p>
    <w:p>
      <w:pPr>
        <w:bidi w:val="0"/>
        <w:rPr>
          <w:lang w:val="zh-TW"/>
        </w:rPr>
      </w:pPr>
      <w:r>
        <w:rPr>
          <w:rFonts w:hint="eastAsia"/>
          <w:lang w:val="zh-TW"/>
        </w:rPr>
        <w:t>（四）组织制定本单位压力管道使用安全管理制度，督促落实压力管道使用安全责任制，组织开展压力管道安全合规管理，组织制定《压力管道安全风险管控清单》；</w:t>
      </w:r>
    </w:p>
    <w:p>
      <w:pPr>
        <w:bidi w:val="0"/>
        <w:rPr>
          <w:lang w:val="zh-TW"/>
        </w:rPr>
      </w:pPr>
      <w:r>
        <w:rPr>
          <w:rFonts w:hint="eastAsia"/>
          <w:lang w:val="zh-TW"/>
        </w:rPr>
        <w:t>（五）落实压力管道安全事故报告义务，采取措施防止事故扩大；</w:t>
      </w:r>
    </w:p>
    <w:p>
      <w:pPr>
        <w:bidi w:val="0"/>
        <w:rPr>
          <w:lang w:val="zh-TW"/>
        </w:rPr>
      </w:pPr>
      <w:r>
        <w:rPr>
          <w:rFonts w:hint="eastAsia"/>
          <w:lang w:val="zh-TW"/>
        </w:rPr>
        <w:t>（六）组织制定压力管道事故应急专项预案并定期组织应急演练；</w:t>
      </w:r>
    </w:p>
    <w:p>
      <w:pPr>
        <w:bidi w:val="0"/>
        <w:rPr>
          <w:lang w:val="zh-TW"/>
        </w:rPr>
      </w:pPr>
      <w:r>
        <w:rPr>
          <w:rFonts w:hint="eastAsia"/>
          <w:lang w:val="zh-TW"/>
        </w:rPr>
        <w:t>（七）对压力管道安全员进行安全教育和技术培训，监督、指导压力管道安全员做好相关工作；</w:t>
      </w:r>
    </w:p>
    <w:p>
      <w:pPr>
        <w:bidi w:val="0"/>
        <w:rPr>
          <w:lang w:val="zh-TW"/>
        </w:rPr>
      </w:pPr>
      <w:r>
        <w:rPr>
          <w:rFonts w:hint="eastAsia"/>
          <w:lang w:val="zh-TW"/>
        </w:rPr>
        <w:t>（八）按照规定组织开展压力管道使用安全风险评价工作，拟定并督促落实压力管道使用安全风险防控措施；</w:t>
      </w:r>
    </w:p>
    <w:p>
      <w:pPr>
        <w:bidi w:val="0"/>
        <w:rPr>
          <w:lang w:val="zh-TW"/>
        </w:rPr>
      </w:pPr>
      <w:r>
        <w:rPr>
          <w:rFonts w:hint="eastAsia"/>
          <w:lang w:val="zh-TW"/>
        </w:rPr>
        <w:t>（九）对本单位压力管道使用安全管理工作进行检查，分析研判压力管道使用安全管理情况，研究解决日管控中发现的问题，及时向主要负责人报告有关情况，提出改进措施；</w:t>
      </w:r>
    </w:p>
    <w:p>
      <w:pPr>
        <w:bidi w:val="0"/>
        <w:rPr>
          <w:lang w:val="zh-TW"/>
        </w:rPr>
      </w:pPr>
      <w:r>
        <w:rPr>
          <w:rFonts w:hint="eastAsia"/>
          <w:lang w:val="zh-TW"/>
        </w:rPr>
        <w:t>（十）接受和配合有关部门开展压力管道安全监督检查、监督检验、定期检验和事故调查等工作，如实提供有关材料；</w:t>
      </w:r>
    </w:p>
    <w:p>
      <w:pPr>
        <w:bidi w:val="0"/>
        <w:rPr>
          <w:lang w:val="zh-TW"/>
        </w:rPr>
      </w:pPr>
      <w:r>
        <w:rPr>
          <w:rFonts w:hint="eastAsia"/>
          <w:lang w:val="zh-TW"/>
        </w:rPr>
        <w:t>（十一）当安全员报告压力管道存在事故隐患应当停止使用时，立即作出停止使用压力管道的决定；</w:t>
      </w:r>
    </w:p>
    <w:p>
      <w:pPr>
        <w:bidi w:val="0"/>
        <w:rPr>
          <w:lang w:val="zh-TW"/>
        </w:rPr>
      </w:pPr>
      <w:r>
        <w:rPr>
          <w:rFonts w:hint="eastAsia"/>
          <w:lang w:val="zh-TW"/>
        </w:rPr>
        <w:t>（十二）履行市场监督管理部门规定和本单位要求的其他压力管道使用安全管理职责。</w:t>
      </w:r>
    </w:p>
    <w:p>
      <w:pPr>
        <w:rPr>
          <w:rFonts w:hint="eastAsia" w:ascii="Times New Roman" w:hAnsi="Times New Roman" w:eastAsia="仿宋_GB2312" w:cs="仿宋"/>
          <w:b/>
          <w:bCs/>
          <w:sz w:val="44"/>
          <w:szCs w:val="44"/>
          <w:lang w:val="zh-TW"/>
        </w:rPr>
      </w:pPr>
      <w:r>
        <w:rPr>
          <w:rFonts w:hint="eastAsia" w:ascii="Times New Roman" w:hAnsi="Times New Roman" w:eastAsia="仿宋_GB2312" w:cs="仿宋"/>
          <w:b/>
          <w:bCs/>
          <w:sz w:val="44"/>
          <w:szCs w:val="44"/>
          <w:lang w:val="zh-TW"/>
        </w:rPr>
        <w:br w:type="page"/>
      </w:r>
    </w:p>
    <w:p>
      <w:pPr>
        <w:pStyle w:val="4"/>
        <w:bidi w:val="0"/>
        <w:rPr>
          <w:lang w:val="zh-TW"/>
        </w:rPr>
      </w:pPr>
      <w:bookmarkStart w:id="34" w:name="_Toc31912_WPSOffice_Level2"/>
      <w:bookmarkStart w:id="35" w:name="_Toc25005"/>
      <w:bookmarkStart w:id="36" w:name="_Toc17063"/>
      <w:bookmarkStart w:id="37" w:name="_Toc23246"/>
      <w:bookmarkStart w:id="38" w:name="_Toc24955"/>
      <w:r>
        <w:rPr>
          <w:rFonts w:hint="eastAsia"/>
          <w:lang w:val="zh-TW"/>
        </w:rPr>
        <w:t>电梯安全总监职责</w:t>
      </w:r>
      <w:bookmarkEnd w:id="34"/>
      <w:bookmarkEnd w:id="35"/>
      <w:bookmarkEnd w:id="36"/>
      <w:bookmarkEnd w:id="37"/>
      <w:bookmarkEnd w:id="38"/>
    </w:p>
    <w:p>
      <w:pPr>
        <w:bidi w:val="0"/>
        <w:rPr>
          <w:lang w:val="zh-TW"/>
        </w:rPr>
      </w:pPr>
      <w:r>
        <w:rPr>
          <w:rFonts w:hint="eastAsia"/>
          <w:lang w:val="zh-TW"/>
        </w:rPr>
        <w:t>本单位设立的电梯安全总监是指管理层中负责电梯使用安全的管理人员。安全总监直接对本单位主要负责人负责，承担下列职责：</w:t>
      </w:r>
    </w:p>
    <w:p>
      <w:pPr>
        <w:bidi w:val="0"/>
        <w:rPr>
          <w:lang w:val="zh-TW"/>
        </w:rPr>
      </w:pPr>
      <w:r>
        <w:rPr>
          <w:rFonts w:hint="eastAsia"/>
          <w:lang w:val="zh-TW"/>
        </w:rPr>
        <w:t>（一）协助主要负责人履行本单位电梯安全的领导职责，确保本单位电梯的安全使用；</w:t>
      </w:r>
    </w:p>
    <w:p>
      <w:pPr>
        <w:bidi w:val="0"/>
        <w:rPr>
          <w:lang w:val="zh-TW"/>
        </w:rPr>
      </w:pPr>
      <w:r>
        <w:rPr>
          <w:rFonts w:hint="eastAsia"/>
          <w:lang w:val="zh-TW"/>
        </w:rPr>
        <w:t>（二）组织宣传、贯彻《中华人民共和国特种设备安全法》《特种设备安全监察条例》《特种设备使用管理规则》《电梯维护保养规则》等电梯有关法律法规和安全技术规范及相关标准；</w:t>
      </w:r>
    </w:p>
    <w:p>
      <w:pPr>
        <w:bidi w:val="0"/>
        <w:rPr>
          <w:lang w:val="zh-TW"/>
        </w:rPr>
      </w:pPr>
      <w:r>
        <w:rPr>
          <w:rFonts w:hint="eastAsia"/>
          <w:lang w:val="zh-TW"/>
        </w:rPr>
        <w:t>（三）组织制定本单位电梯使用安全管理制度，督促落实电梯使用安全责任制，组织开展电梯安全合规管理，组织制定《电梯安全风险管控清单》</w:t>
      </w:r>
    </w:p>
    <w:p>
      <w:pPr>
        <w:bidi w:val="0"/>
        <w:rPr>
          <w:lang w:val="zh-TW"/>
        </w:rPr>
      </w:pPr>
      <w:r>
        <w:rPr>
          <w:rFonts w:hint="eastAsia"/>
          <w:lang w:val="zh-TW"/>
        </w:rPr>
        <w:t>（四）落实本单位安全管理机构设置、安全管理人员的配备；</w:t>
      </w:r>
    </w:p>
    <w:p>
      <w:pPr>
        <w:bidi w:val="0"/>
        <w:rPr>
          <w:lang w:val="zh-TW"/>
        </w:rPr>
      </w:pPr>
      <w:r>
        <w:rPr>
          <w:rFonts w:hint="eastAsia"/>
          <w:lang w:val="zh-TW"/>
        </w:rPr>
        <w:t>（五）组织制定电梯事故应急专项预案并开展应急演练；</w:t>
      </w:r>
    </w:p>
    <w:p>
      <w:pPr>
        <w:bidi w:val="0"/>
        <w:rPr>
          <w:lang w:val="zh-TW"/>
        </w:rPr>
      </w:pPr>
      <w:r>
        <w:rPr>
          <w:rFonts w:hint="eastAsia"/>
          <w:lang w:val="zh-TW"/>
        </w:rPr>
        <w:t>（六）落实电梯安全事故报告义务，采取措施防止事故扩大；</w:t>
      </w:r>
    </w:p>
    <w:p>
      <w:pPr>
        <w:bidi w:val="0"/>
        <w:rPr>
          <w:lang w:val="zh-TW"/>
        </w:rPr>
      </w:pPr>
      <w:r>
        <w:rPr>
          <w:rFonts w:hint="eastAsia"/>
          <w:lang w:val="zh-TW"/>
        </w:rPr>
        <w:t>（七）对电梯安全员进行安全教育和技术培训，监督、指导电梯安全员做好相关工作；</w:t>
      </w:r>
    </w:p>
    <w:p>
      <w:pPr>
        <w:bidi w:val="0"/>
        <w:rPr>
          <w:lang w:val="zh-TW"/>
        </w:rPr>
      </w:pPr>
      <w:r>
        <w:rPr>
          <w:rFonts w:hint="eastAsia"/>
          <w:lang w:val="zh-TW"/>
        </w:rPr>
        <w:t>（八）按照规定组织开展电梯使用安全风险评价工作，拟定并督促落实电梯使用安全风险防控措施；</w:t>
      </w:r>
    </w:p>
    <w:p>
      <w:pPr>
        <w:bidi w:val="0"/>
        <w:rPr>
          <w:lang w:val="zh-TW"/>
        </w:rPr>
      </w:pPr>
      <w:r>
        <w:rPr>
          <w:rFonts w:hint="eastAsia"/>
          <w:lang w:val="zh-TW"/>
        </w:rPr>
        <w:t>（九）组织建立电梯安全日管控、周排查、月调度工作制度并有效实施；</w:t>
      </w:r>
    </w:p>
    <w:p>
      <w:pPr>
        <w:bidi w:val="0"/>
        <w:rPr>
          <w:lang w:val="zh-TW"/>
        </w:rPr>
      </w:pPr>
      <w:r>
        <w:rPr>
          <w:rFonts w:hint="eastAsia"/>
          <w:lang w:val="zh-TW"/>
        </w:rPr>
        <w:t>（十）对本单位电梯使用安全管理工作进行检查，分析研判电梯使用安全管理情况，研究解决日管控中发现的问题，及时向主要负责人报告有关情况，提出改进措施；</w:t>
      </w:r>
    </w:p>
    <w:p>
      <w:pPr>
        <w:bidi w:val="0"/>
        <w:rPr>
          <w:lang w:val="zh-TW"/>
        </w:rPr>
      </w:pPr>
      <w:r>
        <w:rPr>
          <w:rFonts w:hint="eastAsia"/>
          <w:lang w:val="zh-TW"/>
        </w:rPr>
        <w:t>（十一）督促电梯维护保养单位全面履约维护保养合同，依法合规实施电梯维护保养；</w:t>
      </w:r>
    </w:p>
    <w:p>
      <w:pPr>
        <w:bidi w:val="0"/>
        <w:rPr>
          <w:lang w:val="zh-TW"/>
        </w:rPr>
      </w:pPr>
      <w:r>
        <w:rPr>
          <w:rFonts w:hint="eastAsia"/>
          <w:lang w:val="zh-TW"/>
        </w:rPr>
        <w:t>（十二）协调解决电梯投诉和纠纷；</w:t>
      </w:r>
    </w:p>
    <w:p>
      <w:pPr>
        <w:bidi w:val="0"/>
        <w:rPr>
          <w:lang w:val="zh-TW"/>
        </w:rPr>
      </w:pPr>
      <w:r>
        <w:rPr>
          <w:rFonts w:hint="eastAsia"/>
          <w:lang w:val="zh-TW"/>
        </w:rPr>
        <w:t>（十三）接受和配合有关部门开展电梯安全监督检查、监督检验、定期检验和事故调查等工作，如实提供有关材料；</w:t>
      </w:r>
    </w:p>
    <w:p>
      <w:pPr>
        <w:bidi w:val="0"/>
        <w:rPr>
          <w:lang w:val="zh-TW"/>
        </w:rPr>
      </w:pPr>
      <w:r>
        <w:rPr>
          <w:rFonts w:hint="eastAsia"/>
          <w:lang w:val="zh-TW"/>
        </w:rPr>
        <w:t>（十四）履行市场监督管理部门规定和本单位要求的其他电梯使用安全管理职责。</w:t>
      </w:r>
    </w:p>
    <w:p>
      <w:pPr>
        <w:rPr>
          <w:rFonts w:hint="eastAsia" w:ascii="Times New Roman" w:hAnsi="Times New Roman" w:eastAsia="仿宋_GB2312" w:cs="仿宋"/>
          <w:b/>
          <w:bCs/>
          <w:sz w:val="44"/>
          <w:szCs w:val="44"/>
          <w:lang w:val="zh-TW"/>
        </w:rPr>
      </w:pPr>
      <w:r>
        <w:rPr>
          <w:rFonts w:hint="eastAsia" w:ascii="Times New Roman" w:hAnsi="Times New Roman" w:eastAsia="仿宋_GB2312" w:cs="仿宋"/>
          <w:b/>
          <w:bCs/>
          <w:sz w:val="44"/>
          <w:szCs w:val="44"/>
          <w:lang w:val="zh-TW"/>
        </w:rPr>
        <w:br w:type="page"/>
      </w:r>
    </w:p>
    <w:p>
      <w:pPr>
        <w:pStyle w:val="4"/>
        <w:bidi w:val="0"/>
        <w:rPr>
          <w:lang w:val="zh-TW"/>
        </w:rPr>
      </w:pPr>
      <w:bookmarkStart w:id="39" w:name="_Toc15989_WPSOffice_Level2"/>
      <w:bookmarkStart w:id="40" w:name="_Toc14259"/>
      <w:bookmarkStart w:id="41" w:name="_Toc31480"/>
      <w:bookmarkStart w:id="42" w:name="_Toc2695"/>
      <w:bookmarkStart w:id="43" w:name="_Toc866"/>
      <w:r>
        <w:rPr>
          <w:rFonts w:hint="eastAsia"/>
          <w:lang w:val="zh-TW"/>
        </w:rPr>
        <w:t>起重机械安全总监职责</w:t>
      </w:r>
      <w:bookmarkEnd w:id="39"/>
      <w:bookmarkEnd w:id="40"/>
      <w:bookmarkEnd w:id="41"/>
      <w:bookmarkEnd w:id="42"/>
      <w:bookmarkEnd w:id="43"/>
    </w:p>
    <w:p>
      <w:pPr>
        <w:bidi w:val="0"/>
        <w:rPr>
          <w:lang w:val="zh-TW"/>
        </w:rPr>
      </w:pPr>
      <w:r>
        <w:rPr>
          <w:rFonts w:hint="eastAsia"/>
          <w:lang w:val="zh-TW"/>
        </w:rPr>
        <w:t>本单位设立的起重机械安全总监是指管理层中负责起重机械使用安全的管理人员。起重机械安全总监直接对本单位主要负责人负责，承担下列职责：</w:t>
      </w:r>
    </w:p>
    <w:p>
      <w:pPr>
        <w:bidi w:val="0"/>
        <w:rPr>
          <w:lang w:val="zh-TW"/>
        </w:rPr>
      </w:pPr>
      <w:r>
        <w:rPr>
          <w:rFonts w:hint="eastAsia"/>
          <w:lang w:val="zh-TW"/>
        </w:rPr>
        <w:t>（一）组织宣传、贯彻《中华人民共和国特种设备安全法》《特种设备安全监察条例》《特种设备使用管理规则》《起重机械安全规程》等起重机械有关法律法规和安全技术规范及相关标准；</w:t>
      </w:r>
    </w:p>
    <w:p>
      <w:pPr>
        <w:bidi w:val="0"/>
        <w:rPr>
          <w:lang w:val="zh-TW"/>
        </w:rPr>
      </w:pPr>
      <w:r>
        <w:rPr>
          <w:rFonts w:hint="eastAsia"/>
          <w:lang w:val="zh-TW"/>
        </w:rPr>
        <w:t>（二）组织制定本单位起重机械使用安全管理制度，督促落实起重机械使用安全责任制，组织开展起重机械安全合规管理；</w:t>
      </w:r>
    </w:p>
    <w:p>
      <w:pPr>
        <w:bidi w:val="0"/>
        <w:rPr>
          <w:lang w:val="zh-TW"/>
        </w:rPr>
      </w:pPr>
      <w:r>
        <w:rPr>
          <w:rFonts w:hint="eastAsia"/>
          <w:lang w:val="zh-TW"/>
        </w:rPr>
        <w:t>（三）落实本单位起重机械安全管理机构设置、安全管理人员的配备；</w:t>
      </w:r>
    </w:p>
    <w:p>
      <w:pPr>
        <w:bidi w:val="0"/>
        <w:rPr>
          <w:lang w:val="zh-TW"/>
        </w:rPr>
      </w:pPr>
      <w:r>
        <w:rPr>
          <w:rFonts w:hint="eastAsia"/>
          <w:lang w:val="zh-TW"/>
        </w:rPr>
        <w:t xml:space="preserve">（四）组织制定起重机械事故应急专项预案并开展应急演练；   </w:t>
      </w:r>
    </w:p>
    <w:p>
      <w:pPr>
        <w:bidi w:val="0"/>
        <w:rPr>
          <w:lang w:val="zh-TW"/>
        </w:rPr>
      </w:pPr>
      <w:r>
        <w:rPr>
          <w:rFonts w:hint="eastAsia"/>
          <w:lang w:val="zh-TW"/>
        </w:rPr>
        <w:t xml:space="preserve">（五）落实起重机械安全事故报告义务，采取措施防止事故扩大； </w:t>
      </w:r>
    </w:p>
    <w:p>
      <w:pPr>
        <w:bidi w:val="0"/>
        <w:rPr>
          <w:lang w:val="zh-TW"/>
        </w:rPr>
      </w:pPr>
      <w:r>
        <w:rPr>
          <w:rFonts w:hint="eastAsia"/>
          <w:lang w:val="zh-TW"/>
        </w:rPr>
        <w:t xml:space="preserve">（六）对起重机械安全员进行安全教育和技术培训，监督、指导起重机械安全员做好相关工作； </w:t>
      </w:r>
    </w:p>
    <w:p>
      <w:pPr>
        <w:bidi w:val="0"/>
        <w:rPr>
          <w:lang w:val="zh-TW"/>
        </w:rPr>
      </w:pPr>
      <w:r>
        <w:rPr>
          <w:rFonts w:hint="eastAsia"/>
          <w:lang w:val="zh-TW"/>
        </w:rPr>
        <w:t xml:space="preserve">（七）按照规定组织开展起重机械使用安全风险隐患排查工作，拟定并督促落实起重机械使用安全风险管控措施；      （八）对本单位起重机械使用安全管理工作进行检查，及时向主要负责人报告有关情况，提出改进措施； </w:t>
      </w:r>
    </w:p>
    <w:p>
      <w:pPr>
        <w:bidi w:val="0"/>
        <w:rPr>
          <w:lang w:val="zh-TW"/>
        </w:rPr>
      </w:pPr>
      <w:r>
        <w:rPr>
          <w:rFonts w:hint="eastAsia"/>
          <w:lang w:val="zh-TW"/>
        </w:rPr>
        <w:t xml:space="preserve">（九）接受和配合有关部门开展起重机械安全监督检查、定期检验和事故调查等工作，如实提供有关材料； </w:t>
      </w:r>
    </w:p>
    <w:p>
      <w:pPr>
        <w:bidi w:val="0"/>
        <w:rPr>
          <w:lang w:val="zh-TW"/>
        </w:rPr>
      </w:pPr>
      <w:r>
        <w:rPr>
          <w:rFonts w:hint="eastAsia"/>
          <w:lang w:val="zh-TW"/>
        </w:rPr>
        <w:t>（十）履行市场监督管理部门规定和本单位要求的其他起重机械使用安全管理职责。</w:t>
      </w:r>
    </w:p>
    <w:p>
      <w:pPr>
        <w:rPr>
          <w:rFonts w:hint="eastAsia" w:ascii="Times New Roman" w:hAnsi="Times New Roman" w:eastAsia="仿宋_GB2312" w:cs="仿宋"/>
          <w:b/>
          <w:bCs/>
          <w:sz w:val="44"/>
          <w:szCs w:val="44"/>
          <w:lang w:val="zh-TW"/>
        </w:rPr>
      </w:pPr>
      <w:r>
        <w:rPr>
          <w:rFonts w:hint="eastAsia" w:ascii="Times New Roman" w:hAnsi="Times New Roman" w:eastAsia="仿宋_GB2312" w:cs="仿宋"/>
          <w:b/>
          <w:bCs/>
          <w:sz w:val="44"/>
          <w:szCs w:val="44"/>
          <w:lang w:val="zh-TW"/>
        </w:rPr>
        <w:br w:type="page"/>
      </w:r>
    </w:p>
    <w:p>
      <w:pPr>
        <w:pStyle w:val="4"/>
        <w:bidi w:val="0"/>
        <w:rPr>
          <w:lang w:val="zh-TW"/>
        </w:rPr>
      </w:pPr>
      <w:bookmarkStart w:id="44" w:name="_Toc19536_WPSOffice_Level2"/>
      <w:bookmarkStart w:id="45" w:name="_Toc22127"/>
      <w:bookmarkStart w:id="46" w:name="_Toc22106"/>
      <w:bookmarkStart w:id="47" w:name="_Toc25554"/>
      <w:bookmarkStart w:id="48" w:name="_Toc2474"/>
      <w:r>
        <w:rPr>
          <w:rFonts w:hint="eastAsia"/>
          <w:lang w:val="zh-TW"/>
        </w:rPr>
        <w:t>客运索道安全总监职责</w:t>
      </w:r>
      <w:bookmarkEnd w:id="44"/>
      <w:bookmarkEnd w:id="45"/>
      <w:bookmarkEnd w:id="46"/>
      <w:bookmarkEnd w:id="47"/>
      <w:bookmarkEnd w:id="48"/>
    </w:p>
    <w:p>
      <w:pPr>
        <w:bidi w:val="0"/>
        <w:rPr>
          <w:lang w:val="zh-TW"/>
        </w:rPr>
      </w:pPr>
      <w:r>
        <w:rPr>
          <w:rFonts w:hint="eastAsia"/>
          <w:lang w:val="zh-TW"/>
        </w:rPr>
        <w:t>本单位设立的客运索道安全总监是指管理层中负责客运索道使用安全的管理人员。安全总监直接对本单位主要负责人负责，承担下列职责：</w:t>
      </w:r>
    </w:p>
    <w:p>
      <w:pPr>
        <w:bidi w:val="0"/>
        <w:rPr>
          <w:lang w:val="zh-TW"/>
        </w:rPr>
      </w:pPr>
      <w:r>
        <w:rPr>
          <w:rFonts w:hint="eastAsia"/>
          <w:lang w:val="zh-TW"/>
        </w:rPr>
        <w:t>（一）协助主要负责人履行本单位客运索道安全的领导职责，确保本单位客运索道的安全使用；</w:t>
      </w:r>
    </w:p>
    <w:p>
      <w:pPr>
        <w:bidi w:val="0"/>
        <w:rPr>
          <w:lang w:val="zh-TW"/>
        </w:rPr>
      </w:pPr>
      <w:r>
        <w:rPr>
          <w:rFonts w:hint="eastAsia"/>
          <w:lang w:val="zh-TW"/>
        </w:rPr>
        <w:t>（二）组织宣传、贯彻《中华人民共和国特种设备安全法》《特种设备安全监察条例》《特种设备使用管理规则》《客运索道安全监督管理规定》等客运索道有关法律法规和安全技术规范及相关标准；</w:t>
      </w:r>
    </w:p>
    <w:p>
      <w:pPr>
        <w:bidi w:val="0"/>
        <w:rPr>
          <w:lang w:val="zh-TW"/>
        </w:rPr>
      </w:pPr>
      <w:r>
        <w:rPr>
          <w:rFonts w:hint="eastAsia"/>
          <w:lang w:val="zh-TW"/>
        </w:rPr>
        <w:t>（三）组织制定本单位客运索道使用安全管理制度，督促落实客运索道使用安全责任制，组织开展客运索道安全合规管理，组织制定《客运索道安全风险管控清单》</w:t>
      </w:r>
    </w:p>
    <w:p>
      <w:pPr>
        <w:bidi w:val="0"/>
        <w:rPr>
          <w:lang w:val="zh-TW"/>
        </w:rPr>
      </w:pPr>
      <w:r>
        <w:rPr>
          <w:rFonts w:hint="eastAsia"/>
          <w:lang w:val="zh-TW"/>
        </w:rPr>
        <w:t>（四）落实本单位安全管理机构设置、安全管理人员的配备；</w:t>
      </w:r>
    </w:p>
    <w:p>
      <w:pPr>
        <w:bidi w:val="0"/>
        <w:rPr>
          <w:lang w:val="zh-TW"/>
        </w:rPr>
      </w:pPr>
      <w:r>
        <w:rPr>
          <w:rFonts w:hint="eastAsia"/>
          <w:lang w:val="zh-TW"/>
        </w:rPr>
        <w:t>（五）组织制定客运索道事故应急专项预案并开展应急演练；</w:t>
      </w:r>
    </w:p>
    <w:p>
      <w:pPr>
        <w:bidi w:val="0"/>
        <w:rPr>
          <w:lang w:val="zh-TW"/>
        </w:rPr>
      </w:pPr>
      <w:r>
        <w:rPr>
          <w:rFonts w:hint="eastAsia"/>
          <w:lang w:val="zh-TW"/>
        </w:rPr>
        <w:t>（六）落实客运索道安全事故报告义务，采取措施防止事故扩大；</w:t>
      </w:r>
    </w:p>
    <w:p>
      <w:pPr>
        <w:bidi w:val="0"/>
        <w:rPr>
          <w:lang w:val="zh-TW"/>
        </w:rPr>
      </w:pPr>
      <w:r>
        <w:rPr>
          <w:rFonts w:hint="eastAsia"/>
          <w:lang w:val="zh-TW"/>
        </w:rPr>
        <w:t>（七）对客运索道安全员进行安全教育和技术培训，监督、指导客运索道安全员做好相关工作；</w:t>
      </w:r>
    </w:p>
    <w:p>
      <w:pPr>
        <w:bidi w:val="0"/>
        <w:rPr>
          <w:lang w:val="zh-TW"/>
        </w:rPr>
      </w:pPr>
      <w:r>
        <w:rPr>
          <w:rFonts w:hint="eastAsia"/>
          <w:lang w:val="zh-TW"/>
        </w:rPr>
        <w:t>（八）按照规定组织开展客运索道使用安全风险评价工作，拟定并督促落实客运索道使用安全风险防控措施；</w:t>
      </w:r>
    </w:p>
    <w:p>
      <w:pPr>
        <w:bidi w:val="0"/>
        <w:rPr>
          <w:lang w:val="zh-TW"/>
        </w:rPr>
      </w:pPr>
      <w:r>
        <w:rPr>
          <w:rFonts w:hint="eastAsia"/>
          <w:lang w:val="zh-TW"/>
        </w:rPr>
        <w:t>（九）组织建立客运索道安全日管控、周排查、月调度工作制度并有效实施；</w:t>
      </w:r>
    </w:p>
    <w:p>
      <w:pPr>
        <w:bidi w:val="0"/>
        <w:rPr>
          <w:lang w:val="zh-TW"/>
        </w:rPr>
      </w:pPr>
      <w:r>
        <w:rPr>
          <w:rFonts w:hint="eastAsia"/>
          <w:lang w:val="zh-TW"/>
        </w:rPr>
        <w:t>（十）对本单位客运索道使用安全管理工作进行检查，分析研判客运索道使用安全管理情况，研究解决日管控中发现的问题，及时向主要负责人报告有关情况，提出改进措施；</w:t>
      </w:r>
    </w:p>
    <w:p>
      <w:pPr>
        <w:bidi w:val="0"/>
        <w:rPr>
          <w:lang w:val="zh-TW"/>
        </w:rPr>
      </w:pPr>
      <w:r>
        <w:rPr>
          <w:rFonts w:hint="eastAsia"/>
          <w:lang w:val="zh-TW"/>
        </w:rPr>
        <w:t>（十一）接受和配合市场监督管理部门开展客运索道安全监督检查、监督检验、定期检验和事故调查等工作，如实提供有关材料；</w:t>
      </w:r>
    </w:p>
    <w:p>
      <w:pPr>
        <w:bidi w:val="0"/>
        <w:rPr>
          <w:lang w:val="zh-TW"/>
        </w:rPr>
      </w:pPr>
      <w:r>
        <w:rPr>
          <w:rFonts w:hint="eastAsia"/>
          <w:lang w:val="zh-TW"/>
        </w:rPr>
        <w:t>（十二）履行市场监督管理部门规定和本单位要求的其他客运索道使用安全管理职责。</w:t>
      </w:r>
    </w:p>
    <w:p>
      <w:pPr>
        <w:rPr>
          <w:rFonts w:hint="eastAsia" w:ascii="Times New Roman" w:hAnsi="Times New Roman" w:eastAsia="仿宋_GB2312" w:cs="仿宋"/>
          <w:b/>
          <w:bCs/>
          <w:sz w:val="44"/>
          <w:szCs w:val="44"/>
          <w:lang w:val="zh-TW"/>
        </w:rPr>
      </w:pPr>
      <w:r>
        <w:rPr>
          <w:rFonts w:hint="eastAsia" w:ascii="Times New Roman" w:hAnsi="Times New Roman" w:eastAsia="仿宋_GB2312" w:cs="仿宋"/>
          <w:b/>
          <w:bCs/>
          <w:sz w:val="44"/>
          <w:szCs w:val="44"/>
          <w:lang w:val="zh-TW"/>
        </w:rPr>
        <w:br w:type="page"/>
      </w:r>
    </w:p>
    <w:p>
      <w:pPr>
        <w:pStyle w:val="4"/>
        <w:bidi w:val="0"/>
        <w:rPr>
          <w:lang w:val="zh-TW"/>
        </w:rPr>
      </w:pPr>
      <w:bookmarkStart w:id="49" w:name="_Toc15208_WPSOffice_Level2"/>
      <w:bookmarkStart w:id="50" w:name="_Toc28478"/>
      <w:bookmarkStart w:id="51" w:name="_Toc23912"/>
      <w:bookmarkStart w:id="52" w:name="_Toc29692"/>
      <w:bookmarkStart w:id="53" w:name="_Toc27660"/>
      <w:r>
        <w:rPr>
          <w:rFonts w:hint="eastAsia"/>
          <w:lang w:val="zh-TW"/>
        </w:rPr>
        <w:t>大型游乐设施安全总监职责</w:t>
      </w:r>
      <w:bookmarkEnd w:id="49"/>
      <w:bookmarkEnd w:id="50"/>
      <w:bookmarkEnd w:id="51"/>
      <w:bookmarkEnd w:id="52"/>
      <w:bookmarkEnd w:id="53"/>
    </w:p>
    <w:p>
      <w:pPr>
        <w:bidi w:val="0"/>
        <w:rPr>
          <w:lang w:val="zh-TW"/>
        </w:rPr>
      </w:pPr>
      <w:r>
        <w:rPr>
          <w:rFonts w:hint="eastAsia"/>
          <w:lang w:val="zh-TW"/>
        </w:rPr>
        <w:t>本单位设立的大型游乐设施安全总监是指管理层中负责大型游乐设施使用安全的管理人员。安全总监直接对本单位主要负责人负责，承担下列职责：</w:t>
      </w:r>
    </w:p>
    <w:p>
      <w:pPr>
        <w:bidi w:val="0"/>
        <w:rPr>
          <w:lang w:val="zh-TW"/>
        </w:rPr>
      </w:pPr>
      <w:r>
        <w:rPr>
          <w:rFonts w:hint="eastAsia"/>
          <w:lang w:val="zh-TW"/>
        </w:rPr>
        <w:t>（一）协助主要负责人履行本单位大型游乐设施安全的领导职责，确保本单位大型游乐设施的安全使用；</w:t>
      </w:r>
    </w:p>
    <w:p>
      <w:pPr>
        <w:bidi w:val="0"/>
        <w:rPr>
          <w:lang w:val="zh-TW"/>
        </w:rPr>
      </w:pPr>
      <w:r>
        <w:rPr>
          <w:rFonts w:hint="eastAsia"/>
          <w:lang w:val="zh-TW"/>
        </w:rPr>
        <w:t>（二）组织宣传、贯彻《中华人民共和国特种设备安全法》《特种设备安全监察条例》《特种设备使用管理规则》《大型游乐设施安全监察规定》等大型游乐设施有关法律法规和安全技术规范及相关标准；</w:t>
      </w:r>
    </w:p>
    <w:p>
      <w:pPr>
        <w:bidi w:val="0"/>
        <w:rPr>
          <w:lang w:val="zh-TW"/>
        </w:rPr>
      </w:pPr>
      <w:r>
        <w:rPr>
          <w:rFonts w:hint="eastAsia"/>
          <w:lang w:val="zh-TW"/>
        </w:rPr>
        <w:t>（三）组织制定本单位大型游乐设施使用安全管理制度，督促落实大型游乐设施使用安全责任制，组织开展大型游乐设施安全合规管理，组织制定《大型游乐设施安全风险管控清单》</w:t>
      </w:r>
    </w:p>
    <w:p>
      <w:pPr>
        <w:bidi w:val="0"/>
        <w:rPr>
          <w:lang w:val="zh-TW"/>
        </w:rPr>
      </w:pPr>
      <w:r>
        <w:rPr>
          <w:rFonts w:hint="eastAsia"/>
          <w:lang w:val="zh-TW"/>
        </w:rPr>
        <w:t>（四）落实本单位安全管理机构设置、安全管理人员的配备；</w:t>
      </w:r>
    </w:p>
    <w:p>
      <w:pPr>
        <w:bidi w:val="0"/>
        <w:rPr>
          <w:lang w:val="zh-TW"/>
        </w:rPr>
      </w:pPr>
      <w:r>
        <w:rPr>
          <w:rFonts w:hint="eastAsia"/>
          <w:lang w:val="zh-TW"/>
        </w:rPr>
        <w:t>（五）组织制定大型游乐设施事故应急专项预案并开展应急演练；</w:t>
      </w:r>
    </w:p>
    <w:p>
      <w:pPr>
        <w:bidi w:val="0"/>
        <w:rPr>
          <w:lang w:val="zh-TW"/>
        </w:rPr>
      </w:pPr>
      <w:r>
        <w:rPr>
          <w:rFonts w:hint="eastAsia"/>
          <w:lang w:val="zh-TW"/>
        </w:rPr>
        <w:t>（六）落实大型游乐设施安全事故报告义务，采取措施防止事故扩大；</w:t>
      </w:r>
    </w:p>
    <w:p>
      <w:pPr>
        <w:bidi w:val="0"/>
        <w:rPr>
          <w:lang w:val="zh-TW"/>
        </w:rPr>
      </w:pPr>
      <w:r>
        <w:rPr>
          <w:rFonts w:hint="eastAsia"/>
          <w:lang w:val="zh-TW"/>
        </w:rPr>
        <w:t>（七）对大型游乐设施安全员进行安全教育和技术培训，监督、指导大型游乐设施安全员做好相关工作；</w:t>
      </w:r>
    </w:p>
    <w:p>
      <w:pPr>
        <w:bidi w:val="0"/>
        <w:rPr>
          <w:lang w:val="zh-TW"/>
        </w:rPr>
      </w:pPr>
      <w:r>
        <w:rPr>
          <w:rFonts w:hint="eastAsia"/>
          <w:lang w:val="zh-TW"/>
        </w:rPr>
        <w:t>（八）按照规定组织开展大型游乐设施使用安全风险评价工作，拟定并督促落实大型游乐设施使用安全风险防控措施；</w:t>
      </w:r>
    </w:p>
    <w:p>
      <w:pPr>
        <w:bidi w:val="0"/>
        <w:rPr>
          <w:lang w:val="zh-TW"/>
        </w:rPr>
      </w:pPr>
      <w:r>
        <w:rPr>
          <w:rFonts w:hint="eastAsia"/>
          <w:lang w:val="zh-TW"/>
        </w:rPr>
        <w:t>（九）组织建立大型游乐设施安全日管控、周排查、月调度工作制度并有效实施；</w:t>
      </w:r>
    </w:p>
    <w:p>
      <w:pPr>
        <w:bidi w:val="0"/>
        <w:rPr>
          <w:lang w:val="zh-TW"/>
        </w:rPr>
      </w:pPr>
      <w:r>
        <w:rPr>
          <w:rFonts w:hint="eastAsia"/>
          <w:lang w:val="zh-TW"/>
        </w:rPr>
        <w:t>（十）对本单位大型游乐设施使用安全管理工作进行检查，分析研判大型游乐设施使用安全管理情况，研究解决日管控中发现的问题，及时向主要负责人报告有关情况，提出改进措施；</w:t>
      </w:r>
    </w:p>
    <w:p>
      <w:pPr>
        <w:bidi w:val="0"/>
        <w:rPr>
          <w:lang w:val="zh-TW"/>
        </w:rPr>
      </w:pPr>
      <w:r>
        <w:rPr>
          <w:rFonts w:hint="eastAsia"/>
          <w:lang w:val="zh-TW"/>
        </w:rPr>
        <w:t>（十一）接受和配合有关部门开展大型游乐设施安全监督检查、监督检验、定期检验和事故调查等工作，如实提供有关材料；</w:t>
      </w:r>
    </w:p>
    <w:p>
      <w:pPr>
        <w:bidi w:val="0"/>
        <w:rPr>
          <w:lang w:val="zh-TW"/>
        </w:rPr>
      </w:pPr>
      <w:r>
        <w:rPr>
          <w:rFonts w:hint="eastAsia"/>
          <w:lang w:val="zh-TW"/>
        </w:rPr>
        <w:t>（十二）履行市场监督管理部门规定和本单位要求的其他大型游乐设施使用安全管理职责。</w:t>
      </w:r>
    </w:p>
    <w:p>
      <w:pPr>
        <w:rPr>
          <w:rFonts w:hint="eastAsia" w:ascii="Times New Roman" w:hAnsi="Times New Roman" w:eastAsia="仿宋_GB2312" w:cs="仿宋"/>
          <w:b/>
          <w:bCs/>
          <w:sz w:val="44"/>
          <w:szCs w:val="44"/>
          <w:lang w:val="zh-TW"/>
        </w:rPr>
      </w:pPr>
      <w:r>
        <w:rPr>
          <w:rFonts w:hint="eastAsia" w:ascii="Times New Roman" w:hAnsi="Times New Roman" w:eastAsia="仿宋_GB2312" w:cs="仿宋"/>
          <w:b/>
          <w:bCs/>
          <w:sz w:val="44"/>
          <w:szCs w:val="44"/>
          <w:lang w:val="zh-TW"/>
        </w:rPr>
        <w:br w:type="page"/>
      </w:r>
    </w:p>
    <w:p>
      <w:pPr>
        <w:pStyle w:val="4"/>
        <w:bidi w:val="0"/>
        <w:rPr>
          <w:lang w:val="zh-TW"/>
        </w:rPr>
      </w:pPr>
      <w:bookmarkStart w:id="54" w:name="_Toc11473_WPSOffice_Level2"/>
      <w:bookmarkStart w:id="55" w:name="_Toc32635"/>
      <w:bookmarkStart w:id="56" w:name="_Toc18960"/>
      <w:bookmarkStart w:id="57" w:name="_Toc12042"/>
      <w:bookmarkStart w:id="58" w:name="_Toc31142"/>
      <w:r>
        <w:rPr>
          <w:rFonts w:hint="eastAsia"/>
          <w:lang w:val="zh-TW"/>
        </w:rPr>
        <w:t>场车安全总监职责</w:t>
      </w:r>
      <w:bookmarkEnd w:id="54"/>
      <w:bookmarkEnd w:id="55"/>
      <w:bookmarkEnd w:id="56"/>
      <w:bookmarkEnd w:id="57"/>
      <w:bookmarkEnd w:id="58"/>
    </w:p>
    <w:p>
      <w:pPr>
        <w:bidi w:val="0"/>
        <w:rPr>
          <w:lang w:val="zh-TW"/>
        </w:rPr>
      </w:pPr>
      <w:r>
        <w:rPr>
          <w:rFonts w:hint="eastAsia"/>
          <w:lang w:val="zh-TW"/>
        </w:rPr>
        <w:t>本单位设立的场车安全总监是指管理层中负责场车使用安全的管理人员。场车安全总监直接对本单位主要负责人负责，承担下列职责：</w:t>
      </w:r>
    </w:p>
    <w:p>
      <w:pPr>
        <w:bidi w:val="0"/>
        <w:rPr>
          <w:lang w:val="zh-TW"/>
        </w:rPr>
      </w:pPr>
      <w:r>
        <w:rPr>
          <w:rFonts w:hint="eastAsia"/>
          <w:lang w:val="zh-TW"/>
        </w:rPr>
        <w:t>（一）组织宣传、贯彻《中华人民共和国特种设备安全法》《特种设备安全监察条例》 《特种设备使用管理规则》 《场(厂)内专用机动车辆安全技术规程》等场车有关法律法规和安全技术规范及相关标准；</w:t>
      </w:r>
    </w:p>
    <w:p>
      <w:pPr>
        <w:bidi w:val="0"/>
        <w:rPr>
          <w:lang w:val="zh-TW"/>
        </w:rPr>
      </w:pPr>
      <w:r>
        <w:rPr>
          <w:rFonts w:hint="eastAsia"/>
          <w:lang w:val="zh-TW"/>
        </w:rPr>
        <w:t>（二）组织制定本单位场车使用安全管理制度，督促落实场车使用安全责任制，组织开展场车安全合规管理；</w:t>
      </w:r>
    </w:p>
    <w:p>
      <w:pPr>
        <w:bidi w:val="0"/>
        <w:rPr>
          <w:lang w:val="zh-TW"/>
        </w:rPr>
      </w:pPr>
      <w:r>
        <w:rPr>
          <w:rFonts w:hint="eastAsia"/>
          <w:lang w:val="zh-TW"/>
        </w:rPr>
        <w:t>（三）落实本单位特种设备安全管理机构设置、安全管理人员的配备；</w:t>
      </w:r>
    </w:p>
    <w:p>
      <w:pPr>
        <w:bidi w:val="0"/>
        <w:rPr>
          <w:lang w:val="zh-TW"/>
        </w:rPr>
      </w:pPr>
      <w:r>
        <w:rPr>
          <w:rFonts w:hint="eastAsia"/>
          <w:lang w:val="zh-TW"/>
        </w:rPr>
        <w:t xml:space="preserve">（四）组织制定场车事故应急专项预案并开展应急演练；   （五）落实场车安全事故报告义务，采取措施防止事故扩大； </w:t>
      </w:r>
    </w:p>
    <w:p>
      <w:pPr>
        <w:bidi w:val="0"/>
        <w:rPr>
          <w:lang w:val="zh-TW"/>
        </w:rPr>
      </w:pPr>
      <w:r>
        <w:rPr>
          <w:rFonts w:hint="eastAsia"/>
          <w:lang w:val="zh-TW"/>
        </w:rPr>
        <w:t xml:space="preserve">（六）对场车安全员进行安全教育和技术培训，监督、指导场车安全员做好相关工作； </w:t>
      </w:r>
    </w:p>
    <w:p>
      <w:pPr>
        <w:bidi w:val="0"/>
        <w:rPr>
          <w:lang w:val="zh-TW"/>
        </w:rPr>
      </w:pPr>
      <w:r>
        <w:rPr>
          <w:rFonts w:hint="eastAsia"/>
          <w:lang w:val="zh-TW"/>
        </w:rPr>
        <w:t xml:space="preserve">（七）按照规定组织开展场车使用安全风险隐患排查工作，拟定并督促落实场车使用安全风险管控措施； </w:t>
      </w:r>
    </w:p>
    <w:p>
      <w:pPr>
        <w:bidi w:val="0"/>
        <w:rPr>
          <w:lang w:val="zh-TW"/>
        </w:rPr>
      </w:pPr>
      <w:r>
        <w:rPr>
          <w:rFonts w:hint="eastAsia"/>
          <w:lang w:val="zh-TW"/>
        </w:rPr>
        <w:t xml:space="preserve">（八）对本单位场车使用安全管理工作进行检查，及时向主要负责人报告有关情况，提出改进措施； </w:t>
      </w:r>
    </w:p>
    <w:p>
      <w:pPr>
        <w:bidi w:val="0"/>
        <w:rPr>
          <w:lang w:val="zh-TW"/>
        </w:rPr>
      </w:pPr>
      <w:r>
        <w:rPr>
          <w:rFonts w:hint="eastAsia"/>
          <w:lang w:val="zh-TW"/>
        </w:rPr>
        <w:t xml:space="preserve">（九）接受和配合有关部门开展场车安全监督检查、定期检验和事故调查等工作，如实提供有关材料； </w:t>
      </w:r>
    </w:p>
    <w:p>
      <w:pPr>
        <w:bidi w:val="0"/>
        <w:rPr>
          <w:lang w:val="zh-TW"/>
        </w:rPr>
      </w:pPr>
      <w:r>
        <w:rPr>
          <w:rFonts w:hint="eastAsia"/>
          <w:lang w:val="zh-TW"/>
        </w:rPr>
        <w:t>（十）对于观光车选型选购负责，保证观光车辆的最大行驶坡度能够满足行驶路线中的最大坡度的要求，并且在销售合同中明确；（观光车专项）</w:t>
      </w:r>
    </w:p>
    <w:p>
      <w:pPr>
        <w:bidi w:val="0"/>
        <w:rPr>
          <w:lang w:val="zh-TW"/>
        </w:rPr>
      </w:pPr>
      <w:r>
        <w:rPr>
          <w:rFonts w:hint="eastAsia"/>
          <w:lang w:val="zh-TW"/>
        </w:rPr>
        <w:t>（十一）对于叉车选型选购负责，在爆炸性环境使用叉车时，遵守有关部门对防爆安全的管理规定；（叉车专项）</w:t>
      </w:r>
    </w:p>
    <w:p>
      <w:pPr>
        <w:bidi w:val="0"/>
        <w:rPr>
          <w:lang w:val="zh-TW"/>
        </w:rPr>
      </w:pPr>
      <w:r>
        <w:rPr>
          <w:rFonts w:hint="eastAsia"/>
          <w:lang w:val="zh-TW"/>
        </w:rPr>
        <w:t>（十二）对观光车辆行驶路线的安全负责；（观光车专项）</w:t>
      </w:r>
    </w:p>
    <w:p>
      <w:pPr>
        <w:bidi w:val="0"/>
        <w:rPr>
          <w:lang w:val="zh-TW"/>
        </w:rPr>
      </w:pPr>
      <w:r>
        <w:rPr>
          <w:rFonts w:hint="eastAsia"/>
          <w:lang w:val="zh-TW"/>
        </w:rPr>
        <w:t>（十三）履行市场监督管理部门规定和本单位要求的其他场车使用安全管理职责。</w:t>
      </w:r>
    </w:p>
    <w:p>
      <w:pPr>
        <w:rPr>
          <w:rFonts w:hint="eastAsia" w:ascii="Times New Roman" w:hAnsi="Times New Roman" w:eastAsia="仿宋_GB2312" w:cs="仿宋"/>
          <w:b/>
          <w:sz w:val="44"/>
          <w:szCs w:val="44"/>
        </w:rPr>
      </w:pPr>
      <w:r>
        <w:rPr>
          <w:rFonts w:hint="eastAsia" w:ascii="Times New Roman" w:hAnsi="Times New Roman" w:eastAsia="仿宋_GB2312" w:cs="仿宋"/>
          <w:b/>
          <w:sz w:val="44"/>
          <w:szCs w:val="44"/>
        </w:rPr>
        <w:br w:type="page"/>
      </w:r>
    </w:p>
    <w:p>
      <w:pPr>
        <w:pStyle w:val="4"/>
        <w:bidi w:val="0"/>
        <w:rPr>
          <w:rFonts w:hint="eastAsia"/>
          <w:lang w:eastAsia="zh-CN"/>
        </w:rPr>
      </w:pPr>
    </w:p>
    <w:p>
      <w:pPr>
        <w:pStyle w:val="4"/>
        <w:bidi w:val="0"/>
        <w:rPr>
          <w:rFonts w:hint="eastAsia"/>
          <w:lang w:eastAsia="zh-CN"/>
        </w:rPr>
      </w:pPr>
    </w:p>
    <w:p>
      <w:pPr>
        <w:pStyle w:val="4"/>
        <w:bidi w:val="0"/>
        <w:rPr>
          <w:rFonts w:hint="eastAsia"/>
          <w:lang w:eastAsia="zh-CN"/>
        </w:rPr>
      </w:pPr>
      <w:bookmarkStart w:id="59" w:name="_Toc21327_WPSOffice_Level1"/>
      <w:bookmarkStart w:id="60" w:name="_Toc20923"/>
      <w:bookmarkStart w:id="61" w:name="_Toc22098"/>
      <w:bookmarkStart w:id="62" w:name="_Toc15407"/>
      <w:bookmarkStart w:id="63" w:name="_Toc13639"/>
      <w:r>
        <w:rPr>
          <w:rFonts w:hint="eastAsia"/>
          <w:lang w:eastAsia="zh-CN"/>
        </w:rPr>
        <w:t>二、</w:t>
      </w:r>
      <w:r>
        <w:rPr>
          <w:rFonts w:hint="eastAsia"/>
        </w:rPr>
        <w:t>特种设备</w:t>
      </w:r>
      <w:r>
        <w:rPr>
          <w:rFonts w:hint="eastAsia"/>
          <w:lang w:eastAsia="zh-CN"/>
        </w:rPr>
        <w:t>使用</w:t>
      </w:r>
      <w:r>
        <w:rPr>
          <w:rFonts w:hint="eastAsia"/>
        </w:rPr>
        <w:t>单位安全员守则</w:t>
      </w:r>
      <w:bookmarkEnd w:id="59"/>
      <w:bookmarkEnd w:id="60"/>
      <w:bookmarkEnd w:id="61"/>
      <w:bookmarkEnd w:id="62"/>
      <w:bookmarkEnd w:id="63"/>
    </w:p>
    <w:p>
      <w:pPr>
        <w:rPr>
          <w:rFonts w:hint="eastAsia"/>
        </w:rPr>
      </w:pPr>
      <w:r>
        <w:rPr>
          <w:rFonts w:hint="eastAsia"/>
        </w:rPr>
        <w:br w:type="page"/>
      </w:r>
    </w:p>
    <w:p>
      <w:pPr>
        <w:pStyle w:val="4"/>
        <w:bidi w:val="0"/>
      </w:pPr>
      <w:bookmarkStart w:id="64" w:name="_Toc17014_WPSOffice_Level2"/>
      <w:bookmarkStart w:id="65" w:name="_Toc22851"/>
      <w:bookmarkStart w:id="66" w:name="_Toc29648"/>
      <w:bookmarkStart w:id="67" w:name="_Toc5893"/>
      <w:bookmarkStart w:id="68" w:name="_Toc3340"/>
      <w:r>
        <w:rPr>
          <w:rFonts w:hint="eastAsia"/>
        </w:rPr>
        <w:t>锅炉安全员守则</w:t>
      </w:r>
      <w:bookmarkEnd w:id="64"/>
      <w:bookmarkEnd w:id="65"/>
      <w:bookmarkEnd w:id="66"/>
      <w:bookmarkEnd w:id="67"/>
      <w:bookmarkEnd w:id="68"/>
    </w:p>
    <w:p>
      <w:pPr>
        <w:bidi w:val="0"/>
      </w:pPr>
      <w:r>
        <w:rPr>
          <w:rFonts w:hint="eastAsia"/>
        </w:rPr>
        <w:t>本</w:t>
      </w:r>
      <w:r>
        <w:rPr>
          <w:rFonts w:hint="eastAsia"/>
          <w:lang w:val="zh-TW"/>
        </w:rPr>
        <w:t>单位设立的</w:t>
      </w:r>
      <w:r>
        <w:rPr>
          <w:rFonts w:hint="eastAsia"/>
        </w:rPr>
        <w:t>锅炉安全员是指具体负责锅炉使用安全的检查人员。锅炉安全员对锅炉安全总监或单位主要负责人负责，承担下列职责：</w:t>
      </w:r>
    </w:p>
    <w:p>
      <w:pPr>
        <w:bidi w:val="0"/>
      </w:pPr>
      <w:r>
        <w:rPr>
          <w:rFonts w:hint="eastAsia"/>
        </w:rPr>
        <w:t>（一）按《特种设备使用管理规则》和《锅炉安全技术规程》要求，建立健全锅炉安全技术档案，并办理本单位锅炉使用登记、变更、停用、报废（注销）手续以及落实锅炉去功能化；</w:t>
      </w:r>
    </w:p>
    <w:p>
      <w:pPr>
        <w:bidi w:val="0"/>
      </w:pPr>
      <w:r>
        <w:rPr>
          <w:rFonts w:hint="eastAsia"/>
        </w:rPr>
        <w:t>（二）组织制定锅炉安全操作规程；</w:t>
      </w:r>
    </w:p>
    <w:p>
      <w:pPr>
        <w:bidi w:val="0"/>
      </w:pPr>
      <w:r>
        <w:rPr>
          <w:rFonts w:hint="eastAsia"/>
        </w:rPr>
        <w:t>（三）组织对锅炉作业人员进行教育和培训；</w:t>
      </w:r>
    </w:p>
    <w:p>
      <w:pPr>
        <w:bidi w:val="0"/>
      </w:pPr>
      <w:r>
        <w:rPr>
          <w:rFonts w:hint="eastAsia"/>
        </w:rPr>
        <w:t>（四）组织督促开展锅炉维护保养，按规定申报锅炉改造、修理监督检验，督促落实监督检验工作；</w:t>
      </w:r>
    </w:p>
    <w:p>
      <w:pPr>
        <w:bidi w:val="0"/>
      </w:pPr>
      <w:r>
        <w:rPr>
          <w:rFonts w:hint="eastAsia"/>
        </w:rPr>
        <w:t xml:space="preserve">（五）编制锅炉定期检验计划，组织实施燃烧器年度检查，督促落实锅炉定期检验和后续整改等工作； </w:t>
      </w:r>
    </w:p>
    <w:p>
      <w:pPr>
        <w:bidi w:val="0"/>
        <w:rPr>
          <w:lang w:val="zh-TW"/>
        </w:rPr>
      </w:pPr>
      <w:r>
        <w:rPr>
          <w:rFonts w:hint="eastAsia"/>
        </w:rPr>
        <w:t>（六）落实</w:t>
      </w:r>
      <w:r>
        <w:rPr>
          <w:rFonts w:hint="eastAsia"/>
          <w:lang w:val="zh-TW"/>
        </w:rPr>
        <w:t>锅炉</w:t>
      </w:r>
      <w:r>
        <w:rPr>
          <w:rFonts w:hint="eastAsia"/>
        </w:rPr>
        <w:t>安全</w:t>
      </w:r>
      <w:r>
        <w:rPr>
          <w:rFonts w:hint="eastAsia"/>
          <w:lang w:val="zh-TW"/>
        </w:rPr>
        <w:t>日管控</w:t>
      </w:r>
      <w:r>
        <w:rPr>
          <w:rFonts w:hint="eastAsia"/>
        </w:rPr>
        <w:t>工作</w:t>
      </w:r>
      <w:r>
        <w:rPr>
          <w:rFonts w:hint="eastAsia"/>
          <w:lang w:val="zh-TW"/>
        </w:rPr>
        <w:t>制度，按规定检查、记录、报告；</w:t>
      </w:r>
    </w:p>
    <w:p>
      <w:pPr>
        <w:bidi w:val="0"/>
      </w:pPr>
      <w:r>
        <w:rPr>
          <w:lang w:val="zh-TW"/>
        </w:rPr>
        <w:t>（</w:t>
      </w:r>
      <w:r>
        <w:rPr>
          <w:rFonts w:hint="eastAsia"/>
        </w:rPr>
        <w:t>七</w:t>
      </w:r>
      <w:r>
        <w:rPr>
          <w:lang w:val="zh-TW"/>
        </w:rPr>
        <w:t>）</w:t>
      </w:r>
      <w:r>
        <w:rPr>
          <w:rFonts w:hint="eastAsia"/>
        </w:rPr>
        <w:t>按照规定报告锅炉事故，参加锅炉事故救援，协助进行事故调查和善后处理；</w:t>
      </w:r>
    </w:p>
    <w:p>
      <w:pPr>
        <w:bidi w:val="0"/>
      </w:pPr>
      <w:r>
        <w:rPr>
          <w:rFonts w:hint="eastAsia"/>
        </w:rPr>
        <w:t>（八）履行市场监督管理部门规定和本单位要求的其他锅炉使用安全管理职责。</w:t>
      </w:r>
    </w:p>
    <w:p>
      <w:pPr>
        <w:rPr>
          <w:rFonts w:hint="eastAsia" w:ascii="仿宋_GB2312" w:hAnsi="Times New Roman" w:eastAsia="仿宋_GB2312" w:cs="仿宋"/>
          <w:b/>
          <w:sz w:val="44"/>
          <w:szCs w:val="44"/>
        </w:rPr>
      </w:pPr>
      <w:r>
        <w:rPr>
          <w:rFonts w:hint="eastAsia" w:ascii="仿宋_GB2312" w:hAnsi="Times New Roman" w:eastAsia="仿宋_GB2312" w:cs="仿宋"/>
          <w:b/>
          <w:sz w:val="44"/>
          <w:szCs w:val="44"/>
        </w:rPr>
        <w:br w:type="page"/>
      </w:r>
    </w:p>
    <w:p>
      <w:pPr>
        <w:pStyle w:val="4"/>
        <w:bidi w:val="0"/>
      </w:pPr>
      <w:bookmarkStart w:id="69" w:name="_Toc4638_WPSOffice_Level2"/>
      <w:bookmarkStart w:id="70" w:name="_Toc29251"/>
      <w:bookmarkStart w:id="71" w:name="_Toc27066"/>
      <w:bookmarkStart w:id="72" w:name="_Toc2077"/>
      <w:bookmarkStart w:id="73" w:name="_Toc32244"/>
      <w:r>
        <w:rPr>
          <w:rFonts w:hint="eastAsia"/>
        </w:rPr>
        <w:t>压力容器安全员守则</w:t>
      </w:r>
      <w:bookmarkEnd w:id="69"/>
      <w:bookmarkEnd w:id="70"/>
      <w:bookmarkEnd w:id="71"/>
      <w:bookmarkEnd w:id="72"/>
      <w:bookmarkEnd w:id="73"/>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本</w:t>
      </w:r>
      <w:r>
        <w:rPr>
          <w:rFonts w:hint="eastAsia"/>
          <w:lang w:val="zh-TW"/>
        </w:rPr>
        <w:t>单位设立的</w:t>
      </w:r>
      <w:r>
        <w:rPr>
          <w:rFonts w:hint="eastAsia"/>
        </w:rPr>
        <w:t>压力容器安全员是指具体负责压力容器使用安全的检查人员。压力容器安全员对压力容器安全总监或单位主要负责人负责，承担下列职责：</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（一）按相应安全技术规程要求，建立健全压力容器安全技术档案，办理本单位压力容器使用登记、变更、停用、报废（注销）手续以及落实压力容器去功能化；</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（二）组织制定压力容器安全操作规程；</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（三）组织对压力容器作业人员进行教育和培训；</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（四）编制压力容器的自行检查和定期检验计划，督促落实压力容器自行检查、定期检验和后续整改等工作；</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（五）按照规定报告压力容器事故，参加压力容器事故救援，协助进行事故调查和善后处理；</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（六）依据《压力容器安全风险管控清单》对压力容器进行日常巡检，形成《每日压力容器使用安全检查记录》，纠正和制止违章作业行为；</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（七）发现压力容器事故隐患，立即进行处理，情况紧急时，可以决定停止使用压力容器及相关的其他特种设备，并且及时报告本单位安全总监；</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（八）履行市场监督管理部门规定和本单位要求的其他压力容器使用安全管理职责。</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压力容器使用单位应当按照前款规定，结合本单位实际，细化制定《压力容器安全员守则》。</w:t>
      </w:r>
    </w:p>
    <w:p>
      <w:pPr>
        <w:pStyle w:val="4"/>
        <w:bidi w:val="0"/>
        <w:rPr>
          <w:lang w:val="zh-TW"/>
        </w:rPr>
      </w:pPr>
      <w:bookmarkStart w:id="74" w:name="_Toc18128_WPSOffice_Level2"/>
      <w:bookmarkStart w:id="75" w:name="_Toc22827"/>
      <w:bookmarkStart w:id="76" w:name="_Toc7483"/>
      <w:bookmarkStart w:id="77" w:name="_Toc22199"/>
      <w:bookmarkStart w:id="78" w:name="_Toc14855"/>
      <w:r>
        <w:rPr>
          <w:rFonts w:hint="eastAsia"/>
          <w:lang w:val="zh-TW"/>
        </w:rPr>
        <w:t>气瓶充装安全员守则</w:t>
      </w:r>
      <w:bookmarkEnd w:id="74"/>
      <w:bookmarkEnd w:id="75"/>
      <w:bookmarkEnd w:id="76"/>
      <w:bookmarkEnd w:id="77"/>
      <w:bookmarkEnd w:id="78"/>
    </w:p>
    <w:p>
      <w:pPr>
        <w:bidi w:val="0"/>
      </w:pPr>
      <w:r>
        <w:rPr>
          <w:rFonts w:hint="eastAsia"/>
        </w:rPr>
        <w:t>本</w:t>
      </w:r>
      <w:r>
        <w:rPr>
          <w:rFonts w:hint="eastAsia"/>
          <w:lang w:val="zh-TW"/>
        </w:rPr>
        <w:t>单位设立的</w:t>
      </w:r>
      <w:r>
        <w:rPr>
          <w:rFonts w:hint="eastAsia"/>
        </w:rPr>
        <w:t>气瓶充装安全员是指具体负责气瓶充装使用安全的检查人员。气瓶充装安全员对气瓶充装安全总监或单位主要负责人负责，承担下列职责：</w:t>
      </w:r>
    </w:p>
    <w:p>
      <w:pPr>
        <w:bidi w:val="0"/>
      </w:pPr>
      <w:r>
        <w:rPr>
          <w:rFonts w:hint="eastAsia"/>
        </w:rPr>
        <w:t>（一）按相应安全技术规程要求，建立健全气瓶安全技术档案，办理本单位气瓶使用登记；</w:t>
      </w:r>
    </w:p>
    <w:p>
      <w:pPr>
        <w:bidi w:val="0"/>
      </w:pPr>
      <w:r>
        <w:rPr>
          <w:rFonts w:hint="eastAsia"/>
        </w:rPr>
        <w:t>（二）组织制定气瓶安全充装操作规程；</w:t>
      </w:r>
    </w:p>
    <w:p>
      <w:pPr>
        <w:bidi w:val="0"/>
      </w:pPr>
      <w:r>
        <w:rPr>
          <w:rFonts w:hint="eastAsia"/>
        </w:rPr>
        <w:t>（三）依据《气瓶充装安全风险管控清单》对气瓶充装进行日常巡检，形成《每日气瓶充装安全检查记录》。组织实施气瓶充装前、后检查，充装过程检查，纠正和制止违章作业行为；</w:t>
      </w:r>
    </w:p>
    <w:p>
      <w:pPr>
        <w:bidi w:val="0"/>
      </w:pPr>
      <w:r>
        <w:rPr>
          <w:rFonts w:hint="eastAsia"/>
        </w:rPr>
        <w:t>（四）落实本单位气瓶充装质量安全追溯信息平台的各项功能，逐只扫描出厂气瓶追溯标签确保气瓶满足可追溯要求；</w:t>
      </w:r>
    </w:p>
    <w:p>
      <w:pPr>
        <w:bidi w:val="0"/>
      </w:pPr>
      <w:r>
        <w:rPr>
          <w:rFonts w:hint="eastAsia"/>
        </w:rPr>
        <w:t>（五）组织对气瓶作业人员进行教育和培训；</w:t>
      </w:r>
    </w:p>
    <w:p>
      <w:pPr>
        <w:bidi w:val="0"/>
      </w:pPr>
      <w:r>
        <w:rPr>
          <w:rFonts w:hint="eastAsia"/>
        </w:rPr>
        <w:t>（六）落实风险隐患排查和治理；</w:t>
      </w:r>
    </w:p>
    <w:p>
      <w:pPr>
        <w:bidi w:val="0"/>
      </w:pPr>
      <w:r>
        <w:rPr>
          <w:rFonts w:hint="eastAsia"/>
        </w:rPr>
        <w:t>（七）编制气瓶充装前后自行检查和定期检验计划，督促落实自行检查、定期检验和后续整改等工作；</w:t>
      </w:r>
    </w:p>
    <w:p>
      <w:pPr>
        <w:bidi w:val="0"/>
      </w:pPr>
      <w:r>
        <w:rPr>
          <w:rFonts w:hint="eastAsia"/>
        </w:rPr>
        <w:t>（八）按照规定报告气瓶事故，参加气瓶事故救援，协助进行事故调查和善后处理；</w:t>
      </w:r>
    </w:p>
    <w:p>
      <w:pPr>
        <w:bidi w:val="0"/>
        <w:rPr>
          <w:rFonts w:hint="eastAsia"/>
        </w:rPr>
      </w:pPr>
      <w:r>
        <w:rPr>
          <w:rFonts w:hint="eastAsia"/>
        </w:rPr>
        <w:t>（九）负责向用气方宣传用气安全须知或者提供用气说明书；</w:t>
      </w:r>
    </w:p>
    <w:p>
      <w:pPr>
        <w:bidi w:val="0"/>
      </w:pPr>
      <w:r>
        <w:rPr>
          <w:rFonts w:hint="eastAsia"/>
        </w:rPr>
        <w:t>（十）履行市场监督管理部门规定和本单位要求的其他气瓶充装安全管理职责。</w:t>
      </w:r>
    </w:p>
    <w:p>
      <w:pPr>
        <w:bidi w:val="0"/>
      </w:pPr>
    </w:p>
    <w:p>
      <w:pPr>
        <w:pStyle w:val="2"/>
      </w:pPr>
    </w:p>
    <w:p>
      <w:pPr>
        <w:pStyle w:val="4"/>
        <w:bidi w:val="0"/>
      </w:pPr>
      <w:bookmarkStart w:id="79" w:name="_Toc32102_WPSOffice_Level2"/>
      <w:bookmarkStart w:id="80" w:name="_Toc3246"/>
      <w:bookmarkStart w:id="81" w:name="_Toc426"/>
      <w:bookmarkStart w:id="82" w:name="_Toc20788"/>
      <w:bookmarkStart w:id="83" w:name="_Toc13086"/>
      <w:r>
        <w:rPr>
          <w:rFonts w:hint="eastAsia"/>
        </w:rPr>
        <w:t>压力管道安全员守则</w:t>
      </w:r>
      <w:bookmarkEnd w:id="79"/>
      <w:bookmarkEnd w:id="80"/>
      <w:bookmarkEnd w:id="81"/>
      <w:bookmarkEnd w:id="82"/>
      <w:bookmarkEnd w:id="83"/>
    </w:p>
    <w:p>
      <w:pPr>
        <w:bidi w:val="0"/>
      </w:pPr>
      <w:r>
        <w:rPr>
          <w:rFonts w:hint="eastAsia"/>
        </w:rPr>
        <w:t>本</w:t>
      </w:r>
      <w:r>
        <w:rPr>
          <w:rFonts w:hint="eastAsia"/>
          <w:lang w:val="zh-TW"/>
        </w:rPr>
        <w:t>单位设立的</w:t>
      </w:r>
      <w:r>
        <w:rPr>
          <w:rFonts w:hint="eastAsia"/>
        </w:rPr>
        <w:t>压力管道安全员是指具体负责压力管道使用安全的检查人员。压力管道安全员对压力管道安全总监或单位主要负责人负责，承担下列职责：</w:t>
      </w:r>
    </w:p>
    <w:p>
      <w:pPr>
        <w:bidi w:val="0"/>
      </w:pPr>
      <w:r>
        <w:rPr>
          <w:rFonts w:hint="eastAsia"/>
        </w:rPr>
        <w:t>（一）按相应安全技术规程要求，建立健全压力管道安全技术档案，办理本单位压力管道使用登记、变更、停用、报废（注销）手续以及落实压力管道去功能化；</w:t>
      </w:r>
    </w:p>
    <w:p>
      <w:pPr>
        <w:bidi w:val="0"/>
      </w:pPr>
      <w:r>
        <w:rPr>
          <w:rFonts w:hint="eastAsia"/>
        </w:rPr>
        <w:t>（二）组织制定压力管道安全操作规程；</w:t>
      </w:r>
    </w:p>
    <w:p>
      <w:pPr>
        <w:bidi w:val="0"/>
      </w:pPr>
      <w:r>
        <w:rPr>
          <w:rFonts w:hint="eastAsia"/>
        </w:rPr>
        <w:t>（三）组织对压力管道作业人员进行教育和培训；</w:t>
      </w:r>
    </w:p>
    <w:p>
      <w:pPr>
        <w:bidi w:val="0"/>
      </w:pPr>
      <w:r>
        <w:rPr>
          <w:rFonts w:hint="eastAsia"/>
        </w:rPr>
        <w:t>（四）编制压力管道的自行检查和定期检验计划，督促落实压力管道自行检查、定期检验和后续整改等工作；</w:t>
      </w:r>
    </w:p>
    <w:p>
      <w:pPr>
        <w:bidi w:val="0"/>
      </w:pPr>
      <w:r>
        <w:rPr>
          <w:rFonts w:hint="eastAsia"/>
        </w:rPr>
        <w:t>（五）按照规定报告压力管道事故，参加压力管道事故救援，协助进行事故调查和善后处理；</w:t>
      </w:r>
    </w:p>
    <w:p>
      <w:pPr>
        <w:bidi w:val="0"/>
      </w:pPr>
      <w:r>
        <w:rPr>
          <w:rFonts w:hint="eastAsia"/>
        </w:rPr>
        <w:t>（六）依据《压力管道安全风险管控清单》对压力管道进行日常巡检，形成《每日压力管道使用安全检查记录》，纠正和制止违章作业行为；</w:t>
      </w:r>
    </w:p>
    <w:p>
      <w:pPr>
        <w:bidi w:val="0"/>
      </w:pPr>
      <w:r>
        <w:rPr>
          <w:rFonts w:hint="eastAsia"/>
        </w:rPr>
        <w:t>（七）发现压力管道事故隐患，立即进行处理，情况紧急时，可以决定停止使用压力管道及相关的其他特种设备，并且及时报告本单位安全总监；</w:t>
      </w:r>
    </w:p>
    <w:p>
      <w:pPr>
        <w:bidi w:val="0"/>
      </w:pPr>
      <w:r>
        <w:rPr>
          <w:rFonts w:hint="eastAsia"/>
        </w:rPr>
        <w:t>（八）履行市场监督管理部门规定和本单位要求的其他压力管道使用安全管理职责。</w:t>
      </w:r>
    </w:p>
    <w:p>
      <w:pPr>
        <w:rPr>
          <w:rFonts w:hint="eastAsia" w:ascii="仿宋_GB2312" w:hAnsi="Times New Roman" w:eastAsia="仿宋_GB2312" w:cs="仿宋"/>
          <w:b/>
          <w:sz w:val="44"/>
          <w:szCs w:val="44"/>
        </w:rPr>
      </w:pPr>
      <w:r>
        <w:rPr>
          <w:rFonts w:hint="eastAsia" w:ascii="仿宋_GB2312" w:hAnsi="Times New Roman" w:eastAsia="仿宋_GB2312" w:cs="仿宋"/>
          <w:b/>
          <w:sz w:val="44"/>
          <w:szCs w:val="44"/>
        </w:rPr>
        <w:br w:type="page"/>
      </w:r>
    </w:p>
    <w:p>
      <w:pPr>
        <w:pStyle w:val="4"/>
        <w:bidi w:val="0"/>
      </w:pPr>
      <w:bookmarkStart w:id="84" w:name="_Toc23698_WPSOffice_Level2"/>
      <w:bookmarkStart w:id="85" w:name="_Toc32674"/>
      <w:bookmarkStart w:id="86" w:name="_Toc23418"/>
      <w:bookmarkStart w:id="87" w:name="_Toc2834"/>
      <w:bookmarkStart w:id="88" w:name="_Toc29399"/>
      <w:r>
        <w:rPr>
          <w:rFonts w:hint="eastAsia"/>
        </w:rPr>
        <w:t>电梯安全员守则</w:t>
      </w:r>
      <w:bookmarkEnd w:id="84"/>
      <w:bookmarkEnd w:id="85"/>
      <w:bookmarkEnd w:id="86"/>
      <w:bookmarkEnd w:id="87"/>
      <w:bookmarkEnd w:id="88"/>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本单位设立的电梯安全员是指具体负责电梯使用安全的检查人员。电梯安全员对电梯安全总监或单位主要负责人负责，承担下列职责：</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（一）按《特种设备使用管理规则》和《电梯维护保养规则》要求，建立健全电梯安全技术档案，并办理本单位电梯使用登记、变更、停用、报废（注销）手续；</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（二）妥善保管电梯专用钥匙和工具；</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（三）对电梯进行日常巡检，引导和监督正确使用电梯；</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四）确保电梯紧急报警装置正常使用，督促值班人员保持24小时在岗，及时接听电梯紧急报警电话，保持电梯应急救援通道畅通，在发生故障和困人等突发情况时，立即安抚相关人员，并组织维护保养单位救援；</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（五）对电梯维护保养过程和结果进行监督确认，配合做好现场安全工作，及时公示电梯维护保养相关信息；</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（六）编制电梯自行检测和定期检验计划，及时申请定期检验或督促落实电梯自行检测，并做好后续整改工作；</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（七）落实电梯安全日管控工作制度，按规定检查、记录、报告；</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（八）按照规定报告电梯事故，参加电梯事故救援，协助进行事故调查和善后处理；</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（九）履行市场监督管理部门规定和本单位要求的其他电梯使用安全管理职责。</w:t>
      </w:r>
    </w:p>
    <w:p>
      <w:pPr>
        <w:pStyle w:val="4"/>
        <w:bidi w:val="0"/>
      </w:pPr>
      <w:bookmarkStart w:id="89" w:name="_Toc29558_WPSOffice_Level2"/>
      <w:bookmarkStart w:id="90" w:name="_Toc27582"/>
      <w:bookmarkStart w:id="91" w:name="_Toc27869"/>
      <w:bookmarkStart w:id="92" w:name="_Toc3307"/>
      <w:bookmarkStart w:id="93" w:name="_Toc23005"/>
      <w:r>
        <w:rPr>
          <w:rFonts w:hint="eastAsia"/>
        </w:rPr>
        <w:t>起重机械安全员守则</w:t>
      </w:r>
      <w:bookmarkEnd w:id="89"/>
      <w:bookmarkEnd w:id="90"/>
      <w:bookmarkEnd w:id="91"/>
      <w:bookmarkEnd w:id="92"/>
      <w:bookmarkEnd w:id="93"/>
    </w:p>
    <w:p>
      <w:pPr>
        <w:bidi w:val="0"/>
      </w:pPr>
      <w:r>
        <w:rPr>
          <w:rFonts w:hint="eastAsia"/>
        </w:rPr>
        <w:t>本</w:t>
      </w:r>
      <w:r>
        <w:rPr>
          <w:rFonts w:hint="eastAsia"/>
          <w:lang w:val="zh-TW"/>
        </w:rPr>
        <w:t>单位设立的</w:t>
      </w:r>
      <w:r>
        <w:rPr>
          <w:rFonts w:hint="eastAsia"/>
        </w:rPr>
        <w:t>起重机械安全员是指具体负责起重机械使用安全的检查人员。起重机械安全员对起重机械安全总监或单位主要负责人负责，承担下列职责：</w:t>
      </w:r>
    </w:p>
    <w:p>
      <w:pPr>
        <w:bidi w:val="0"/>
      </w:pPr>
      <w:r>
        <w:rPr>
          <w:rFonts w:hint="eastAsia"/>
        </w:rPr>
        <w:t>（一）按《特种设备使用管理规则》要求，建立健全起重机械安全档案，办理本单位起重机械使用登记；</w:t>
      </w:r>
    </w:p>
    <w:p>
      <w:pPr>
        <w:bidi w:val="0"/>
      </w:pPr>
      <w:r>
        <w:rPr>
          <w:rFonts w:hint="eastAsia"/>
        </w:rPr>
        <w:t>（二）组织制定起重机械安全操作规程；</w:t>
      </w:r>
    </w:p>
    <w:p>
      <w:pPr>
        <w:bidi w:val="0"/>
      </w:pPr>
      <w:r>
        <w:rPr>
          <w:rFonts w:hint="eastAsia"/>
        </w:rPr>
        <w:t>（三）组织对起重机械作业人员进行教育和培训，指导和监督司机正确使用起重机械；</w:t>
      </w:r>
    </w:p>
    <w:p>
      <w:pPr>
        <w:bidi w:val="0"/>
      </w:pPr>
      <w:r>
        <w:rPr>
          <w:rFonts w:hint="eastAsia"/>
        </w:rPr>
        <w:t>（四）对起重机械进行日常巡检，纠正和制止违章作业行为，及时处理或报告事故隐患；</w:t>
      </w:r>
    </w:p>
    <w:p>
      <w:pPr>
        <w:bidi w:val="0"/>
      </w:pPr>
      <w:r>
        <w:rPr>
          <w:rFonts w:hint="eastAsia"/>
        </w:rPr>
        <w:t xml:space="preserve">（五）组织督促开展起重机械维护保养和定期自行检查； </w:t>
      </w:r>
    </w:p>
    <w:p>
      <w:pPr>
        <w:bidi w:val="0"/>
      </w:pPr>
      <w:r>
        <w:rPr>
          <w:rFonts w:hint="eastAsia"/>
        </w:rPr>
        <w:t xml:space="preserve">（六）编制起重机械定期检验计划，督促落实起重机械定期检验和后续整改等工作； </w:t>
      </w:r>
    </w:p>
    <w:p>
      <w:pPr>
        <w:bidi w:val="0"/>
      </w:pPr>
      <w:r>
        <w:rPr>
          <w:rFonts w:hint="eastAsia"/>
        </w:rPr>
        <w:t xml:space="preserve">（七）按照规定报告起重机械事故，参加起重机械事故救援，配合事故调查和善后处理； </w:t>
      </w:r>
    </w:p>
    <w:p>
      <w:pPr>
        <w:bidi w:val="0"/>
      </w:pPr>
      <w:r>
        <w:rPr>
          <w:rFonts w:hint="eastAsia"/>
        </w:rPr>
        <w:t>（八）履行市场监督管理部门规定和本单位要求的其他起重机械使用安全管理职责。</w:t>
      </w:r>
    </w:p>
    <w:p>
      <w:pPr>
        <w:bidi w:val="0"/>
      </w:pPr>
    </w:p>
    <w:p>
      <w:pPr>
        <w:rPr>
          <w:rFonts w:hint="eastAsia" w:ascii="仿宋_GB2312" w:eastAsia="仿宋_GB2312" w:cs="仿宋"/>
          <w:b/>
          <w:kern w:val="2"/>
        </w:rPr>
      </w:pPr>
      <w:r>
        <w:rPr>
          <w:rFonts w:hint="eastAsia" w:ascii="仿宋_GB2312" w:eastAsia="仿宋_GB2312" w:cs="仿宋"/>
          <w:b/>
          <w:kern w:val="2"/>
        </w:rPr>
        <w:br w:type="page"/>
      </w:r>
    </w:p>
    <w:p>
      <w:pPr>
        <w:pStyle w:val="4"/>
        <w:bidi w:val="0"/>
      </w:pPr>
      <w:bookmarkStart w:id="94" w:name="_Toc6660_WPSOffice_Level2"/>
      <w:bookmarkStart w:id="95" w:name="_Toc20524"/>
      <w:bookmarkStart w:id="96" w:name="_Toc32688"/>
      <w:bookmarkStart w:id="97" w:name="_Toc14004"/>
      <w:bookmarkStart w:id="98" w:name="_Toc31916"/>
      <w:r>
        <w:rPr>
          <w:rFonts w:hint="eastAsia"/>
        </w:rPr>
        <w:t>客运索道安全员守则</w:t>
      </w:r>
      <w:bookmarkEnd w:id="94"/>
      <w:bookmarkEnd w:id="95"/>
      <w:bookmarkEnd w:id="96"/>
      <w:bookmarkEnd w:id="97"/>
      <w:bookmarkEnd w:id="98"/>
    </w:p>
    <w:p>
      <w:pPr>
        <w:bidi w:val="0"/>
      </w:pPr>
      <w:r>
        <w:rPr>
          <w:rFonts w:hint="eastAsia"/>
        </w:rPr>
        <w:t>本</w:t>
      </w:r>
      <w:r>
        <w:rPr>
          <w:rFonts w:hint="eastAsia"/>
          <w:lang w:val="zh-TW"/>
        </w:rPr>
        <w:t>单位设立的</w:t>
      </w:r>
      <w:r>
        <w:rPr>
          <w:rFonts w:hint="eastAsia"/>
        </w:rPr>
        <w:t>客运索道安全员是指具体负责客运索道使用安全的检查人员。客运索道安全员对客运索道安全总监或单位主要负责人负责，承担下列职责：</w:t>
      </w:r>
    </w:p>
    <w:p>
      <w:pPr>
        <w:bidi w:val="0"/>
      </w:pPr>
      <w:r>
        <w:rPr>
          <w:rFonts w:hint="eastAsia"/>
        </w:rPr>
        <w:t>（一）按《特种设备使用管理规则》和《客运索道安全监督管理规定》要求，建立健全客运索道安全技术档案，办理本单位客运索道使用登记、变更、停用、报废（注销）手续；</w:t>
      </w:r>
    </w:p>
    <w:p>
      <w:pPr>
        <w:bidi w:val="0"/>
      </w:pPr>
      <w:r>
        <w:rPr>
          <w:rFonts w:hint="eastAsia"/>
        </w:rPr>
        <w:t>（二）组织制定客运索道安全操作规程；</w:t>
      </w:r>
    </w:p>
    <w:p>
      <w:pPr>
        <w:bidi w:val="0"/>
      </w:pPr>
      <w:r>
        <w:rPr>
          <w:rFonts w:hint="eastAsia"/>
        </w:rPr>
        <w:t>（三）组织对客运索道作业人员、站务人员进行教育和培训；</w:t>
      </w:r>
    </w:p>
    <w:p>
      <w:pPr>
        <w:bidi w:val="0"/>
      </w:pPr>
      <w:r>
        <w:rPr>
          <w:rFonts w:hint="eastAsia"/>
        </w:rPr>
        <w:t>（四）组织客运索道试运行检查、日常巡检，及时处理或报告事故隐患；</w:t>
      </w:r>
    </w:p>
    <w:p>
      <w:pPr>
        <w:bidi w:val="0"/>
      </w:pPr>
      <w:r>
        <w:rPr>
          <w:rFonts w:hint="eastAsia"/>
        </w:rPr>
        <w:t>（五）纠正和制止客运索道作业人员、站务人员的违章行为；</w:t>
      </w:r>
    </w:p>
    <w:p>
      <w:pPr>
        <w:bidi w:val="0"/>
      </w:pPr>
      <w:r>
        <w:rPr>
          <w:rFonts w:hint="eastAsia"/>
        </w:rPr>
        <w:t>（六）编制客运索道定期检验计划，督促落实定期检验和隐患治理工作；</w:t>
      </w:r>
    </w:p>
    <w:p>
      <w:pPr>
        <w:bidi w:val="0"/>
      </w:pPr>
      <w:r>
        <w:rPr>
          <w:rFonts w:hint="eastAsia"/>
        </w:rPr>
        <w:t>（七）按照规定报告客运索道事故，参加客运索道事故救援，配合事故调查和善后处理；</w:t>
      </w:r>
    </w:p>
    <w:p>
      <w:pPr>
        <w:bidi w:val="0"/>
      </w:pPr>
      <w:r>
        <w:rPr>
          <w:rFonts w:hint="eastAsia"/>
        </w:rPr>
        <w:t>（八）履行市场监督管理部门规定和本单位要求的其他客运索道使用安全管理职责。</w:t>
      </w:r>
    </w:p>
    <w:p>
      <w:pPr>
        <w:bidi w:val="0"/>
      </w:pPr>
    </w:p>
    <w:p>
      <w:pPr>
        <w:wordWrap w:val="0"/>
        <w:topLinePunct/>
        <w:snapToGrid w:val="0"/>
        <w:spacing w:line="600" w:lineRule="exact"/>
        <w:ind w:firstLine="640" w:firstLineChars="200"/>
        <w:rPr>
          <w:rFonts w:ascii="Times New Roman" w:hAnsi="Times New Roman" w:eastAsia="仿宋_GB2312" w:cs="仿宋"/>
          <w:sz w:val="32"/>
          <w:szCs w:val="32"/>
        </w:rPr>
      </w:pPr>
    </w:p>
    <w:p>
      <w:pPr>
        <w:rPr>
          <w:rFonts w:hint="eastAsia" w:eastAsia="仿宋_GB2312" w:cs="仿宋"/>
          <w:b/>
          <w:sz w:val="44"/>
          <w:szCs w:val="44"/>
        </w:rPr>
      </w:pPr>
      <w:r>
        <w:rPr>
          <w:rFonts w:hint="eastAsia" w:eastAsia="仿宋_GB2312" w:cs="仿宋"/>
          <w:b/>
          <w:sz w:val="44"/>
          <w:szCs w:val="44"/>
        </w:rPr>
        <w:br w:type="page"/>
      </w:r>
    </w:p>
    <w:p>
      <w:pPr>
        <w:pStyle w:val="4"/>
        <w:bidi w:val="0"/>
      </w:pPr>
      <w:bookmarkStart w:id="99" w:name="_Toc2907_WPSOffice_Level2"/>
      <w:bookmarkStart w:id="100" w:name="_Toc398"/>
      <w:bookmarkStart w:id="101" w:name="_Toc18426"/>
      <w:bookmarkStart w:id="102" w:name="_Toc12875"/>
      <w:bookmarkStart w:id="103" w:name="_Toc27981"/>
      <w:r>
        <w:rPr>
          <w:rFonts w:hint="eastAsia"/>
        </w:rPr>
        <w:t>大型游乐设施安全员守则</w:t>
      </w:r>
      <w:bookmarkEnd w:id="99"/>
      <w:bookmarkEnd w:id="100"/>
      <w:bookmarkEnd w:id="101"/>
      <w:bookmarkEnd w:id="102"/>
      <w:bookmarkEnd w:id="103"/>
    </w:p>
    <w:p>
      <w:pPr>
        <w:bidi w:val="0"/>
      </w:pPr>
      <w:r>
        <w:rPr>
          <w:rFonts w:hint="eastAsia"/>
        </w:rPr>
        <w:t>本</w:t>
      </w:r>
      <w:r>
        <w:rPr>
          <w:rFonts w:hint="eastAsia"/>
          <w:lang w:val="zh-TW"/>
        </w:rPr>
        <w:t>单位设立的</w:t>
      </w:r>
      <w:r>
        <w:rPr>
          <w:rFonts w:hint="eastAsia"/>
        </w:rPr>
        <w:t>大型游乐设施安全员是指具体负责大型游乐设施使用安全的检查人员。大型游乐设施安全员对大型游乐设施安全总监或单位主要负责人负责，承担下列职责：</w:t>
      </w:r>
    </w:p>
    <w:p>
      <w:pPr>
        <w:bidi w:val="0"/>
      </w:pPr>
      <w:r>
        <w:rPr>
          <w:rFonts w:hint="eastAsia"/>
        </w:rPr>
        <w:t>（一）按《特种设备使用管理规则》和《</w:t>
      </w:r>
      <w:r>
        <w:rPr>
          <w:rFonts w:hint="eastAsia"/>
          <w:lang w:val="zh-TW"/>
        </w:rPr>
        <w:t>大型游乐设施安全监察规定</w:t>
      </w:r>
      <w:r>
        <w:rPr>
          <w:rFonts w:hint="eastAsia"/>
        </w:rPr>
        <w:t>》要求，建立健全大型游乐设施安全技术档案，并办理本单位大型游乐设施使用登记、变更、停用、报废（注销）手续；</w:t>
      </w:r>
    </w:p>
    <w:p>
      <w:pPr>
        <w:bidi w:val="0"/>
      </w:pPr>
      <w:r>
        <w:rPr>
          <w:rFonts w:hint="eastAsia"/>
        </w:rPr>
        <w:t>（二）组织制定各类大型游乐设施安全操作规程；</w:t>
      </w:r>
    </w:p>
    <w:p>
      <w:pPr>
        <w:bidi w:val="0"/>
      </w:pPr>
      <w:r>
        <w:rPr>
          <w:rFonts w:hint="eastAsia"/>
        </w:rPr>
        <w:t>（三）组织对大型游乐设施作业人员、服务人员进行教育和培训，指导和监督作业人员正确操作大型游乐设施；</w:t>
      </w:r>
    </w:p>
    <w:p>
      <w:pPr>
        <w:bidi w:val="0"/>
      </w:pPr>
      <w:r>
        <w:rPr>
          <w:rFonts w:hint="eastAsia"/>
        </w:rPr>
        <w:t>（四）按照《使用维护保养说明书》及相关安全技术规范，组织开展大型游乐设施试运行、定期维护保养和自行检查，及时处理或报告事故隐患；</w:t>
      </w:r>
    </w:p>
    <w:p>
      <w:pPr>
        <w:bidi w:val="0"/>
      </w:pPr>
      <w:r>
        <w:rPr>
          <w:rFonts w:hint="eastAsia"/>
        </w:rPr>
        <w:t>（五）对大型游乐设施进行日常巡检，纠正和制止违章作业行为；</w:t>
      </w:r>
    </w:p>
    <w:p>
      <w:pPr>
        <w:bidi w:val="0"/>
      </w:pPr>
      <w:r>
        <w:rPr>
          <w:rFonts w:hint="eastAsia"/>
        </w:rPr>
        <w:t xml:space="preserve">（六）编制大型游乐设施定期检验计划，督促落实大型游乐设施定期检验和后续整改等工作； </w:t>
      </w:r>
    </w:p>
    <w:p>
      <w:pPr>
        <w:bidi w:val="0"/>
      </w:pPr>
      <w:r>
        <w:rPr>
          <w:rFonts w:hint="eastAsia"/>
        </w:rPr>
        <w:t xml:space="preserve">（七）按照规定报告大型游乐设施事故，参加大型游乐设施事故救援，配合事故调查和善后处理； </w:t>
      </w:r>
    </w:p>
    <w:p>
      <w:pPr>
        <w:bidi w:val="0"/>
      </w:pPr>
      <w:r>
        <w:rPr>
          <w:rFonts w:hint="eastAsia"/>
        </w:rPr>
        <w:t>（八）履行市场监督管理部门规定和本单位要求的其他大型游乐设施使用安全管理职责。</w:t>
      </w:r>
    </w:p>
    <w:p>
      <w:pPr>
        <w:rPr>
          <w:rFonts w:hint="eastAsia"/>
        </w:rPr>
      </w:pPr>
      <w:r>
        <w:rPr>
          <w:rFonts w:hint="eastAsia"/>
        </w:rPr>
        <w:br w:type="page"/>
      </w:r>
    </w:p>
    <w:p>
      <w:pPr>
        <w:pStyle w:val="4"/>
        <w:bidi w:val="0"/>
      </w:pPr>
      <w:bookmarkStart w:id="104" w:name="_Toc21568_WPSOffice_Level2"/>
      <w:bookmarkStart w:id="105" w:name="_Toc1685"/>
      <w:bookmarkStart w:id="106" w:name="_Toc11203"/>
      <w:bookmarkStart w:id="107" w:name="_Toc32738"/>
      <w:bookmarkStart w:id="108" w:name="_Toc11821"/>
      <w:r>
        <w:rPr>
          <w:rFonts w:hint="eastAsia"/>
        </w:rPr>
        <w:t>场车安全员守则</w:t>
      </w:r>
      <w:bookmarkEnd w:id="104"/>
      <w:bookmarkEnd w:id="105"/>
      <w:bookmarkEnd w:id="106"/>
      <w:bookmarkEnd w:id="107"/>
      <w:bookmarkEnd w:id="108"/>
    </w:p>
    <w:p>
      <w:pPr>
        <w:bidi w:val="0"/>
      </w:pPr>
      <w:r>
        <w:rPr>
          <w:rFonts w:hint="eastAsia"/>
        </w:rPr>
        <w:t>本</w:t>
      </w:r>
      <w:r>
        <w:rPr>
          <w:rFonts w:hint="eastAsia"/>
          <w:lang w:val="zh-TW"/>
        </w:rPr>
        <w:t>单位设立的</w:t>
      </w:r>
      <w:r>
        <w:rPr>
          <w:rFonts w:hint="eastAsia"/>
        </w:rPr>
        <w:t>场车安全员是指具体负责场车使用安全的检查人员。场车安全员对场车安全总监或单位主要负责人负责，承担下列职责：</w:t>
      </w:r>
    </w:p>
    <w:p>
      <w:pPr>
        <w:bidi w:val="0"/>
      </w:pPr>
      <w:r>
        <w:rPr>
          <w:rFonts w:hint="eastAsia"/>
        </w:rPr>
        <w:t>（一）按《特种设备使用管理规则》要求，建立健全场车安全技术档案，并办理本单位场车使用登记；</w:t>
      </w:r>
    </w:p>
    <w:p>
      <w:pPr>
        <w:bidi w:val="0"/>
      </w:pPr>
      <w:r>
        <w:rPr>
          <w:rFonts w:hint="eastAsia"/>
        </w:rPr>
        <w:t>（二）组织制定场车安全操作规程；</w:t>
      </w:r>
    </w:p>
    <w:p>
      <w:pPr>
        <w:bidi w:val="0"/>
      </w:pPr>
      <w:r>
        <w:rPr>
          <w:rFonts w:hint="eastAsia"/>
        </w:rPr>
        <w:t>（三）组织对场车作业人员进行教育和培训，指导和监督司机正确使用场车；</w:t>
      </w:r>
    </w:p>
    <w:p>
      <w:pPr>
        <w:bidi w:val="0"/>
      </w:pPr>
      <w:r>
        <w:rPr>
          <w:rFonts w:hint="eastAsia"/>
        </w:rPr>
        <w:t>（四）对场车和线路进行日常巡检，纠正和制止违章作业行为，及时处理或报告事故隐患；</w:t>
      </w:r>
    </w:p>
    <w:p>
      <w:pPr>
        <w:bidi w:val="0"/>
      </w:pPr>
      <w:r>
        <w:rPr>
          <w:rFonts w:hint="eastAsia"/>
        </w:rPr>
        <w:t>（五）组织督促开展场车维护保养和定期自行检查；</w:t>
      </w:r>
      <w:r>
        <w:t xml:space="preserve"> </w:t>
      </w:r>
    </w:p>
    <w:p>
      <w:pPr>
        <w:bidi w:val="0"/>
      </w:pPr>
      <w:r>
        <w:rPr>
          <w:rFonts w:hint="eastAsia"/>
        </w:rPr>
        <w:t>（六）编制场车定期检验计划，督促落实场车定期检验和后续整改等工作；</w:t>
      </w:r>
      <w:r>
        <w:t xml:space="preserve"> </w:t>
      </w:r>
    </w:p>
    <w:p>
      <w:pPr>
        <w:bidi w:val="0"/>
      </w:pPr>
      <w:r>
        <w:rPr>
          <w:rFonts w:hint="eastAsia"/>
        </w:rPr>
        <w:t>（七）按照规定报告场车事故，参加场车事故救援，配合事故调查和善后处理；</w:t>
      </w:r>
      <w:r>
        <w:t xml:space="preserve"> </w:t>
      </w:r>
    </w:p>
    <w:p>
      <w:pPr>
        <w:bidi w:val="0"/>
      </w:pPr>
      <w:r>
        <w:rPr>
          <w:rFonts w:hint="eastAsia"/>
        </w:rPr>
        <w:t>（八）履行市场监督管理部门规定和本单位要求的其他场车使用安全管理职责。</w:t>
      </w:r>
    </w:p>
    <w:p>
      <w:pPr>
        <w:bidi w:val="0"/>
      </w:pPr>
    </w:p>
    <w:p>
      <w:pPr>
        <w:rPr>
          <w:rFonts w:hint="eastAsia" w:ascii="Times New Roman" w:hAnsi="Times New Roman" w:eastAsia="仿宋_GB2312" w:cs="仿宋"/>
          <w:b/>
          <w:sz w:val="44"/>
          <w:szCs w:val="44"/>
        </w:rPr>
      </w:pPr>
      <w:r>
        <w:rPr>
          <w:rFonts w:hint="eastAsia" w:ascii="Times New Roman" w:hAnsi="Times New Roman" w:eastAsia="仿宋_GB2312" w:cs="仿宋"/>
          <w:b/>
          <w:sz w:val="44"/>
          <w:szCs w:val="44"/>
        </w:rPr>
        <w:br w:type="page"/>
      </w:r>
    </w:p>
    <w:p>
      <w:pPr>
        <w:pStyle w:val="4"/>
        <w:bidi w:val="0"/>
        <w:rPr>
          <w:rFonts w:hint="eastAsia"/>
          <w:lang w:eastAsia="zh-CN"/>
        </w:rPr>
      </w:pPr>
    </w:p>
    <w:p>
      <w:pPr>
        <w:pStyle w:val="4"/>
        <w:bidi w:val="0"/>
        <w:rPr>
          <w:rFonts w:hint="eastAsia"/>
          <w:lang w:eastAsia="zh-CN"/>
        </w:rPr>
      </w:pPr>
    </w:p>
    <w:p>
      <w:pPr>
        <w:pStyle w:val="4"/>
        <w:bidi w:val="0"/>
        <w:rPr>
          <w:rFonts w:hint="eastAsia"/>
          <w:lang w:eastAsia="zh-CN"/>
        </w:rPr>
      </w:pPr>
      <w:bookmarkStart w:id="109" w:name="_Toc10263_WPSOffice_Level1"/>
      <w:bookmarkStart w:id="110" w:name="_Toc19562"/>
      <w:bookmarkStart w:id="111" w:name="_Toc19874"/>
      <w:bookmarkStart w:id="112" w:name="_Toc5239"/>
      <w:bookmarkStart w:id="113" w:name="_Toc6515"/>
      <w:r>
        <w:rPr>
          <w:rFonts w:hint="eastAsia"/>
          <w:lang w:eastAsia="zh-CN"/>
        </w:rPr>
        <w:t>三、</w:t>
      </w:r>
      <w:r>
        <w:rPr>
          <w:rFonts w:hint="eastAsia"/>
        </w:rPr>
        <w:t>安全风险管控清单</w:t>
      </w:r>
      <w:bookmarkEnd w:id="109"/>
      <w:bookmarkEnd w:id="110"/>
      <w:bookmarkEnd w:id="111"/>
      <w:bookmarkEnd w:id="112"/>
      <w:bookmarkEnd w:id="113"/>
    </w:p>
    <w:p>
      <w:pPr>
        <w:rPr>
          <w:rFonts w:hint="eastAsia"/>
        </w:rPr>
      </w:pPr>
      <w:r>
        <w:rPr>
          <w:rFonts w:hint="eastAsia"/>
        </w:rPr>
        <w:br w:type="page"/>
      </w:r>
    </w:p>
    <w:p>
      <w:pPr>
        <w:pStyle w:val="4"/>
        <w:bidi w:val="0"/>
      </w:pPr>
      <w:bookmarkStart w:id="114" w:name="_Toc32517_WPSOffice_Level2"/>
      <w:bookmarkStart w:id="115" w:name="_Toc23267"/>
      <w:bookmarkStart w:id="116" w:name="_Toc14018"/>
      <w:bookmarkStart w:id="117" w:name="_Toc25436"/>
      <w:bookmarkStart w:id="118" w:name="_Toc23395"/>
      <w:r>
        <w:rPr>
          <w:rFonts w:hint="eastAsia"/>
        </w:rPr>
        <w:t>锅炉安全风险管控清单</w:t>
      </w:r>
      <w:bookmarkEnd w:id="114"/>
      <w:bookmarkEnd w:id="115"/>
      <w:bookmarkEnd w:id="116"/>
      <w:bookmarkEnd w:id="117"/>
      <w:bookmarkEnd w:id="118"/>
    </w:p>
    <w:p>
      <w:pPr>
        <w:bidi w:val="0"/>
      </w:pPr>
      <w:r>
        <w:rPr>
          <w:rFonts w:hint="eastAsia"/>
        </w:rPr>
        <w:t xml:space="preserve"> 第一条 为建立并落实锅炉使用单位安全主体责任的长效机制，建立健全日管控、周排查、月调度工作制度，结合本单位实际情况，制定本清单。</w:t>
      </w:r>
    </w:p>
    <w:p>
      <w:pPr>
        <w:bidi w:val="0"/>
      </w:pPr>
      <w:r>
        <w:rPr>
          <w:rFonts w:hint="eastAsia"/>
        </w:rPr>
        <w:t>第二条 本单位风险管控清单按照锅炉使用中存在可能导致事故发生的设备的不安全状态、人的不安全行为、管理和环境上的缺陷4个类别及动态风险进行划分。</w:t>
      </w:r>
    </w:p>
    <w:p>
      <w:pPr>
        <w:bidi w:val="0"/>
      </w:pPr>
      <w:r>
        <w:rPr>
          <w:rFonts w:hint="eastAsia"/>
        </w:rPr>
        <w:t>第三条 人员类风险至少包括以下几个方面：</w:t>
      </w:r>
    </w:p>
    <w:p>
      <w:pPr>
        <w:bidi w:val="0"/>
      </w:pPr>
      <w:r>
        <w:rPr>
          <w:rFonts w:hint="eastAsia"/>
        </w:rPr>
        <w:t>（一）未按规定配备安全管理人员和作业人员；</w:t>
      </w:r>
    </w:p>
    <w:p>
      <w:pPr>
        <w:bidi w:val="0"/>
      </w:pPr>
      <w:r>
        <w:rPr>
          <w:rFonts w:hint="eastAsia"/>
        </w:rPr>
        <w:t>（二）作业人员未持有相应资格证件；</w:t>
      </w:r>
    </w:p>
    <w:p>
      <w:pPr>
        <w:bidi w:val="0"/>
      </w:pPr>
      <w:r>
        <w:rPr>
          <w:rFonts w:hint="eastAsia"/>
        </w:rPr>
        <w:t>（三）未按规定对安全管理人员和作业人员开展安全教育培训；</w:t>
      </w:r>
    </w:p>
    <w:p>
      <w:pPr>
        <w:bidi w:val="0"/>
      </w:pPr>
      <w:r>
        <w:rPr>
          <w:rFonts w:hint="eastAsia"/>
        </w:rPr>
        <w:t>（四）作业人员未遵守操作规程进行作业或到岗值守情况不符合要求。</w:t>
      </w:r>
    </w:p>
    <w:p>
      <w:pPr>
        <w:bidi w:val="0"/>
      </w:pPr>
      <w:r>
        <w:rPr>
          <w:rFonts w:hint="eastAsia"/>
        </w:rPr>
        <w:t>第四条 管理类风险至少包括以下几个方面：</w:t>
      </w:r>
    </w:p>
    <w:p>
      <w:pPr>
        <w:bidi w:val="0"/>
      </w:pPr>
      <w:bookmarkStart w:id="119" w:name="_Toc6603_WPSOffice_Level2"/>
      <w:r>
        <w:rPr>
          <w:rFonts w:hint="eastAsia"/>
        </w:rPr>
        <w:t>（一）未按有关规定设置安全管理机构；</w:t>
      </w:r>
      <w:bookmarkEnd w:id="119"/>
    </w:p>
    <w:p>
      <w:pPr>
        <w:bidi w:val="0"/>
      </w:pPr>
      <w:bookmarkStart w:id="120" w:name="_Toc13805_WPSOffice_Level2"/>
      <w:r>
        <w:rPr>
          <w:rFonts w:hint="eastAsia"/>
        </w:rPr>
        <w:t>（二）未按规定建立锅炉使用安全节能管理制度；</w:t>
      </w:r>
      <w:bookmarkEnd w:id="120"/>
    </w:p>
    <w:p>
      <w:pPr>
        <w:bidi w:val="0"/>
      </w:pPr>
      <w:bookmarkStart w:id="121" w:name="_Toc8983_WPSOffice_Level2"/>
      <w:r>
        <w:rPr>
          <w:rFonts w:hint="eastAsia"/>
        </w:rPr>
        <w:t>（三）未按规定建立安全技术档案；</w:t>
      </w:r>
      <w:bookmarkEnd w:id="121"/>
    </w:p>
    <w:p>
      <w:pPr>
        <w:bidi w:val="0"/>
      </w:pPr>
      <w:bookmarkStart w:id="122" w:name="_Toc16917_WPSOffice_Level2"/>
      <w:r>
        <w:rPr>
          <w:rFonts w:hint="eastAsia"/>
        </w:rPr>
        <w:t>（四）未按规定及时办理使用登记和变更登记；</w:t>
      </w:r>
      <w:bookmarkEnd w:id="122"/>
    </w:p>
    <w:p>
      <w:pPr>
        <w:bidi w:val="0"/>
      </w:pPr>
      <w:bookmarkStart w:id="123" w:name="_Toc28693_WPSOffice_Level2"/>
      <w:r>
        <w:rPr>
          <w:rFonts w:hint="eastAsia"/>
        </w:rPr>
        <w:t>（五）未按规定制定应急预案并定期演练；</w:t>
      </w:r>
      <w:bookmarkEnd w:id="123"/>
    </w:p>
    <w:p>
      <w:pPr>
        <w:bidi w:val="0"/>
      </w:pPr>
      <w:bookmarkStart w:id="124" w:name="_Toc18904_WPSOffice_Level2"/>
      <w:r>
        <w:rPr>
          <w:rFonts w:hint="eastAsia"/>
        </w:rPr>
        <w:t>（六）锅炉停炉期间未按规定对锅炉及水处理设备进行停炉保养。</w:t>
      </w:r>
      <w:bookmarkEnd w:id="124"/>
    </w:p>
    <w:p>
      <w:pPr>
        <w:bidi w:val="0"/>
      </w:pPr>
      <w:r>
        <w:rPr>
          <w:rFonts w:hint="eastAsia"/>
        </w:rPr>
        <w:t>第五条 设备类风险至少包括以下几个方面：</w:t>
      </w:r>
    </w:p>
    <w:p>
      <w:pPr>
        <w:bidi w:val="0"/>
      </w:pPr>
      <w:bookmarkStart w:id="125" w:name="_Toc17204_WPSOffice_Level2"/>
      <w:r>
        <w:rPr>
          <w:rFonts w:hint="eastAsia"/>
        </w:rPr>
        <w:t>（一）选用国家明令禁止或淘汰的锅炉产品；</w:t>
      </w:r>
      <w:bookmarkEnd w:id="125"/>
      <w:r>
        <w:t xml:space="preserve"> </w:t>
      </w:r>
    </w:p>
    <w:p>
      <w:pPr>
        <w:bidi w:val="0"/>
      </w:pPr>
      <w:bookmarkStart w:id="126" w:name="_Toc28002_WPSOffice_Level2"/>
      <w:r>
        <w:rPr>
          <w:rFonts w:hint="eastAsia"/>
        </w:rPr>
        <w:t>（二）未按规定调试、检查和启动锅炉；</w:t>
      </w:r>
      <w:bookmarkEnd w:id="126"/>
    </w:p>
    <w:p>
      <w:pPr>
        <w:bidi w:val="0"/>
      </w:pPr>
      <w:bookmarkStart w:id="127" w:name="_Toc28037_WPSOffice_Level2"/>
      <w:r>
        <w:rPr>
          <w:rFonts w:hint="eastAsia"/>
        </w:rPr>
        <w:t>（三）锅炉膨胀异常；</w:t>
      </w:r>
      <w:bookmarkEnd w:id="127"/>
    </w:p>
    <w:p>
      <w:pPr>
        <w:bidi w:val="0"/>
      </w:pPr>
      <w:bookmarkStart w:id="128" w:name="_Toc27851_WPSOffice_Level2"/>
      <w:r>
        <w:rPr>
          <w:rFonts w:hint="eastAsia"/>
        </w:rPr>
        <w:t>（四）锅炉本体（含辅机附件）和锅炉范围内管道出现异常等情况；</w:t>
      </w:r>
      <w:bookmarkEnd w:id="128"/>
    </w:p>
    <w:p>
      <w:pPr>
        <w:bidi w:val="0"/>
      </w:pPr>
      <w:bookmarkStart w:id="129" w:name="_Toc15581_WPSOffice_Level2"/>
      <w:r>
        <w:rPr>
          <w:rFonts w:hint="eastAsia"/>
        </w:rPr>
        <w:t>（五）未按规定进行维护保养、自行检查和定期检验。</w:t>
      </w:r>
      <w:bookmarkEnd w:id="129"/>
    </w:p>
    <w:p>
      <w:pPr>
        <w:bidi w:val="0"/>
      </w:pPr>
      <w:r>
        <w:rPr>
          <w:rFonts w:hint="eastAsia"/>
        </w:rPr>
        <w:t>第六条</w:t>
      </w:r>
      <w:r>
        <w:t xml:space="preserve"> </w:t>
      </w:r>
      <w:r>
        <w:rPr>
          <w:rFonts w:hint="eastAsia"/>
        </w:rPr>
        <w:t>安全附件、仪表和安全保护装置类风险至少包括以下内容：</w:t>
      </w:r>
    </w:p>
    <w:p>
      <w:pPr>
        <w:bidi w:val="0"/>
      </w:pPr>
      <w:r>
        <w:rPr>
          <w:rFonts w:hint="eastAsia"/>
        </w:rPr>
        <w:t>（一）安全阀、压力表、液位计、温度测量装等未按规定定期试验、校验或校准；</w:t>
      </w:r>
    </w:p>
    <w:p>
      <w:pPr>
        <w:bidi w:val="0"/>
      </w:pPr>
      <w:r>
        <w:rPr>
          <w:rFonts w:hint="eastAsia"/>
        </w:rPr>
        <w:t>（二）压力、液位、温度测量装置示值误差不正常；</w:t>
      </w:r>
    </w:p>
    <w:p>
      <w:pPr>
        <w:bidi w:val="0"/>
      </w:pPr>
      <w:r>
        <w:rPr>
          <w:rFonts w:hint="eastAsia"/>
        </w:rPr>
        <w:t>（三）水位、压力、温度、点火程序控制、熄火保护等联锁保护装置的设置不符合要求。</w:t>
      </w:r>
    </w:p>
    <w:p>
      <w:pPr>
        <w:bidi w:val="0"/>
      </w:pPr>
      <w:r>
        <w:rPr>
          <w:rFonts w:hint="eastAsia"/>
        </w:rPr>
        <w:t>第六条 环境类风险至少包括以下内容：</w:t>
      </w:r>
    </w:p>
    <w:p>
      <w:pPr>
        <w:bidi w:val="0"/>
      </w:pPr>
      <w:r>
        <w:rPr>
          <w:rFonts w:hint="eastAsia"/>
        </w:rPr>
        <w:t>锅炉操作空间、锅炉安置环境、安全警示标志等存在不符合要求的情况；</w:t>
      </w:r>
    </w:p>
    <w:p>
      <w:pPr>
        <w:bidi w:val="0"/>
      </w:pPr>
      <w:r>
        <w:rPr>
          <w:rFonts w:hint="eastAsia"/>
        </w:rPr>
        <w:t>第七条 热水锅炉、有机热载体锅炉的风险还包括以下内容：</w:t>
      </w:r>
    </w:p>
    <w:p>
      <w:pPr>
        <w:bidi w:val="0"/>
      </w:pPr>
      <w:bookmarkStart w:id="130" w:name="_Toc15401_WPSOffice_Level2"/>
      <w:r>
        <w:rPr>
          <w:rFonts w:hint="eastAsia"/>
        </w:rPr>
        <w:t>（一）热水锅炉系统、有机热载体锅炉系统不符合要求；</w:t>
      </w:r>
      <w:bookmarkEnd w:id="130"/>
    </w:p>
    <w:p>
      <w:pPr>
        <w:bidi w:val="0"/>
      </w:pPr>
      <w:bookmarkStart w:id="131" w:name="_Toc9260_WPSOffice_Level2"/>
      <w:r>
        <w:rPr>
          <w:rFonts w:hint="eastAsia"/>
        </w:rPr>
        <w:t>（二）自动补给水装置、循环泵停泵联锁装置</w:t>
      </w:r>
      <w:r>
        <w:t>不符合要求；</w:t>
      </w:r>
      <w:bookmarkEnd w:id="131"/>
    </w:p>
    <w:p>
      <w:pPr>
        <w:bidi w:val="0"/>
      </w:pPr>
      <w:bookmarkStart w:id="132" w:name="_Toc23833_WPSOffice_Level2"/>
      <w:r>
        <w:rPr>
          <w:rFonts w:hint="eastAsia"/>
        </w:rPr>
        <w:t>（三）膨胀罐、闪蒸罐、冷凝液罐等不符合要求。</w:t>
      </w:r>
      <w:bookmarkEnd w:id="132"/>
    </w:p>
    <w:p>
      <w:pPr>
        <w:bidi w:val="0"/>
      </w:pPr>
      <w:r>
        <w:rPr>
          <w:rFonts w:hint="eastAsia"/>
        </w:rPr>
        <w:t>第八条 D级锅炉风险还包括以下内容：</w:t>
      </w:r>
    </w:p>
    <w:p>
      <w:pPr>
        <w:bidi w:val="0"/>
      </w:pPr>
      <w:bookmarkStart w:id="133" w:name="_Toc14179_WPSOffice_Level2"/>
      <w:r>
        <w:rPr>
          <w:rFonts w:hint="eastAsia"/>
        </w:rPr>
        <w:t>（一）未对作业人员进行培训；</w:t>
      </w:r>
      <w:bookmarkEnd w:id="133"/>
    </w:p>
    <w:p>
      <w:pPr>
        <w:bidi w:val="0"/>
      </w:pPr>
      <w:bookmarkStart w:id="134" w:name="_Toc20867_WPSOffice_Level2"/>
      <w:r>
        <w:rPr>
          <w:rFonts w:hint="eastAsia"/>
        </w:rPr>
        <w:t>（二）未开展定期自行检查，未对安全附件定期维护；</w:t>
      </w:r>
      <w:bookmarkEnd w:id="134"/>
    </w:p>
    <w:p>
      <w:pPr>
        <w:bidi w:val="0"/>
      </w:pPr>
      <w:bookmarkStart w:id="135" w:name="_Toc8088_WPSOffice_Level2"/>
      <w:r>
        <w:rPr>
          <w:rFonts w:hint="eastAsia"/>
        </w:rPr>
        <w:t>（三）擅自对锅炉进行改造；</w:t>
      </w:r>
      <w:bookmarkEnd w:id="135"/>
    </w:p>
    <w:p>
      <w:pPr>
        <w:bidi w:val="0"/>
      </w:pPr>
      <w:bookmarkStart w:id="136" w:name="_Toc22961_WPSOffice_Level2"/>
      <w:r>
        <w:rPr>
          <w:rFonts w:hint="eastAsia"/>
        </w:rPr>
        <w:t>（四）锅炉使用年限超过8年。</w:t>
      </w:r>
      <w:bookmarkEnd w:id="136"/>
    </w:p>
    <w:p>
      <w:pPr>
        <w:bidi w:val="0"/>
      </w:pPr>
      <w:r>
        <w:rPr>
          <w:rFonts w:hint="eastAsia"/>
        </w:rPr>
        <w:t>第九条 其他来自政府监管部门的监督、通报、预警，投诉举报和舆情信息等动态风险。</w:t>
      </w:r>
    </w:p>
    <w:p>
      <w:pPr>
        <w:bidi w:val="0"/>
      </w:pPr>
      <w:r>
        <w:rPr>
          <w:rFonts w:hint="eastAsia"/>
        </w:rPr>
        <w:t>第十条 本单位根据上述规定制定了《锅炉安全风险管控清单》（例表见附录B1），当风险指标发生变化时，需对清单及时进行调整。</w:t>
      </w:r>
    </w:p>
    <w:p>
      <w:pPr>
        <w:rPr>
          <w:rFonts w:hint="eastAsia" w:ascii="仿宋_GB2312" w:hAnsi="Times New Roman" w:eastAsia="仿宋_GB2312" w:cs="仿宋"/>
          <w:b/>
          <w:sz w:val="44"/>
          <w:szCs w:val="44"/>
        </w:rPr>
      </w:pPr>
      <w:r>
        <w:rPr>
          <w:rFonts w:hint="eastAsia" w:ascii="仿宋_GB2312" w:hAnsi="Times New Roman" w:eastAsia="仿宋_GB2312" w:cs="仿宋"/>
          <w:b/>
          <w:sz w:val="44"/>
          <w:szCs w:val="44"/>
        </w:rPr>
        <w:br w:type="page"/>
      </w:r>
    </w:p>
    <w:p>
      <w:pPr>
        <w:pStyle w:val="4"/>
        <w:bidi w:val="0"/>
      </w:pPr>
      <w:bookmarkStart w:id="137" w:name="_Toc4429_WPSOffice_Level2"/>
      <w:bookmarkStart w:id="138" w:name="_Toc13181"/>
      <w:bookmarkStart w:id="139" w:name="_Toc11221"/>
      <w:bookmarkStart w:id="140" w:name="_Toc690"/>
      <w:bookmarkStart w:id="141" w:name="_Toc8699"/>
      <w:r>
        <w:rPr>
          <w:rFonts w:hint="eastAsia"/>
        </w:rPr>
        <w:t>压力容器安全风险管控清单</w:t>
      </w:r>
      <w:bookmarkEnd w:id="137"/>
      <w:bookmarkEnd w:id="138"/>
      <w:bookmarkEnd w:id="139"/>
      <w:bookmarkEnd w:id="140"/>
      <w:bookmarkEnd w:id="141"/>
    </w:p>
    <w:p>
      <w:pPr>
        <w:bidi w:val="0"/>
      </w:pPr>
      <w:r>
        <w:rPr>
          <w:rFonts w:hint="eastAsia"/>
          <w:lang w:eastAsia="zh-CN"/>
        </w:rPr>
        <w:t>第一条</w:t>
      </w:r>
      <w:r>
        <w:rPr>
          <w:rFonts w:hint="eastAsia"/>
          <w:lang w:val="en-US" w:eastAsia="zh-CN"/>
        </w:rPr>
        <w:t xml:space="preserve"> </w:t>
      </w:r>
      <w:r>
        <w:rPr>
          <w:rFonts w:hint="eastAsia"/>
        </w:rPr>
        <w:t>为建立并落实压力容器使用安全主体责任的长效机制，建立健全日管控、周排查、月调度工作制度，结合本单位实际情况，制定本清单。</w:t>
      </w:r>
    </w:p>
    <w:p>
      <w:pPr>
        <w:bidi w:val="0"/>
      </w:pPr>
      <w:r>
        <w:rPr>
          <w:rFonts w:hint="eastAsia"/>
          <w:lang w:eastAsia="zh-CN"/>
        </w:rPr>
        <w:t>第二条</w:t>
      </w:r>
      <w:r>
        <w:rPr>
          <w:rFonts w:hint="eastAsia"/>
          <w:lang w:val="en-US" w:eastAsia="zh-CN"/>
        </w:rPr>
        <w:t xml:space="preserve"> </w:t>
      </w:r>
      <w:r>
        <w:rPr>
          <w:rFonts w:hint="eastAsia"/>
        </w:rPr>
        <w:t>本单位风险管控清单按照压力容器使用中存在可能导致事故发生的设备的不安全状态、人的不安全行为、管理和环境上的缺陷等4个类别进行划分。</w:t>
      </w:r>
    </w:p>
    <w:p>
      <w:pPr>
        <w:bidi w:val="0"/>
      </w:pPr>
      <w:r>
        <w:rPr>
          <w:rFonts w:hint="eastAsia"/>
          <w:lang w:eastAsia="zh-CN"/>
        </w:rPr>
        <w:t>第三条</w:t>
      </w:r>
      <w:r>
        <w:rPr>
          <w:rFonts w:hint="eastAsia"/>
        </w:rPr>
        <w:t>人员类风险至少包括以下几个方面：</w:t>
      </w:r>
    </w:p>
    <w:p>
      <w:pPr>
        <w:bidi w:val="0"/>
      </w:pPr>
      <w:r>
        <w:rPr>
          <w:rFonts w:hint="eastAsia"/>
        </w:rPr>
        <w:t>（一）未按有关规定配备安全管理人员和作业人员或者未按规定持有相应证件；</w:t>
      </w:r>
    </w:p>
    <w:p>
      <w:pPr>
        <w:bidi w:val="0"/>
      </w:pPr>
      <w:r>
        <w:rPr>
          <w:rFonts w:hint="eastAsia"/>
        </w:rPr>
        <w:t>（二）未按有关规定对安全管理人员和作业人员开展安全教育培训并考核合格；</w:t>
      </w:r>
    </w:p>
    <w:p>
      <w:pPr>
        <w:bidi w:val="0"/>
      </w:pPr>
      <w:r>
        <w:rPr>
          <w:rFonts w:hint="eastAsia"/>
        </w:rPr>
        <w:t>（三）压力容器作业人员未到岗值守。</w:t>
      </w:r>
    </w:p>
    <w:p>
      <w:pPr>
        <w:bidi w:val="0"/>
      </w:pPr>
      <w:r>
        <w:rPr>
          <w:rFonts w:hint="eastAsia"/>
        </w:rPr>
        <w:t>第四条 管理类风险至少包括以下几个方面：</w:t>
      </w:r>
    </w:p>
    <w:p>
      <w:pPr>
        <w:bidi w:val="0"/>
      </w:pPr>
      <w:r>
        <w:rPr>
          <w:rFonts w:hint="eastAsia"/>
        </w:rPr>
        <w:t>（一）未按有关规定设置安全管理机构；</w:t>
      </w:r>
    </w:p>
    <w:p>
      <w:pPr>
        <w:bidi w:val="0"/>
      </w:pPr>
      <w:r>
        <w:rPr>
          <w:rFonts w:hint="eastAsia"/>
        </w:rPr>
        <w:t>（二）未按有关规定制定管理制度、操作规程或者未按规定执行的；</w:t>
      </w:r>
    </w:p>
    <w:p>
      <w:pPr>
        <w:bidi w:val="0"/>
      </w:pPr>
      <w:r>
        <w:rPr>
          <w:rFonts w:hint="eastAsia"/>
        </w:rPr>
        <w:t>（三）未按有关规定建立压力容器安全技术档案；</w:t>
      </w:r>
    </w:p>
    <w:p>
      <w:pPr>
        <w:bidi w:val="0"/>
      </w:pPr>
      <w:r>
        <w:rPr>
          <w:rFonts w:hint="eastAsia"/>
        </w:rPr>
        <w:t>（四）未按有关规定建立健全相关记录档案；</w:t>
      </w:r>
    </w:p>
    <w:p>
      <w:pPr>
        <w:bidi w:val="0"/>
      </w:pPr>
      <w:r>
        <w:rPr>
          <w:rFonts w:hint="eastAsia"/>
        </w:rPr>
        <w:t>（五）未按有关规定及时办理使用登记；</w:t>
      </w:r>
    </w:p>
    <w:p>
      <w:pPr>
        <w:bidi w:val="0"/>
      </w:pPr>
      <w:r>
        <w:rPr>
          <w:rFonts w:hint="eastAsia"/>
        </w:rPr>
        <w:t>（六）未按有关规定开展应急救援演练；</w:t>
      </w:r>
    </w:p>
    <w:p>
      <w:pPr>
        <w:bidi w:val="0"/>
      </w:pPr>
      <w:r>
        <w:rPr>
          <w:rFonts w:hint="eastAsia"/>
        </w:rPr>
        <w:t>（七）未按有关规定建立实施移动式压力容器充装质量追溯信息系统。</w:t>
      </w:r>
    </w:p>
    <w:p>
      <w:pPr>
        <w:bidi w:val="0"/>
      </w:pPr>
      <w:r>
        <w:rPr>
          <w:rFonts w:hint="eastAsia"/>
        </w:rPr>
        <w:t>第五条 设备类风险至少包括以下几个方面：</w:t>
      </w:r>
    </w:p>
    <w:p>
      <w:pPr>
        <w:bidi w:val="0"/>
      </w:pPr>
      <w:bookmarkStart w:id="142" w:name="_Toc32753_WPSOffice_Level2"/>
      <w:r>
        <w:rPr>
          <w:rFonts w:hint="eastAsia"/>
        </w:rPr>
        <w:t>（一）使用不符合要求或使用国家明令禁止的压力容器；</w:t>
      </w:r>
      <w:bookmarkEnd w:id="142"/>
    </w:p>
    <w:p>
      <w:pPr>
        <w:bidi w:val="0"/>
      </w:pPr>
      <w:bookmarkStart w:id="143" w:name="_Toc24077_WPSOffice_Level2"/>
      <w:r>
        <w:rPr>
          <w:rFonts w:hint="eastAsia"/>
        </w:rPr>
        <w:t>（二）压力容器超额定参数运行；</w:t>
      </w:r>
      <w:bookmarkEnd w:id="143"/>
    </w:p>
    <w:p>
      <w:pPr>
        <w:bidi w:val="0"/>
      </w:pPr>
      <w:bookmarkStart w:id="144" w:name="_Toc18000_WPSOffice_Level2"/>
      <w:r>
        <w:rPr>
          <w:rFonts w:hint="eastAsia"/>
        </w:rPr>
        <w:t>（三）未按规定要求开展自行检查与维护保养；</w:t>
      </w:r>
      <w:bookmarkEnd w:id="144"/>
    </w:p>
    <w:p>
      <w:pPr>
        <w:bidi w:val="0"/>
      </w:pPr>
      <w:bookmarkStart w:id="145" w:name="_Toc17330_WPSOffice_Level2"/>
      <w:r>
        <w:rPr>
          <w:rFonts w:hint="eastAsia"/>
        </w:rPr>
        <w:t>（四）未按有关安全技术规范要求申报并接受检验；</w:t>
      </w:r>
      <w:bookmarkEnd w:id="145"/>
    </w:p>
    <w:p>
      <w:pPr>
        <w:bidi w:val="0"/>
      </w:pPr>
      <w:bookmarkStart w:id="146" w:name="_Toc12088_WPSOffice_Level2"/>
      <w:r>
        <w:rPr>
          <w:rFonts w:hint="eastAsia"/>
        </w:rPr>
        <w:t>（五）使用存在故障或异常情况的压力容器；</w:t>
      </w:r>
      <w:bookmarkEnd w:id="146"/>
    </w:p>
    <w:p>
      <w:pPr>
        <w:bidi w:val="0"/>
      </w:pPr>
      <w:bookmarkStart w:id="147" w:name="_Toc28434_WPSOffice_Level2"/>
      <w:r>
        <w:rPr>
          <w:rFonts w:hint="eastAsia"/>
        </w:rPr>
        <w:t>（六）使用安全附件及保护装置不符合要求的压力容器；</w:t>
      </w:r>
      <w:bookmarkEnd w:id="147"/>
    </w:p>
    <w:p>
      <w:pPr>
        <w:bidi w:val="0"/>
      </w:pPr>
      <w:bookmarkStart w:id="148" w:name="_Toc24565_WPSOffice_Level2"/>
      <w:r>
        <w:rPr>
          <w:rFonts w:hint="eastAsia"/>
        </w:rPr>
        <w:t>（七）对检查检验发现的问题未及时进行处理；</w:t>
      </w:r>
      <w:bookmarkEnd w:id="148"/>
    </w:p>
    <w:p>
      <w:pPr>
        <w:bidi w:val="0"/>
      </w:pPr>
      <w:bookmarkStart w:id="149" w:name="_Toc5351_WPSOffice_Level2"/>
      <w:r>
        <w:rPr>
          <w:rFonts w:hint="eastAsia"/>
        </w:rPr>
        <w:t>（八）其他可能导致风险隐患的情况。</w:t>
      </w:r>
      <w:bookmarkEnd w:id="149"/>
    </w:p>
    <w:p>
      <w:pPr>
        <w:bidi w:val="0"/>
      </w:pPr>
      <w:r>
        <w:rPr>
          <w:rFonts w:hint="eastAsia"/>
        </w:rPr>
        <w:t>第六条 环境类风险至少包括以下几个方面：</w:t>
      </w:r>
    </w:p>
    <w:p>
      <w:pPr>
        <w:bidi w:val="0"/>
      </w:pPr>
      <w:bookmarkStart w:id="150" w:name="_Toc21615_WPSOffice_Level2"/>
      <w:r>
        <w:rPr>
          <w:rFonts w:hint="eastAsia"/>
        </w:rPr>
        <w:t>（一）压力容器的安全距离、安全防护措施不符合有关规定；</w:t>
      </w:r>
      <w:bookmarkEnd w:id="150"/>
    </w:p>
    <w:p>
      <w:pPr>
        <w:bidi w:val="0"/>
      </w:pPr>
      <w:bookmarkStart w:id="151" w:name="_Toc23343_WPSOffice_Level2"/>
      <w:r>
        <w:rPr>
          <w:rFonts w:hint="eastAsia"/>
        </w:rPr>
        <w:t>（二）移动式压力容器装卸作业环境不符合要求。</w:t>
      </w:r>
      <w:bookmarkEnd w:id="151"/>
    </w:p>
    <w:p>
      <w:pPr>
        <w:bidi w:val="0"/>
      </w:pPr>
      <w:r>
        <w:rPr>
          <w:rFonts w:hint="eastAsia"/>
        </w:rPr>
        <w:t>其他来自政府监督部门的监督、通报、预警，投诉举报和舆情信息等动态风险。</w:t>
      </w:r>
    </w:p>
    <w:p>
      <w:pPr>
        <w:bidi w:val="0"/>
      </w:pPr>
      <w:r>
        <w:rPr>
          <w:rFonts w:hint="eastAsia"/>
        </w:rPr>
        <w:t>本单位根据上述规定制定了《压力容器安全风险管控清单》（例表见附录B2），当风险指标发生变化时，需对清单及时进行调整。</w:t>
      </w:r>
    </w:p>
    <w:p>
      <w:pPr>
        <w:bidi w:val="0"/>
      </w:pPr>
    </w:p>
    <w:p>
      <w:pPr>
        <w:bidi w:val="0"/>
      </w:pPr>
    </w:p>
    <w:p>
      <w:pPr>
        <w:rPr>
          <w:rFonts w:hint="eastAsia" w:ascii="Times New Roman" w:hAnsi="Times New Roman" w:eastAsia="仿宋_GB2312" w:cs="仿宋"/>
          <w:b/>
          <w:sz w:val="44"/>
          <w:szCs w:val="44"/>
        </w:rPr>
      </w:pPr>
      <w:r>
        <w:rPr>
          <w:rFonts w:hint="eastAsia" w:ascii="Times New Roman" w:hAnsi="Times New Roman" w:eastAsia="仿宋_GB2312" w:cs="仿宋"/>
          <w:b/>
          <w:sz w:val="44"/>
          <w:szCs w:val="44"/>
        </w:rPr>
        <w:br w:type="page"/>
      </w:r>
    </w:p>
    <w:p>
      <w:pPr>
        <w:pStyle w:val="4"/>
        <w:bidi w:val="0"/>
      </w:pPr>
      <w:bookmarkStart w:id="152" w:name="_Toc5526_WPSOffice_Level2"/>
      <w:bookmarkStart w:id="153" w:name="_Toc29130"/>
      <w:bookmarkStart w:id="154" w:name="_Toc9527"/>
      <w:bookmarkStart w:id="155" w:name="_Toc10960"/>
      <w:bookmarkStart w:id="156" w:name="_Toc8680"/>
      <w:r>
        <w:rPr>
          <w:rFonts w:hint="eastAsia"/>
        </w:rPr>
        <w:t>气瓶充装风险管控清单</w:t>
      </w:r>
      <w:bookmarkEnd w:id="152"/>
      <w:bookmarkEnd w:id="153"/>
      <w:bookmarkEnd w:id="154"/>
      <w:bookmarkEnd w:id="155"/>
      <w:bookmarkEnd w:id="156"/>
      <w:r>
        <w:rPr>
          <w:rFonts w:hint="eastAsia"/>
        </w:rPr>
        <w:t xml:space="preserve"> </w:t>
      </w:r>
    </w:p>
    <w:p>
      <w:pPr>
        <w:bidi w:val="0"/>
      </w:pPr>
      <w:r>
        <w:rPr>
          <w:rFonts w:hint="eastAsia"/>
        </w:rPr>
        <w:t>第一条 为建立并落实气瓶充装安全主体责任的长效机制，建立健全日管控、周排查、月调度工作制度，结合本单位实际情况，制定本清单。</w:t>
      </w:r>
    </w:p>
    <w:p>
      <w:pPr>
        <w:bidi w:val="0"/>
      </w:pPr>
      <w:r>
        <w:rPr>
          <w:rFonts w:hint="eastAsia"/>
        </w:rPr>
        <w:t>第二条 本单位风险管控清单按照气瓶充装中存在可能导致事故发生的人的不安全行为、管理的缺陷、设备的不安全状态和环境的缺陷等4个类别进行划分。</w:t>
      </w:r>
    </w:p>
    <w:p>
      <w:pPr>
        <w:bidi w:val="0"/>
      </w:pPr>
      <w:r>
        <w:rPr>
          <w:rFonts w:hint="eastAsia"/>
        </w:rPr>
        <w:t>第三条 人员类风险至少包括以下几个方面：</w:t>
      </w:r>
    </w:p>
    <w:p>
      <w:pPr>
        <w:bidi w:val="0"/>
      </w:pPr>
      <w:r>
        <w:rPr>
          <w:rFonts w:hint="eastAsia"/>
        </w:rPr>
        <w:t>（一）未按有关规定配备安全管理人员和作业人员或者未按规定持有相应证件；</w:t>
      </w:r>
    </w:p>
    <w:p>
      <w:pPr>
        <w:bidi w:val="0"/>
      </w:pPr>
      <w:r>
        <w:rPr>
          <w:rFonts w:hint="eastAsia"/>
        </w:rPr>
        <w:t>（二）未按有关规定对安全管理人员和作业人员开展安全教育培训并考核合格。</w:t>
      </w:r>
    </w:p>
    <w:p>
      <w:pPr>
        <w:bidi w:val="0"/>
      </w:pPr>
      <w:r>
        <w:rPr>
          <w:rFonts w:hint="eastAsia"/>
        </w:rPr>
        <w:t>第四条 管理类风险至少包括以下几个方面：</w:t>
      </w:r>
    </w:p>
    <w:p>
      <w:pPr>
        <w:bidi w:val="0"/>
      </w:pPr>
      <w:bookmarkStart w:id="157" w:name="_Toc24155_WPSOffice_Level2"/>
      <w:r>
        <w:rPr>
          <w:rFonts w:hint="eastAsia"/>
        </w:rPr>
        <w:t>（一）未按有关规定设置安全管理机构；</w:t>
      </w:r>
      <w:bookmarkEnd w:id="157"/>
    </w:p>
    <w:p>
      <w:pPr>
        <w:bidi w:val="0"/>
      </w:pPr>
      <w:bookmarkStart w:id="158" w:name="_Toc12374_WPSOffice_Level2"/>
      <w:r>
        <w:rPr>
          <w:rFonts w:hint="eastAsia"/>
        </w:rPr>
        <w:t>（二）未按有关规定制定管理制度、操作规程或者未按规定执行的；</w:t>
      </w:r>
      <w:bookmarkEnd w:id="158"/>
    </w:p>
    <w:p>
      <w:pPr>
        <w:bidi w:val="0"/>
      </w:pPr>
      <w:bookmarkStart w:id="159" w:name="_Toc14582_WPSOffice_Level2"/>
      <w:r>
        <w:rPr>
          <w:rFonts w:hint="eastAsia"/>
        </w:rPr>
        <w:t>（三）未按有关规定建立安全技术档案；</w:t>
      </w:r>
      <w:bookmarkEnd w:id="159"/>
    </w:p>
    <w:p>
      <w:pPr>
        <w:bidi w:val="0"/>
      </w:pPr>
      <w:bookmarkStart w:id="160" w:name="_Toc22801_WPSOffice_Level2"/>
      <w:r>
        <w:rPr>
          <w:rFonts w:hint="eastAsia"/>
        </w:rPr>
        <w:t>（四）未按有关规定建立健全相关记录档案；</w:t>
      </w:r>
      <w:bookmarkEnd w:id="160"/>
    </w:p>
    <w:p>
      <w:pPr>
        <w:bidi w:val="0"/>
      </w:pPr>
      <w:bookmarkStart w:id="161" w:name="_Toc27070_WPSOffice_Level2"/>
      <w:r>
        <w:rPr>
          <w:rFonts w:hint="eastAsia"/>
        </w:rPr>
        <w:t>（五）未按有关规定及时办理使用登记；</w:t>
      </w:r>
      <w:bookmarkEnd w:id="161"/>
    </w:p>
    <w:p>
      <w:pPr>
        <w:bidi w:val="0"/>
      </w:pPr>
      <w:bookmarkStart w:id="162" w:name="_Toc18409_WPSOffice_Level2"/>
      <w:r>
        <w:rPr>
          <w:rFonts w:hint="eastAsia"/>
        </w:rPr>
        <w:t>（六）未按有关规定开展应急救援演练；</w:t>
      </w:r>
      <w:bookmarkEnd w:id="162"/>
    </w:p>
    <w:p>
      <w:pPr>
        <w:bidi w:val="0"/>
      </w:pPr>
      <w:bookmarkStart w:id="163" w:name="_Toc4928_WPSOffice_Level2"/>
      <w:r>
        <w:rPr>
          <w:rFonts w:hint="eastAsia"/>
        </w:rPr>
        <w:t>（七）未按有关规定建立实施气瓶充装质量追溯信息系统。</w:t>
      </w:r>
      <w:bookmarkEnd w:id="163"/>
    </w:p>
    <w:p>
      <w:pPr>
        <w:bidi w:val="0"/>
      </w:pPr>
      <w:r>
        <w:rPr>
          <w:rFonts w:hint="eastAsia"/>
        </w:rPr>
        <w:t>第五条 设备类风险至少包括以下几个方面：</w:t>
      </w:r>
    </w:p>
    <w:p>
      <w:pPr>
        <w:bidi w:val="0"/>
      </w:pPr>
      <w:bookmarkStart w:id="164" w:name="_Toc31845_WPSOffice_Level2"/>
      <w:r>
        <w:rPr>
          <w:rFonts w:hint="eastAsia"/>
        </w:rPr>
        <w:t>（一）使用不符合要求或使用国家明令禁止的特种设备；</w:t>
      </w:r>
      <w:bookmarkEnd w:id="164"/>
    </w:p>
    <w:p>
      <w:pPr>
        <w:bidi w:val="0"/>
      </w:pPr>
      <w:bookmarkStart w:id="165" w:name="_Toc10601_WPSOffice_Level2"/>
      <w:r>
        <w:rPr>
          <w:rFonts w:hint="eastAsia"/>
        </w:rPr>
        <w:t>（二）气瓶错充、超额定参数充装和使用；</w:t>
      </w:r>
      <w:bookmarkEnd w:id="165"/>
    </w:p>
    <w:p>
      <w:pPr>
        <w:bidi w:val="0"/>
      </w:pPr>
      <w:bookmarkStart w:id="166" w:name="_Toc19253_WPSOffice_Level2"/>
      <w:r>
        <w:rPr>
          <w:rFonts w:hint="eastAsia"/>
        </w:rPr>
        <w:t>（三）未按规定要求开展气瓶自行检查与维护保养；</w:t>
      </w:r>
      <w:bookmarkEnd w:id="166"/>
    </w:p>
    <w:p>
      <w:pPr>
        <w:bidi w:val="0"/>
      </w:pPr>
      <w:bookmarkStart w:id="167" w:name="_Toc1209_WPSOffice_Level2"/>
      <w:r>
        <w:rPr>
          <w:rFonts w:hint="eastAsia"/>
        </w:rPr>
        <w:t>（四）未按有关安全技术规范要求申报并接受检验；</w:t>
      </w:r>
      <w:bookmarkEnd w:id="167"/>
    </w:p>
    <w:p>
      <w:pPr>
        <w:bidi w:val="0"/>
      </w:pPr>
      <w:bookmarkStart w:id="168" w:name="_Toc28450_WPSOffice_Level2"/>
      <w:r>
        <w:rPr>
          <w:rFonts w:hint="eastAsia"/>
        </w:rPr>
        <w:t>（五）使用存在故障或异常情况的特种设备；</w:t>
      </w:r>
      <w:bookmarkEnd w:id="168"/>
    </w:p>
    <w:p>
      <w:pPr>
        <w:bidi w:val="0"/>
      </w:pPr>
      <w:bookmarkStart w:id="169" w:name="_Toc20474_WPSOffice_Level2"/>
      <w:r>
        <w:rPr>
          <w:rFonts w:hint="eastAsia"/>
        </w:rPr>
        <w:t>（六）使用安全附件及保护装置不符合要求的特种设备；</w:t>
      </w:r>
      <w:bookmarkEnd w:id="169"/>
    </w:p>
    <w:p>
      <w:pPr>
        <w:bidi w:val="0"/>
      </w:pPr>
      <w:bookmarkStart w:id="170" w:name="_Toc24171_WPSOffice_Level2"/>
      <w:r>
        <w:rPr>
          <w:rFonts w:hint="eastAsia"/>
        </w:rPr>
        <w:t>（七）对检查检验发现的问题未及时进行处理；</w:t>
      </w:r>
      <w:bookmarkEnd w:id="170"/>
    </w:p>
    <w:p>
      <w:pPr>
        <w:bidi w:val="0"/>
      </w:pPr>
      <w:bookmarkStart w:id="171" w:name="_Toc11423_WPSOffice_Level2"/>
      <w:r>
        <w:rPr>
          <w:rFonts w:hint="eastAsia"/>
        </w:rPr>
        <w:t>（八）其他可能导致风险隐患的情况。</w:t>
      </w:r>
      <w:bookmarkEnd w:id="171"/>
    </w:p>
    <w:p>
      <w:pPr>
        <w:bidi w:val="0"/>
      </w:pPr>
      <w:r>
        <w:rPr>
          <w:rFonts w:hint="eastAsia"/>
        </w:rPr>
        <w:t>第六条 环境类风险至少包括以下几个方面：</w:t>
      </w:r>
    </w:p>
    <w:p>
      <w:pPr>
        <w:bidi w:val="0"/>
      </w:pPr>
      <w:bookmarkStart w:id="172" w:name="_Toc28702_WPSOffice_Level2"/>
      <w:r>
        <w:rPr>
          <w:rFonts w:hint="eastAsia"/>
        </w:rPr>
        <w:t>（一）充装设备、设施的安全距离、安全防护措施不符合有关规定；</w:t>
      </w:r>
      <w:bookmarkEnd w:id="172"/>
    </w:p>
    <w:p>
      <w:pPr>
        <w:bidi w:val="0"/>
      </w:pPr>
      <w:bookmarkStart w:id="173" w:name="_Toc2878_WPSOffice_Level2"/>
      <w:r>
        <w:rPr>
          <w:rFonts w:hint="eastAsia"/>
        </w:rPr>
        <w:t>（二）气瓶充装作业环境不符合要求；</w:t>
      </w:r>
      <w:bookmarkEnd w:id="173"/>
    </w:p>
    <w:p>
      <w:pPr>
        <w:bidi w:val="0"/>
      </w:pPr>
      <w:bookmarkStart w:id="174" w:name="_Toc31027_WPSOffice_Level2"/>
      <w:r>
        <w:rPr>
          <w:rFonts w:hint="eastAsia"/>
        </w:rPr>
        <w:t>（三）移动式压力容器卸载作业环境不符合要求。</w:t>
      </w:r>
      <w:bookmarkEnd w:id="174"/>
    </w:p>
    <w:p>
      <w:pPr>
        <w:bidi w:val="0"/>
      </w:pPr>
      <w:r>
        <w:rPr>
          <w:rFonts w:hint="eastAsia"/>
        </w:rPr>
        <w:t>第七条 其他来自政府监督部门的监督、通报、预警，投诉举报和舆情信息等动态风险。</w:t>
      </w:r>
    </w:p>
    <w:p>
      <w:pPr>
        <w:bidi w:val="0"/>
      </w:pPr>
      <w:r>
        <w:rPr>
          <w:rFonts w:hint="eastAsia"/>
        </w:rPr>
        <w:t>第八条 本单位根据上述规定制定了《气瓶充装安全风险管控清单》（例表见附录B3），当风险指标发生变化时，需对清单及时进行调整。</w:t>
      </w:r>
    </w:p>
    <w:p>
      <w:pPr>
        <w:bidi w:val="0"/>
      </w:pPr>
    </w:p>
    <w:p>
      <w:pPr>
        <w:bidi w:val="0"/>
      </w:pPr>
    </w:p>
    <w:p>
      <w:pPr>
        <w:rPr>
          <w:rFonts w:hint="eastAsia" w:ascii="Times New Roman" w:hAnsi="Times New Roman" w:eastAsia="仿宋_GB2312" w:cs="仿宋"/>
          <w:b/>
          <w:bCs/>
          <w:sz w:val="44"/>
          <w:szCs w:val="44"/>
        </w:rPr>
      </w:pPr>
      <w:r>
        <w:rPr>
          <w:rFonts w:hint="eastAsia" w:ascii="Times New Roman" w:hAnsi="Times New Roman" w:eastAsia="仿宋_GB2312" w:cs="仿宋"/>
          <w:b/>
          <w:bCs/>
          <w:sz w:val="44"/>
          <w:szCs w:val="44"/>
        </w:rPr>
        <w:br w:type="page"/>
      </w:r>
    </w:p>
    <w:p>
      <w:pPr>
        <w:pStyle w:val="4"/>
        <w:bidi w:val="0"/>
      </w:pPr>
      <w:bookmarkStart w:id="175" w:name="_Toc24774_WPSOffice_Level2"/>
      <w:bookmarkStart w:id="176" w:name="_Toc8708"/>
      <w:bookmarkStart w:id="177" w:name="_Toc12657"/>
      <w:bookmarkStart w:id="178" w:name="_Toc24961"/>
      <w:bookmarkStart w:id="179" w:name="_Toc31797"/>
      <w:r>
        <w:rPr>
          <w:rFonts w:hint="eastAsia"/>
        </w:rPr>
        <w:t>压力管道安全风险管控清单</w:t>
      </w:r>
      <w:bookmarkEnd w:id="175"/>
      <w:bookmarkEnd w:id="176"/>
      <w:bookmarkEnd w:id="177"/>
      <w:bookmarkEnd w:id="178"/>
      <w:bookmarkEnd w:id="179"/>
      <w:r>
        <w:rPr>
          <w:rFonts w:hint="eastAsia"/>
        </w:rPr>
        <w:t xml:space="preserve">  </w:t>
      </w:r>
    </w:p>
    <w:p>
      <w:pPr>
        <w:bidi w:val="0"/>
      </w:pPr>
      <w:r>
        <w:rPr>
          <w:rFonts w:hint="eastAsia"/>
        </w:rPr>
        <w:t>第一条</w:t>
      </w:r>
      <w:r>
        <w:rPr>
          <w:rFonts w:hint="eastAsia"/>
          <w:lang w:val="en-US" w:eastAsia="zh-CN"/>
        </w:rPr>
        <w:t xml:space="preserve"> </w:t>
      </w:r>
      <w:r>
        <w:rPr>
          <w:rFonts w:hint="eastAsia"/>
        </w:rPr>
        <w:t>为建立并落实压力管道使用安全主体责任的长效机制，建立健全日管控、周排查、月调度工作制度，结合本单位实际情况，制定本清单。</w:t>
      </w:r>
    </w:p>
    <w:p>
      <w:pPr>
        <w:bidi w:val="0"/>
      </w:pPr>
      <w:r>
        <w:rPr>
          <w:rFonts w:hint="eastAsia"/>
        </w:rPr>
        <w:t>第二条</w:t>
      </w:r>
      <w:r>
        <w:rPr>
          <w:rFonts w:hint="eastAsia"/>
          <w:lang w:val="en-US" w:eastAsia="zh-CN"/>
        </w:rPr>
        <w:t xml:space="preserve"> </w:t>
      </w:r>
      <w:r>
        <w:rPr>
          <w:rFonts w:hint="eastAsia"/>
        </w:rPr>
        <w:t>本单位风险管控清单按照压力管道使用中存在可能导致事故发生的压力管道不安全状态、人的不安全行为、管理和环境上的缺陷等4个类别进行划分。</w:t>
      </w:r>
    </w:p>
    <w:p>
      <w:pPr>
        <w:bidi w:val="0"/>
      </w:pPr>
      <w:r>
        <w:rPr>
          <w:rFonts w:hint="eastAsia"/>
        </w:rPr>
        <w:t>第三条</w:t>
      </w:r>
      <w:r>
        <w:rPr>
          <w:rFonts w:hint="eastAsia"/>
          <w:lang w:val="en-US" w:eastAsia="zh-CN"/>
        </w:rPr>
        <w:t xml:space="preserve"> </w:t>
      </w:r>
      <w:r>
        <w:rPr>
          <w:rFonts w:hint="eastAsia"/>
        </w:rPr>
        <w:t>人员类风险至少包括以下几个方面：</w:t>
      </w:r>
    </w:p>
    <w:p>
      <w:pPr>
        <w:bidi w:val="0"/>
      </w:pPr>
      <w:r>
        <w:rPr>
          <w:rFonts w:hint="eastAsia"/>
        </w:rPr>
        <w:t>（一）未按有关规定配备安全管理人员，未按规定持有相应证件；</w:t>
      </w:r>
    </w:p>
    <w:p>
      <w:pPr>
        <w:bidi w:val="0"/>
      </w:pPr>
      <w:r>
        <w:rPr>
          <w:rFonts w:hint="eastAsia"/>
        </w:rPr>
        <w:t>（二）未按有关规定对安全管理人员和操作人员开展安全教育培训并考核合格。</w:t>
      </w:r>
    </w:p>
    <w:p>
      <w:pPr>
        <w:bidi w:val="0"/>
      </w:pPr>
      <w:r>
        <w:rPr>
          <w:rFonts w:hint="eastAsia"/>
        </w:rPr>
        <w:t>第四条 管理类风险至少包括以下几个方面：</w:t>
      </w:r>
    </w:p>
    <w:p>
      <w:pPr>
        <w:bidi w:val="0"/>
      </w:pPr>
      <w:bookmarkStart w:id="180" w:name="_Toc1898_WPSOffice_Level2"/>
      <w:r>
        <w:rPr>
          <w:rFonts w:hint="eastAsia"/>
        </w:rPr>
        <w:t>（一）未按有关规定设置安全管理机构；</w:t>
      </w:r>
      <w:bookmarkEnd w:id="180"/>
    </w:p>
    <w:p>
      <w:pPr>
        <w:bidi w:val="0"/>
      </w:pPr>
      <w:bookmarkStart w:id="181" w:name="_Toc26197_WPSOffice_Level2"/>
      <w:r>
        <w:rPr>
          <w:rFonts w:hint="eastAsia"/>
        </w:rPr>
        <w:t>（二）未按有关规定制定管理制度、操作规程或者未按规定执行的；</w:t>
      </w:r>
      <w:bookmarkEnd w:id="181"/>
    </w:p>
    <w:p>
      <w:pPr>
        <w:bidi w:val="0"/>
      </w:pPr>
      <w:bookmarkStart w:id="182" w:name="_Toc20546_WPSOffice_Level2"/>
      <w:r>
        <w:rPr>
          <w:rFonts w:hint="eastAsia"/>
        </w:rPr>
        <w:t>（三）未按有关规定建立安全技术档案；</w:t>
      </w:r>
      <w:bookmarkEnd w:id="182"/>
    </w:p>
    <w:p>
      <w:pPr>
        <w:bidi w:val="0"/>
      </w:pPr>
      <w:bookmarkStart w:id="183" w:name="_Toc16608_WPSOffice_Level2"/>
      <w:r>
        <w:rPr>
          <w:rFonts w:hint="eastAsia"/>
        </w:rPr>
        <w:t>（四）未按有关规定建立健全相关记录档案；</w:t>
      </w:r>
      <w:bookmarkEnd w:id="183"/>
    </w:p>
    <w:p>
      <w:pPr>
        <w:bidi w:val="0"/>
      </w:pPr>
      <w:bookmarkStart w:id="184" w:name="_Toc23684_WPSOffice_Level2"/>
      <w:r>
        <w:rPr>
          <w:rFonts w:hint="eastAsia"/>
        </w:rPr>
        <w:t>（五）未按有关规定及时办理使用登记；</w:t>
      </w:r>
      <w:bookmarkEnd w:id="184"/>
    </w:p>
    <w:p>
      <w:pPr>
        <w:bidi w:val="0"/>
      </w:pPr>
      <w:bookmarkStart w:id="185" w:name="_Toc5904_WPSOffice_Level2"/>
      <w:r>
        <w:rPr>
          <w:rFonts w:hint="eastAsia"/>
        </w:rPr>
        <w:t>（六）未按有关规定开展应急救援演练。</w:t>
      </w:r>
      <w:bookmarkEnd w:id="185"/>
    </w:p>
    <w:p>
      <w:pPr>
        <w:bidi w:val="0"/>
      </w:pPr>
      <w:r>
        <w:rPr>
          <w:rFonts w:hint="eastAsia"/>
        </w:rPr>
        <w:t>第五条 设备类风险至少包括以下几个方面：</w:t>
      </w:r>
    </w:p>
    <w:p>
      <w:pPr>
        <w:bidi w:val="0"/>
      </w:pPr>
      <w:bookmarkStart w:id="186" w:name="_Toc32047_WPSOffice_Level2"/>
      <w:r>
        <w:rPr>
          <w:rFonts w:hint="eastAsia"/>
        </w:rPr>
        <w:t>（一）使用不符合要求的压力管道；</w:t>
      </w:r>
      <w:bookmarkEnd w:id="186"/>
    </w:p>
    <w:p>
      <w:pPr>
        <w:bidi w:val="0"/>
      </w:pPr>
      <w:bookmarkStart w:id="187" w:name="_Toc3835_WPSOffice_Level2"/>
      <w:r>
        <w:rPr>
          <w:rFonts w:hint="eastAsia"/>
        </w:rPr>
        <w:t>（二）压力管道超额定参数运行；</w:t>
      </w:r>
      <w:bookmarkEnd w:id="187"/>
    </w:p>
    <w:p>
      <w:pPr>
        <w:bidi w:val="0"/>
      </w:pPr>
      <w:bookmarkStart w:id="188" w:name="_Toc15566_WPSOffice_Level2"/>
      <w:r>
        <w:rPr>
          <w:rFonts w:hint="eastAsia"/>
        </w:rPr>
        <w:t>（三）未按规定要求开展自行检查与维护保养；</w:t>
      </w:r>
      <w:bookmarkEnd w:id="188"/>
    </w:p>
    <w:p>
      <w:pPr>
        <w:bidi w:val="0"/>
      </w:pPr>
      <w:bookmarkStart w:id="189" w:name="_Toc15006_WPSOffice_Level2"/>
      <w:r>
        <w:rPr>
          <w:rFonts w:hint="eastAsia"/>
        </w:rPr>
        <w:t>（四）未按有关安全技术规范要求申报并接受检验；</w:t>
      </w:r>
      <w:bookmarkEnd w:id="189"/>
    </w:p>
    <w:p>
      <w:pPr>
        <w:bidi w:val="0"/>
      </w:pPr>
      <w:bookmarkStart w:id="190" w:name="_Toc22658_WPSOffice_Level2"/>
      <w:r>
        <w:rPr>
          <w:rFonts w:hint="eastAsia"/>
        </w:rPr>
        <w:t>（五）使用存在故障或异常情况的压力管道；</w:t>
      </w:r>
      <w:bookmarkEnd w:id="190"/>
    </w:p>
    <w:p>
      <w:pPr>
        <w:bidi w:val="0"/>
      </w:pPr>
      <w:bookmarkStart w:id="191" w:name="_Toc29003_WPSOffice_Level2"/>
      <w:r>
        <w:rPr>
          <w:rFonts w:hint="eastAsia"/>
        </w:rPr>
        <w:t>（六）使用安全附件及保护装置不符合要求的压力管道；</w:t>
      </w:r>
      <w:bookmarkEnd w:id="191"/>
    </w:p>
    <w:p>
      <w:pPr>
        <w:bidi w:val="0"/>
      </w:pPr>
      <w:bookmarkStart w:id="192" w:name="_Toc26175_WPSOffice_Level2"/>
      <w:r>
        <w:rPr>
          <w:rFonts w:hint="eastAsia"/>
        </w:rPr>
        <w:t>（七）对检查检验发现的问题未及时进行处理；</w:t>
      </w:r>
      <w:bookmarkEnd w:id="192"/>
    </w:p>
    <w:p>
      <w:pPr>
        <w:bidi w:val="0"/>
      </w:pPr>
      <w:bookmarkStart w:id="193" w:name="_Toc17768_WPSOffice_Level2"/>
      <w:r>
        <w:rPr>
          <w:rFonts w:hint="eastAsia"/>
        </w:rPr>
        <w:t>（八）其他可能导致风险隐患的情况。</w:t>
      </w:r>
      <w:bookmarkEnd w:id="193"/>
    </w:p>
    <w:p>
      <w:pPr>
        <w:bidi w:val="0"/>
      </w:pPr>
      <w:r>
        <w:rPr>
          <w:rFonts w:hint="eastAsia"/>
        </w:rPr>
        <w:t>第六条 环境类风险至少包括压力管道的安全距离、安全防护措施不符合有关规定。</w:t>
      </w:r>
    </w:p>
    <w:p>
      <w:pPr>
        <w:bidi w:val="0"/>
      </w:pPr>
      <w:r>
        <w:rPr>
          <w:rFonts w:hint="eastAsia"/>
        </w:rPr>
        <w:t>第七条 其他来自政府监督部门的监督、通报、预警，投诉举报和舆情信息等动态风险。</w:t>
      </w:r>
    </w:p>
    <w:p>
      <w:pPr>
        <w:bidi w:val="0"/>
      </w:pPr>
      <w:r>
        <w:rPr>
          <w:rFonts w:hint="eastAsia"/>
        </w:rPr>
        <w:t>第八条 本单位根据上述规定制定了《压力管道安全风险管控清单》（例表见附录B4），当风险指标发生变化时，需对清单及时进行调整。</w:t>
      </w:r>
    </w:p>
    <w:p>
      <w:pPr>
        <w:rPr>
          <w:rFonts w:hint="eastAsia" w:ascii="Times New Roman" w:hAnsi="Times New Roman" w:eastAsia="仿宋_GB2312" w:cs="仿宋"/>
          <w:b/>
          <w:bCs/>
          <w:sz w:val="44"/>
          <w:szCs w:val="44"/>
        </w:rPr>
      </w:pPr>
      <w:r>
        <w:rPr>
          <w:rFonts w:hint="eastAsia" w:ascii="Times New Roman" w:hAnsi="Times New Roman" w:eastAsia="仿宋_GB2312" w:cs="仿宋"/>
          <w:b/>
          <w:bCs/>
          <w:sz w:val="44"/>
          <w:szCs w:val="44"/>
        </w:rPr>
        <w:br w:type="page"/>
      </w:r>
    </w:p>
    <w:p>
      <w:pPr>
        <w:pStyle w:val="4"/>
        <w:bidi w:val="0"/>
      </w:pPr>
      <w:bookmarkStart w:id="194" w:name="_Toc14863_WPSOffice_Level2"/>
      <w:bookmarkStart w:id="195" w:name="_Toc17825"/>
      <w:bookmarkStart w:id="196" w:name="_Toc23829"/>
      <w:bookmarkStart w:id="197" w:name="_Toc11261"/>
      <w:bookmarkStart w:id="198" w:name="_Toc8062"/>
      <w:r>
        <w:rPr>
          <w:rFonts w:hint="eastAsia"/>
        </w:rPr>
        <w:t>电梯安全风险管控清单</w:t>
      </w:r>
      <w:bookmarkEnd w:id="194"/>
      <w:bookmarkEnd w:id="195"/>
      <w:bookmarkEnd w:id="196"/>
      <w:bookmarkEnd w:id="197"/>
      <w:bookmarkEnd w:id="198"/>
    </w:p>
    <w:p>
      <w:pPr>
        <w:bidi w:val="0"/>
      </w:pPr>
      <w:r>
        <w:rPr>
          <w:rFonts w:hint="eastAsia"/>
        </w:rPr>
        <w:t>第一条 为建立并落实电梯使用安全主体责任的长效机制，建立健全日管控、周排查、月调度工作制度，结合本单位实际情况，制定本清单。</w:t>
      </w:r>
    </w:p>
    <w:p>
      <w:pPr>
        <w:bidi w:val="0"/>
      </w:pPr>
      <w:r>
        <w:rPr>
          <w:rFonts w:hint="eastAsia"/>
        </w:rPr>
        <w:t>第二条 本单位风险管控清单按照电梯使用中存在可能导致事故发生的设备的不安全状态、人的不安全行为、管理和环境上的缺陷4个类别及动态风险进行划分。</w:t>
      </w:r>
    </w:p>
    <w:p>
      <w:pPr>
        <w:bidi w:val="0"/>
      </w:pPr>
      <w:r>
        <w:rPr>
          <w:rFonts w:hint="eastAsia"/>
        </w:rPr>
        <w:t>第三条 人员类风险至少包括以下几个方面：</w:t>
      </w:r>
    </w:p>
    <w:p>
      <w:pPr>
        <w:bidi w:val="0"/>
      </w:pPr>
      <w:r>
        <w:rPr>
          <w:rFonts w:hint="eastAsia"/>
        </w:rPr>
        <w:t>（一）未按规定配备安全管理人员和作业人员；</w:t>
      </w:r>
    </w:p>
    <w:p>
      <w:pPr>
        <w:bidi w:val="0"/>
      </w:pPr>
      <w:r>
        <w:rPr>
          <w:rFonts w:hint="eastAsia"/>
        </w:rPr>
        <w:t>（二）作业人员未持有相应资格证件；</w:t>
      </w:r>
    </w:p>
    <w:p>
      <w:pPr>
        <w:bidi w:val="0"/>
      </w:pPr>
      <w:r>
        <w:rPr>
          <w:rFonts w:hint="eastAsia"/>
        </w:rPr>
        <w:t>（三）未按规定对安全管理人员和作业人员开展安全教育培训；</w:t>
      </w:r>
    </w:p>
    <w:p>
      <w:pPr>
        <w:bidi w:val="0"/>
      </w:pPr>
      <w:r>
        <w:rPr>
          <w:rFonts w:hint="eastAsia"/>
        </w:rPr>
        <w:t>（四）作业人员未遵守操作规程进行作业或到岗值守情况不符合要求。</w:t>
      </w:r>
    </w:p>
    <w:p>
      <w:pPr>
        <w:bidi w:val="0"/>
      </w:pPr>
      <w:r>
        <w:rPr>
          <w:rFonts w:hint="eastAsia"/>
        </w:rPr>
        <w:t>第四条 管理类风险至少包括以下几个方面：</w:t>
      </w:r>
    </w:p>
    <w:p>
      <w:pPr>
        <w:bidi w:val="0"/>
      </w:pPr>
      <w:bookmarkStart w:id="199" w:name="_Toc298_WPSOffice_Level2"/>
      <w:r>
        <w:rPr>
          <w:rFonts w:hint="eastAsia"/>
        </w:rPr>
        <w:t>（一）采购</w:t>
      </w:r>
      <w:r>
        <w:rPr>
          <w:rFonts w:hint="eastAsia"/>
          <w:lang w:eastAsia="zh-CN"/>
        </w:rPr>
        <w:t>国家明令</w:t>
      </w:r>
      <w:r>
        <w:rPr>
          <w:rFonts w:hint="eastAsia"/>
        </w:rPr>
        <w:t>禁止或淘汰的电梯产品；</w:t>
      </w:r>
      <w:bookmarkEnd w:id="199"/>
    </w:p>
    <w:p>
      <w:pPr>
        <w:bidi w:val="0"/>
      </w:pPr>
      <w:bookmarkStart w:id="200" w:name="_Toc27225_WPSOffice_Level2"/>
      <w:r>
        <w:rPr>
          <w:rFonts w:hint="eastAsia"/>
        </w:rPr>
        <w:t>（二）未按有关规定设置安全管理机构；</w:t>
      </w:r>
      <w:bookmarkEnd w:id="200"/>
      <w:r>
        <w:rPr>
          <w:rFonts w:hint="eastAsia"/>
        </w:rPr>
        <w:t xml:space="preserve"> </w:t>
      </w:r>
    </w:p>
    <w:p>
      <w:pPr>
        <w:bidi w:val="0"/>
      </w:pPr>
      <w:bookmarkStart w:id="201" w:name="_Toc10809_WPSOffice_Level2"/>
      <w:r>
        <w:rPr>
          <w:rFonts w:hint="eastAsia"/>
        </w:rPr>
        <w:t>（三）未按规定建立未建立电梯使用安全管理制度；</w:t>
      </w:r>
      <w:bookmarkEnd w:id="201"/>
    </w:p>
    <w:p>
      <w:pPr>
        <w:bidi w:val="0"/>
      </w:pPr>
      <w:bookmarkStart w:id="202" w:name="_Toc4994_WPSOffice_Level2"/>
      <w:r>
        <w:rPr>
          <w:rFonts w:hint="eastAsia"/>
        </w:rPr>
        <w:t>（四）未按规定建立安全技术档案；</w:t>
      </w:r>
      <w:bookmarkEnd w:id="202"/>
    </w:p>
    <w:p>
      <w:pPr>
        <w:bidi w:val="0"/>
      </w:pPr>
      <w:bookmarkStart w:id="203" w:name="_Toc19293_WPSOffice_Level2"/>
      <w:r>
        <w:rPr>
          <w:rFonts w:hint="eastAsia"/>
        </w:rPr>
        <w:t>（五）未按规定及时办理使用登记和变更登记；</w:t>
      </w:r>
      <w:bookmarkEnd w:id="203"/>
      <w:r>
        <w:rPr>
          <w:rFonts w:hint="eastAsia"/>
        </w:rPr>
        <w:t xml:space="preserve"> </w:t>
      </w:r>
    </w:p>
    <w:p>
      <w:pPr>
        <w:bidi w:val="0"/>
      </w:pPr>
      <w:bookmarkStart w:id="204" w:name="_Toc15707_WPSOffice_Level2"/>
      <w:r>
        <w:rPr>
          <w:rFonts w:hint="eastAsia"/>
        </w:rPr>
        <w:t>（四）未按规定制定应急预案并定期演练；</w:t>
      </w:r>
      <w:bookmarkEnd w:id="204"/>
    </w:p>
    <w:p>
      <w:pPr>
        <w:bidi w:val="0"/>
      </w:pPr>
      <w:bookmarkStart w:id="205" w:name="_Toc31906_WPSOffice_Level2"/>
      <w:r>
        <w:rPr>
          <w:rFonts w:hint="eastAsia"/>
        </w:rPr>
        <w:t>（五）电梯维护保养单位未按规定取得相应的许可资质。</w:t>
      </w:r>
      <w:bookmarkEnd w:id="205"/>
    </w:p>
    <w:p>
      <w:pPr>
        <w:bidi w:val="0"/>
      </w:pPr>
      <w:r>
        <w:rPr>
          <w:rFonts w:hint="eastAsia"/>
        </w:rPr>
        <w:t>第五条 设备类风险至少包括以下几个方面：</w:t>
      </w:r>
    </w:p>
    <w:p>
      <w:pPr>
        <w:bidi w:val="0"/>
      </w:pPr>
      <w:r>
        <w:rPr>
          <w:rFonts w:hint="eastAsia"/>
        </w:rPr>
        <w:t>（一）选用</w:t>
      </w:r>
      <w:r>
        <w:rPr>
          <w:rFonts w:hint="eastAsia"/>
          <w:lang w:eastAsia="zh-CN"/>
        </w:rPr>
        <w:t>国家明令</w:t>
      </w:r>
      <w:r>
        <w:rPr>
          <w:rFonts w:hint="eastAsia"/>
        </w:rPr>
        <w:t xml:space="preserve">禁止或淘汰的电梯产品； </w:t>
      </w:r>
    </w:p>
    <w:p>
      <w:pPr>
        <w:bidi w:val="0"/>
      </w:pPr>
      <w:r>
        <w:rPr>
          <w:rFonts w:hint="eastAsia"/>
        </w:rPr>
        <w:t>（二）未按有关法律法规、安全技术规范或合同约定进行维护保养；</w:t>
      </w:r>
    </w:p>
    <w:p>
      <w:pPr>
        <w:bidi w:val="0"/>
      </w:pPr>
      <w:r>
        <w:rPr>
          <w:rFonts w:hint="eastAsia"/>
        </w:rPr>
        <w:t>（三）机房、通道（通道门）、手动紧急操作装置和应急救援程序是否符合安全技术规范的要求；</w:t>
      </w:r>
    </w:p>
    <w:p>
      <w:pPr>
        <w:bidi w:val="0"/>
      </w:pPr>
      <w:r>
        <w:rPr>
          <w:rFonts w:hint="eastAsia"/>
        </w:rPr>
        <w:t>（四）未按有关安全技术规范的要求安排定期检验或自行检测。</w:t>
      </w:r>
    </w:p>
    <w:p>
      <w:pPr>
        <w:bidi w:val="0"/>
      </w:pPr>
      <w:r>
        <w:rPr>
          <w:rFonts w:hint="eastAsia"/>
        </w:rPr>
        <w:t>第六条 安全附件和安全保护装置类风险至少包括以下内容：</w:t>
      </w:r>
    </w:p>
    <w:p>
      <w:pPr>
        <w:bidi w:val="0"/>
      </w:pPr>
      <w:r>
        <w:rPr>
          <w:rFonts w:hint="eastAsia"/>
        </w:rPr>
        <w:t xml:space="preserve">（一）轿厢内报警装置、对讲系统和轿门防撞击保护装置是否有效； </w:t>
      </w:r>
    </w:p>
    <w:p>
      <w:pPr>
        <w:bidi w:val="0"/>
      </w:pPr>
      <w:r>
        <w:rPr>
          <w:rFonts w:hint="eastAsia"/>
        </w:rPr>
        <w:t>（二）自动扶梯和自动人行道急停开关是否有效，且有清晰的永久性标识。</w:t>
      </w:r>
    </w:p>
    <w:p>
      <w:pPr>
        <w:bidi w:val="0"/>
      </w:pPr>
      <w:r>
        <w:rPr>
          <w:rFonts w:hint="eastAsia"/>
        </w:rPr>
        <w:t>第七条 环境类风险至少包括以下几个方面：</w:t>
      </w:r>
    </w:p>
    <w:p>
      <w:pPr>
        <w:bidi w:val="0"/>
      </w:pPr>
      <w:bookmarkStart w:id="206" w:name="_Toc6458_WPSOffice_Level2"/>
      <w:r>
        <w:rPr>
          <w:rFonts w:hint="eastAsia"/>
        </w:rPr>
        <w:t>（一）电梯运行环境存在不符合安全技术规范要求的情况。</w:t>
      </w:r>
      <w:bookmarkEnd w:id="206"/>
    </w:p>
    <w:p>
      <w:pPr>
        <w:bidi w:val="0"/>
      </w:pPr>
      <w:bookmarkStart w:id="207" w:name="_Toc9625_WPSOffice_Level2"/>
      <w:r>
        <w:rPr>
          <w:rFonts w:hint="eastAsia"/>
        </w:rPr>
        <w:t>（二）未按有关规定设置警示标志或说明；</w:t>
      </w:r>
      <w:bookmarkEnd w:id="207"/>
    </w:p>
    <w:p>
      <w:pPr>
        <w:bidi w:val="0"/>
      </w:pPr>
      <w:bookmarkStart w:id="208" w:name="_Toc17847_WPSOffice_Level2"/>
      <w:r>
        <w:rPr>
          <w:rFonts w:hint="eastAsia"/>
        </w:rPr>
        <w:t>（三）电梯使用场所是否在易腐蚀、易燃易爆或人员密集场所；</w:t>
      </w:r>
      <w:bookmarkEnd w:id="208"/>
    </w:p>
    <w:p>
      <w:pPr>
        <w:bidi w:val="0"/>
      </w:pPr>
      <w:r>
        <w:rPr>
          <w:rFonts w:hint="eastAsia"/>
        </w:rPr>
        <w:t>第八条 其他来自政府监管部门的监督、通报、预警，投诉举报和舆情信息等动态风险。</w:t>
      </w:r>
    </w:p>
    <w:p>
      <w:pPr>
        <w:bidi w:val="0"/>
      </w:pPr>
      <w:r>
        <w:rPr>
          <w:rFonts w:hint="eastAsia"/>
        </w:rPr>
        <w:t>第九条 本单位根据上述规定制定了《电梯安全风险管控清单》（例表见附录B5），当风险指标发生变化时，需对清单及时进行调整。</w:t>
      </w:r>
    </w:p>
    <w:p>
      <w:pPr>
        <w:rPr>
          <w:rFonts w:hint="eastAsia" w:ascii="Times New Roman" w:hAnsi="Times New Roman" w:eastAsia="仿宋_GB2312" w:cs="仿宋"/>
          <w:b/>
          <w:bCs/>
          <w:sz w:val="44"/>
          <w:szCs w:val="44"/>
        </w:rPr>
      </w:pPr>
      <w:r>
        <w:rPr>
          <w:rFonts w:hint="eastAsia" w:ascii="Times New Roman" w:hAnsi="Times New Roman" w:eastAsia="仿宋_GB2312" w:cs="仿宋"/>
          <w:b/>
          <w:bCs/>
          <w:sz w:val="44"/>
          <w:szCs w:val="44"/>
        </w:rPr>
        <w:br w:type="page"/>
      </w:r>
    </w:p>
    <w:p>
      <w:pPr>
        <w:pStyle w:val="4"/>
        <w:bidi w:val="0"/>
      </w:pPr>
      <w:bookmarkStart w:id="209" w:name="_Toc4765_WPSOffice_Level2"/>
      <w:bookmarkStart w:id="210" w:name="_Toc7387"/>
      <w:bookmarkStart w:id="211" w:name="_Toc31973"/>
      <w:bookmarkStart w:id="212" w:name="_Toc19919"/>
      <w:bookmarkStart w:id="213" w:name="_Toc7620"/>
      <w:r>
        <w:rPr>
          <w:rFonts w:hint="eastAsia"/>
        </w:rPr>
        <w:t>起重机械安全风险管控清单</w:t>
      </w:r>
      <w:bookmarkEnd w:id="209"/>
      <w:bookmarkEnd w:id="210"/>
      <w:bookmarkEnd w:id="211"/>
      <w:bookmarkEnd w:id="212"/>
      <w:bookmarkEnd w:id="213"/>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 xml:space="preserve">第一条 为建立并落实起重机械械使用安全主体责任的长效机制，建立健全日管控、周排查、月调度工作制度，结合本单位实际情况，制定本清单。  </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 xml:space="preserve">第二条 本单位风险管控清单按照起重机械使用中存在可能导致事故发生的设备的不安全状态、人的不安全行为、管理环和境上的缺陷等4个类别及动态风险进行划分。  </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第三条 人员类风险至少包括以下几个方面：</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（一）未按有关规定配备安全管理人员和作业人员或者未按规定持有相应证件；</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（二）作业人员未按规定持有相应证件；</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（三）未按有关规定对安全管理人员和作业人员开展安全教育和技能培训；</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（四）未严格遵循操作规程进行起重作业。</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第四条 管理类风险至少包括以下几个方面：</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（一）未按有关规定设置安全管理机构；</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（二）未按有关规定制定操作规程或者未按规定执行操作规程；</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（三）未按有关规定建立安全技术档案；</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（四）未按规定进行经常性维护保养和自行检查，未对登高作业进行管理；</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（五）未按有关规定及时办理使用登记和变更登记；</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（六）未按有关规定开展应急救援演练。</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第五条 设备类风险至少包括以下几个方面：</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（一）未按要求使用符合要求的起重机械或使用国家明令禁止的起重机械；</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（二）未按实际情况选择适合使用条件要求的起重机械；</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（三）未按有关安全技术规范要求安排定期检验；</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（四）桥、粱架等主要受力构件发生明显的腐蚀、裂纹、塑性变形等；</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（五）其他可能导致风险隐患的情况。</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第六条 安全保护装置风险至少包括以下几个方面：</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（一）上限位装置、断错相保护、制动器、行程限位、漏电保护器等安全保护装置的故障及缺损；</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（二）急停开关功能缺失。</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第七条 环境类风险至少包括以下几个方面：</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（一）作业区域内未有极端状况如高海拔、危险品、极端天气等；</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（二）作业区域内地面承载力未满足要求；未有影响安全作业的障碍物；相应的灭火措施未完备；</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（三）起重机械</w:t>
      </w:r>
      <w:r>
        <w:rPr>
          <w:rFonts w:hint="default"/>
          <w:lang w:val="en-US"/>
        </w:rPr>
        <w:t>的</w:t>
      </w:r>
      <w:r>
        <w:rPr>
          <w:rFonts w:hint="eastAsia"/>
        </w:rPr>
        <w:t>作业区域内未有必要的安全标识或说明；</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第八条 其他来自政府监管部门的监督、通报、预警，投诉举报和舆情信息等动态风险。</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rPr>
      </w:pPr>
      <w:r>
        <w:rPr>
          <w:rFonts w:hint="eastAsia"/>
        </w:rPr>
        <w:t>第九条 本单位根据上述规定制定了《起重机械安全风险管控清单》（例表见附录B6），当风险指标发生变化时，需对清单及时进行调整。</w:t>
      </w:r>
    </w:p>
    <w:p>
      <w:pPr>
        <w:rPr>
          <w:rFonts w:hint="eastAsia"/>
        </w:rPr>
      </w:pPr>
      <w:r>
        <w:rPr>
          <w:rFonts w:hint="eastAsia"/>
        </w:rPr>
        <w:br w:type="page"/>
      </w:r>
    </w:p>
    <w:p>
      <w:pPr>
        <w:pStyle w:val="4"/>
        <w:bidi w:val="0"/>
      </w:pPr>
      <w:bookmarkStart w:id="214" w:name="_Toc27995_WPSOffice_Level2"/>
      <w:bookmarkStart w:id="215" w:name="_Toc29743"/>
      <w:bookmarkStart w:id="216" w:name="_Toc14895"/>
      <w:bookmarkStart w:id="217" w:name="_Toc15803"/>
      <w:bookmarkStart w:id="218" w:name="_Toc11905"/>
      <w:r>
        <w:rPr>
          <w:rFonts w:hint="eastAsia"/>
        </w:rPr>
        <w:t>客运索道安全风险管控清单</w:t>
      </w:r>
      <w:bookmarkEnd w:id="214"/>
      <w:bookmarkEnd w:id="215"/>
      <w:bookmarkEnd w:id="216"/>
      <w:bookmarkEnd w:id="217"/>
      <w:bookmarkEnd w:id="218"/>
    </w:p>
    <w:p>
      <w:pPr>
        <w:keepNext w:val="0"/>
        <w:keepLines w:val="0"/>
        <w:pageBreakBefore w:val="0"/>
        <w:widowControl w:val="0"/>
        <w:kinsoku/>
        <w:wordWrap/>
        <w:overflowPunct/>
        <w:topLinePunct w:val="0"/>
        <w:autoSpaceDE/>
        <w:autoSpaceDN/>
        <w:bidi w:val="0"/>
        <w:adjustRightInd/>
        <w:snapToGrid/>
        <w:spacing w:line="540" w:lineRule="exact"/>
        <w:textAlignment w:val="auto"/>
      </w:pPr>
      <w:r>
        <w:rPr>
          <w:rFonts w:hint="eastAsia"/>
        </w:rPr>
        <w:t>第一条 为建立并落实客运索道使用单位安全主体责任的长效机制，建立健全日管控、周排查、月调度工作制度，结合本单位实际情况，制定本清单。</w:t>
      </w:r>
    </w:p>
    <w:p>
      <w:pPr>
        <w:keepNext w:val="0"/>
        <w:keepLines w:val="0"/>
        <w:pageBreakBefore w:val="0"/>
        <w:widowControl w:val="0"/>
        <w:kinsoku/>
        <w:wordWrap/>
        <w:overflowPunct/>
        <w:topLinePunct w:val="0"/>
        <w:autoSpaceDE/>
        <w:autoSpaceDN/>
        <w:bidi w:val="0"/>
        <w:adjustRightInd/>
        <w:snapToGrid/>
        <w:spacing w:line="540" w:lineRule="exact"/>
        <w:textAlignment w:val="auto"/>
      </w:pPr>
      <w:r>
        <w:rPr>
          <w:rFonts w:hint="eastAsia"/>
        </w:rPr>
        <w:t>第二条 本单位风险管控清单按照客运索道使用中存在可能导致事故发生的设备的不安全状态、人的不安全行为、管理和环境上的缺陷4个类别及动态风险进行划分。</w:t>
      </w:r>
    </w:p>
    <w:p>
      <w:pPr>
        <w:keepNext w:val="0"/>
        <w:keepLines w:val="0"/>
        <w:pageBreakBefore w:val="0"/>
        <w:widowControl w:val="0"/>
        <w:kinsoku/>
        <w:wordWrap/>
        <w:overflowPunct/>
        <w:topLinePunct w:val="0"/>
        <w:autoSpaceDE/>
        <w:autoSpaceDN/>
        <w:bidi w:val="0"/>
        <w:adjustRightInd/>
        <w:snapToGrid/>
        <w:spacing w:line="540" w:lineRule="exact"/>
        <w:textAlignment w:val="auto"/>
      </w:pPr>
      <w:r>
        <w:rPr>
          <w:rFonts w:hint="eastAsia"/>
        </w:rPr>
        <w:t>第三条 人员类风险至少包括以下内容：</w:t>
      </w:r>
    </w:p>
    <w:p>
      <w:pPr>
        <w:keepNext w:val="0"/>
        <w:keepLines w:val="0"/>
        <w:pageBreakBefore w:val="0"/>
        <w:widowControl w:val="0"/>
        <w:kinsoku/>
        <w:wordWrap/>
        <w:overflowPunct/>
        <w:topLinePunct w:val="0"/>
        <w:autoSpaceDE/>
        <w:autoSpaceDN/>
        <w:bidi w:val="0"/>
        <w:adjustRightInd/>
        <w:snapToGrid/>
        <w:spacing w:line="540" w:lineRule="exact"/>
        <w:textAlignment w:val="auto"/>
      </w:pPr>
      <w:r>
        <w:rPr>
          <w:rFonts w:hint="eastAsia"/>
        </w:rPr>
        <w:t>（一）未按规定配备安全管理人员和作业人员；</w:t>
      </w:r>
    </w:p>
    <w:p>
      <w:pPr>
        <w:keepNext w:val="0"/>
        <w:keepLines w:val="0"/>
        <w:pageBreakBefore w:val="0"/>
        <w:widowControl w:val="0"/>
        <w:kinsoku/>
        <w:wordWrap/>
        <w:overflowPunct/>
        <w:topLinePunct w:val="0"/>
        <w:autoSpaceDE/>
        <w:autoSpaceDN/>
        <w:bidi w:val="0"/>
        <w:adjustRightInd/>
        <w:snapToGrid/>
        <w:spacing w:line="540" w:lineRule="exact"/>
        <w:textAlignment w:val="auto"/>
      </w:pPr>
      <w:r>
        <w:rPr>
          <w:rFonts w:hint="eastAsia"/>
        </w:rPr>
        <w:t>（二）作业人员未持有相应资格证件；</w:t>
      </w:r>
    </w:p>
    <w:p>
      <w:pPr>
        <w:keepNext w:val="0"/>
        <w:keepLines w:val="0"/>
        <w:pageBreakBefore w:val="0"/>
        <w:widowControl w:val="0"/>
        <w:kinsoku/>
        <w:wordWrap/>
        <w:overflowPunct/>
        <w:topLinePunct w:val="0"/>
        <w:autoSpaceDE/>
        <w:autoSpaceDN/>
        <w:bidi w:val="0"/>
        <w:adjustRightInd/>
        <w:snapToGrid/>
        <w:spacing w:line="540" w:lineRule="exact"/>
        <w:textAlignment w:val="auto"/>
      </w:pPr>
      <w:r>
        <w:rPr>
          <w:rFonts w:hint="eastAsia"/>
        </w:rPr>
        <w:t>（三）未按规定对安全管理人员和作业人员开展安全教育培训；</w:t>
      </w:r>
    </w:p>
    <w:p>
      <w:pPr>
        <w:keepNext w:val="0"/>
        <w:keepLines w:val="0"/>
        <w:pageBreakBefore w:val="0"/>
        <w:widowControl w:val="0"/>
        <w:kinsoku/>
        <w:wordWrap/>
        <w:overflowPunct/>
        <w:topLinePunct w:val="0"/>
        <w:autoSpaceDE/>
        <w:autoSpaceDN/>
        <w:bidi w:val="0"/>
        <w:adjustRightInd/>
        <w:snapToGrid/>
        <w:spacing w:line="540" w:lineRule="exact"/>
        <w:textAlignment w:val="auto"/>
      </w:pPr>
      <w:r>
        <w:rPr>
          <w:rFonts w:hint="eastAsia"/>
        </w:rPr>
        <w:t>（四）作业人员未遵守操作规程进行作业或到岗值守情况不符合要求。</w:t>
      </w:r>
    </w:p>
    <w:p>
      <w:pPr>
        <w:keepNext w:val="0"/>
        <w:keepLines w:val="0"/>
        <w:pageBreakBefore w:val="0"/>
        <w:widowControl w:val="0"/>
        <w:kinsoku/>
        <w:wordWrap/>
        <w:overflowPunct/>
        <w:topLinePunct w:val="0"/>
        <w:autoSpaceDE/>
        <w:autoSpaceDN/>
        <w:bidi w:val="0"/>
        <w:adjustRightInd/>
        <w:snapToGrid/>
        <w:spacing w:line="540" w:lineRule="exact"/>
        <w:textAlignment w:val="auto"/>
      </w:pPr>
      <w:r>
        <w:rPr>
          <w:rFonts w:hint="eastAsia"/>
        </w:rPr>
        <w:t>第四条 管理类风险至少包括以下内容：</w:t>
      </w:r>
    </w:p>
    <w:p>
      <w:pPr>
        <w:keepNext w:val="0"/>
        <w:keepLines w:val="0"/>
        <w:pageBreakBefore w:val="0"/>
        <w:widowControl w:val="0"/>
        <w:kinsoku/>
        <w:wordWrap/>
        <w:overflowPunct/>
        <w:topLinePunct w:val="0"/>
        <w:autoSpaceDE/>
        <w:autoSpaceDN/>
        <w:bidi w:val="0"/>
        <w:adjustRightInd/>
        <w:snapToGrid/>
        <w:spacing w:line="540" w:lineRule="exact"/>
        <w:textAlignment w:val="auto"/>
      </w:pPr>
      <w:bookmarkStart w:id="219" w:name="_Toc32069_WPSOffice_Level2"/>
      <w:r>
        <w:rPr>
          <w:rFonts w:hint="eastAsia"/>
        </w:rPr>
        <w:t>（一）采购国家明令淘汰和已经报废的客运索道产品；</w:t>
      </w:r>
      <w:bookmarkEnd w:id="219"/>
    </w:p>
    <w:p>
      <w:pPr>
        <w:keepNext w:val="0"/>
        <w:keepLines w:val="0"/>
        <w:pageBreakBefore w:val="0"/>
        <w:widowControl w:val="0"/>
        <w:kinsoku/>
        <w:wordWrap/>
        <w:overflowPunct/>
        <w:topLinePunct w:val="0"/>
        <w:autoSpaceDE/>
        <w:autoSpaceDN/>
        <w:bidi w:val="0"/>
        <w:adjustRightInd/>
        <w:snapToGrid/>
        <w:spacing w:line="540" w:lineRule="exact"/>
        <w:textAlignment w:val="auto"/>
      </w:pPr>
      <w:bookmarkStart w:id="220" w:name="_Toc32710_WPSOffice_Level2"/>
      <w:r>
        <w:rPr>
          <w:rFonts w:hint="eastAsia"/>
        </w:rPr>
        <w:t>（二）未按规定设置安全管理机构；</w:t>
      </w:r>
      <w:bookmarkEnd w:id="220"/>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540" w:lineRule="exact"/>
        <w:textAlignment w:val="auto"/>
      </w:pPr>
      <w:bookmarkStart w:id="221" w:name="_Toc26992_WPSOffice_Level2"/>
      <w:r>
        <w:rPr>
          <w:rFonts w:hint="eastAsia"/>
        </w:rPr>
        <w:t>（三）未按规定制定管理制度、操作规程或者未按规定执行的；</w:t>
      </w:r>
      <w:bookmarkEnd w:id="221"/>
    </w:p>
    <w:p>
      <w:pPr>
        <w:keepNext w:val="0"/>
        <w:keepLines w:val="0"/>
        <w:pageBreakBefore w:val="0"/>
        <w:widowControl w:val="0"/>
        <w:kinsoku/>
        <w:wordWrap/>
        <w:overflowPunct/>
        <w:topLinePunct w:val="0"/>
        <w:autoSpaceDE/>
        <w:autoSpaceDN/>
        <w:bidi w:val="0"/>
        <w:adjustRightInd/>
        <w:snapToGrid/>
        <w:spacing w:line="540" w:lineRule="exact"/>
        <w:textAlignment w:val="auto"/>
      </w:pPr>
      <w:bookmarkStart w:id="222" w:name="_Toc286_WPSOffice_Level2"/>
      <w:r>
        <w:rPr>
          <w:rFonts w:hint="eastAsia"/>
        </w:rPr>
        <w:t>（四）未按规定建立安全技术档案；</w:t>
      </w:r>
      <w:bookmarkEnd w:id="222"/>
    </w:p>
    <w:p>
      <w:pPr>
        <w:keepNext w:val="0"/>
        <w:keepLines w:val="0"/>
        <w:pageBreakBefore w:val="0"/>
        <w:widowControl w:val="0"/>
        <w:kinsoku/>
        <w:wordWrap/>
        <w:overflowPunct/>
        <w:topLinePunct w:val="0"/>
        <w:autoSpaceDE/>
        <w:autoSpaceDN/>
        <w:bidi w:val="0"/>
        <w:adjustRightInd/>
        <w:snapToGrid/>
        <w:spacing w:line="540" w:lineRule="exact"/>
        <w:textAlignment w:val="auto"/>
      </w:pPr>
      <w:bookmarkStart w:id="223" w:name="_Toc898_WPSOffice_Level2"/>
      <w:r>
        <w:rPr>
          <w:rFonts w:hint="eastAsia"/>
        </w:rPr>
        <w:t>（五）未按规定及时办理使用登记和变更登记；</w:t>
      </w:r>
      <w:bookmarkEnd w:id="223"/>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540" w:lineRule="exact"/>
        <w:textAlignment w:val="auto"/>
      </w:pPr>
      <w:bookmarkStart w:id="224" w:name="_Toc2491_WPSOffice_Level2"/>
      <w:r>
        <w:rPr>
          <w:rFonts w:hint="eastAsia"/>
        </w:rPr>
        <w:t>（六）未按规定制定应急预案并定期演练。</w:t>
      </w:r>
      <w:bookmarkEnd w:id="224"/>
    </w:p>
    <w:p>
      <w:pPr>
        <w:keepNext w:val="0"/>
        <w:keepLines w:val="0"/>
        <w:pageBreakBefore w:val="0"/>
        <w:widowControl w:val="0"/>
        <w:kinsoku/>
        <w:wordWrap/>
        <w:overflowPunct/>
        <w:topLinePunct w:val="0"/>
        <w:autoSpaceDE/>
        <w:autoSpaceDN/>
        <w:bidi w:val="0"/>
        <w:adjustRightInd/>
        <w:snapToGrid/>
        <w:spacing w:line="540" w:lineRule="exact"/>
        <w:textAlignment w:val="auto"/>
      </w:pPr>
      <w:r>
        <w:rPr>
          <w:rFonts w:hint="eastAsia"/>
        </w:rPr>
        <w:t>第五条 设备类风险至少包括以下内容：</w:t>
      </w:r>
    </w:p>
    <w:p>
      <w:pPr>
        <w:keepNext w:val="0"/>
        <w:keepLines w:val="0"/>
        <w:pageBreakBefore w:val="0"/>
        <w:widowControl w:val="0"/>
        <w:kinsoku/>
        <w:wordWrap/>
        <w:overflowPunct/>
        <w:topLinePunct w:val="0"/>
        <w:autoSpaceDE/>
        <w:autoSpaceDN/>
        <w:bidi w:val="0"/>
        <w:adjustRightInd/>
        <w:snapToGrid/>
        <w:spacing w:line="540" w:lineRule="exact"/>
        <w:textAlignment w:val="auto"/>
      </w:pPr>
      <w:bookmarkStart w:id="225" w:name="_Toc20948_WPSOffice_Level2"/>
      <w:r>
        <w:rPr>
          <w:rFonts w:hint="eastAsia"/>
        </w:rPr>
        <w:t>（一）选用国家明令淘汰和已经报废的客运索道产品；</w:t>
      </w:r>
      <w:bookmarkEnd w:id="225"/>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540" w:lineRule="exact"/>
        <w:textAlignment w:val="auto"/>
      </w:pPr>
      <w:bookmarkStart w:id="226" w:name="_Toc8300_WPSOffice_Level2"/>
      <w:r>
        <w:rPr>
          <w:rFonts w:hint="eastAsia"/>
        </w:rPr>
        <w:t>（二）未按规定进行试运行和例行安全检查；</w:t>
      </w:r>
      <w:bookmarkEnd w:id="226"/>
    </w:p>
    <w:p>
      <w:pPr>
        <w:keepNext w:val="0"/>
        <w:keepLines w:val="0"/>
        <w:pageBreakBefore w:val="0"/>
        <w:widowControl w:val="0"/>
        <w:kinsoku/>
        <w:wordWrap/>
        <w:overflowPunct/>
        <w:topLinePunct w:val="0"/>
        <w:autoSpaceDE/>
        <w:autoSpaceDN/>
        <w:bidi w:val="0"/>
        <w:adjustRightInd/>
        <w:snapToGrid/>
        <w:spacing w:line="540" w:lineRule="exact"/>
        <w:textAlignment w:val="auto"/>
      </w:pPr>
      <w:bookmarkStart w:id="227" w:name="_Toc23145_WPSOffice_Level2"/>
      <w:r>
        <w:rPr>
          <w:rFonts w:hint="eastAsia"/>
        </w:rPr>
        <w:t>（三）未按规定进行维护保养、自行检查和定期检验。</w:t>
      </w:r>
      <w:bookmarkEnd w:id="227"/>
    </w:p>
    <w:p>
      <w:pPr>
        <w:keepNext w:val="0"/>
        <w:keepLines w:val="0"/>
        <w:pageBreakBefore w:val="0"/>
        <w:widowControl w:val="0"/>
        <w:kinsoku/>
        <w:wordWrap/>
        <w:overflowPunct/>
        <w:topLinePunct w:val="0"/>
        <w:autoSpaceDE/>
        <w:autoSpaceDN/>
        <w:bidi w:val="0"/>
        <w:adjustRightInd/>
        <w:snapToGrid/>
        <w:spacing w:line="540" w:lineRule="exact"/>
        <w:textAlignment w:val="auto"/>
      </w:pPr>
      <w:r>
        <w:rPr>
          <w:rFonts w:hint="eastAsia"/>
        </w:rPr>
        <w:t>第六条 安全附件、安全保护装置和相关附属设施类风险至少包括以下内容：</w:t>
      </w:r>
    </w:p>
    <w:p>
      <w:pPr>
        <w:keepNext w:val="0"/>
        <w:keepLines w:val="0"/>
        <w:pageBreakBefore w:val="0"/>
        <w:widowControl w:val="0"/>
        <w:kinsoku/>
        <w:wordWrap/>
        <w:overflowPunct/>
        <w:topLinePunct w:val="0"/>
        <w:autoSpaceDE/>
        <w:autoSpaceDN/>
        <w:bidi w:val="0"/>
        <w:adjustRightInd/>
        <w:snapToGrid/>
        <w:spacing w:line="540" w:lineRule="exact"/>
        <w:textAlignment w:val="auto"/>
      </w:pPr>
      <w:r>
        <w:rPr>
          <w:rFonts w:hint="eastAsia"/>
        </w:rPr>
        <w:t>（一）未将安全使用说明、安全注意事项、警示标志和乘客须知置于易于为乘客注意的显著位置；</w:t>
      </w:r>
    </w:p>
    <w:p>
      <w:pPr>
        <w:keepNext w:val="0"/>
        <w:keepLines w:val="0"/>
        <w:pageBreakBefore w:val="0"/>
        <w:widowControl w:val="0"/>
        <w:kinsoku/>
        <w:wordWrap/>
        <w:overflowPunct/>
        <w:topLinePunct w:val="0"/>
        <w:autoSpaceDE/>
        <w:autoSpaceDN/>
        <w:bidi w:val="0"/>
        <w:adjustRightInd/>
        <w:snapToGrid/>
        <w:spacing w:line="540" w:lineRule="exact"/>
        <w:textAlignment w:val="auto"/>
      </w:pPr>
      <w:r>
        <w:rPr>
          <w:rFonts w:hint="eastAsia"/>
        </w:rPr>
        <w:t>（二）安全保护装置不齐全或失效；</w:t>
      </w:r>
    </w:p>
    <w:p>
      <w:pPr>
        <w:keepNext w:val="0"/>
        <w:keepLines w:val="0"/>
        <w:pageBreakBefore w:val="0"/>
        <w:widowControl w:val="0"/>
        <w:kinsoku/>
        <w:wordWrap/>
        <w:overflowPunct/>
        <w:topLinePunct w:val="0"/>
        <w:autoSpaceDE/>
        <w:autoSpaceDN/>
        <w:bidi w:val="0"/>
        <w:adjustRightInd/>
        <w:snapToGrid/>
        <w:spacing w:line="540" w:lineRule="exact"/>
        <w:textAlignment w:val="auto"/>
      </w:pPr>
      <w:r>
        <w:rPr>
          <w:rFonts w:hint="eastAsia"/>
        </w:rPr>
        <w:t>（三）紧急驱动装置、避雷设施、风速风向仪、通讯设施、救护设备及专用救援通道、安全通道、消防设施、隔离栏杆和活动门栏、站台防滑设施等相关附属设施未配备或不能正常使用。</w:t>
      </w:r>
    </w:p>
    <w:p>
      <w:pPr>
        <w:keepNext w:val="0"/>
        <w:keepLines w:val="0"/>
        <w:pageBreakBefore w:val="0"/>
        <w:widowControl w:val="0"/>
        <w:kinsoku/>
        <w:wordWrap/>
        <w:overflowPunct/>
        <w:topLinePunct w:val="0"/>
        <w:autoSpaceDE/>
        <w:autoSpaceDN/>
        <w:bidi w:val="0"/>
        <w:adjustRightInd/>
        <w:snapToGrid/>
        <w:spacing w:line="540" w:lineRule="exact"/>
        <w:textAlignment w:val="auto"/>
      </w:pPr>
      <w:r>
        <w:rPr>
          <w:rFonts w:hint="eastAsia"/>
        </w:rPr>
        <w:t>第七条 环境类风险至少包括以下内容：</w:t>
      </w:r>
    </w:p>
    <w:p>
      <w:pPr>
        <w:keepNext w:val="0"/>
        <w:keepLines w:val="0"/>
        <w:pageBreakBefore w:val="0"/>
        <w:widowControl w:val="0"/>
        <w:kinsoku/>
        <w:wordWrap/>
        <w:overflowPunct/>
        <w:topLinePunct w:val="0"/>
        <w:autoSpaceDE/>
        <w:autoSpaceDN/>
        <w:bidi w:val="0"/>
        <w:adjustRightInd/>
        <w:snapToGrid/>
        <w:spacing w:line="540" w:lineRule="exact"/>
        <w:textAlignment w:val="auto"/>
      </w:pPr>
      <w:r>
        <w:rPr>
          <w:rFonts w:hint="eastAsia"/>
        </w:rPr>
        <w:t>（一）客运索道线路和站址建在下列地区：山地风口，并与主导风向正交的地段上；</w:t>
      </w:r>
    </w:p>
    <w:p>
      <w:pPr>
        <w:keepNext w:val="0"/>
        <w:keepLines w:val="0"/>
        <w:pageBreakBefore w:val="0"/>
        <w:widowControl w:val="0"/>
        <w:kinsoku/>
        <w:wordWrap/>
        <w:overflowPunct/>
        <w:topLinePunct w:val="0"/>
        <w:autoSpaceDE/>
        <w:autoSpaceDN/>
        <w:bidi w:val="0"/>
        <w:adjustRightInd/>
        <w:snapToGrid/>
        <w:spacing w:line="540" w:lineRule="exact"/>
        <w:textAlignment w:val="auto"/>
      </w:pPr>
      <w:r>
        <w:rPr>
          <w:rFonts w:hint="eastAsia"/>
        </w:rPr>
        <w:t>（二）客运索道线路与平行和交叉设施位置关系不符合相关规定要求；</w:t>
      </w:r>
    </w:p>
    <w:p>
      <w:pPr>
        <w:keepNext w:val="0"/>
        <w:keepLines w:val="0"/>
        <w:pageBreakBefore w:val="0"/>
        <w:widowControl w:val="0"/>
        <w:kinsoku/>
        <w:wordWrap/>
        <w:overflowPunct/>
        <w:topLinePunct w:val="0"/>
        <w:autoSpaceDE/>
        <w:autoSpaceDN/>
        <w:bidi w:val="0"/>
        <w:adjustRightInd/>
        <w:snapToGrid/>
        <w:spacing w:line="540" w:lineRule="exact"/>
        <w:textAlignment w:val="auto"/>
      </w:pPr>
      <w:r>
        <w:rPr>
          <w:rFonts w:hint="eastAsia"/>
        </w:rPr>
        <w:t>（三）有雪崩、滑坡、塌方、溶洞、风暴、海啸、洪水、火灾等危及索道安全的地区，未经过主管部门批准并采取预防措施的；</w:t>
      </w:r>
    </w:p>
    <w:p>
      <w:pPr>
        <w:keepNext w:val="0"/>
        <w:keepLines w:val="0"/>
        <w:pageBreakBefore w:val="0"/>
        <w:widowControl w:val="0"/>
        <w:kinsoku/>
        <w:wordWrap/>
        <w:overflowPunct/>
        <w:topLinePunct w:val="0"/>
        <w:autoSpaceDE/>
        <w:autoSpaceDN/>
        <w:bidi w:val="0"/>
        <w:adjustRightInd/>
        <w:snapToGrid/>
        <w:spacing w:line="540" w:lineRule="exact"/>
        <w:textAlignment w:val="auto"/>
      </w:pPr>
      <w:r>
        <w:rPr>
          <w:rFonts w:hint="eastAsia"/>
        </w:rPr>
        <w:t>（四）客运索道存在运行过程中，设备与岩石、树木碰撞的风险。</w:t>
      </w:r>
    </w:p>
    <w:p>
      <w:pPr>
        <w:keepNext w:val="0"/>
        <w:keepLines w:val="0"/>
        <w:pageBreakBefore w:val="0"/>
        <w:widowControl w:val="0"/>
        <w:kinsoku/>
        <w:wordWrap/>
        <w:overflowPunct/>
        <w:topLinePunct w:val="0"/>
        <w:autoSpaceDE/>
        <w:autoSpaceDN/>
        <w:bidi w:val="0"/>
        <w:adjustRightInd/>
        <w:snapToGrid/>
        <w:spacing w:line="540" w:lineRule="exact"/>
        <w:textAlignment w:val="auto"/>
      </w:pPr>
      <w:r>
        <w:rPr>
          <w:rFonts w:hint="eastAsia"/>
        </w:rPr>
        <w:t>第八条 其他来自政府监管部门的监督、通报、预警，投诉举报和舆情信息等动态风险。</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rPr>
      </w:pPr>
      <w:r>
        <w:rPr>
          <w:rFonts w:hint="eastAsia"/>
        </w:rPr>
        <w:t>第九条 本单位根据上述规定制定了《客运索道安全风险管控清单》（例表见附录B7），当风险指标发生变化时，需对清单及时进行调整。</w:t>
      </w:r>
    </w:p>
    <w:p>
      <w:pPr>
        <w:rPr>
          <w:rFonts w:hint="eastAsia"/>
        </w:rPr>
      </w:pPr>
      <w:r>
        <w:rPr>
          <w:rFonts w:hint="eastAsia"/>
        </w:rPr>
        <w:br w:type="page"/>
      </w:r>
    </w:p>
    <w:p>
      <w:pPr>
        <w:pStyle w:val="4"/>
        <w:bidi w:val="0"/>
      </w:pPr>
      <w:bookmarkStart w:id="228" w:name="_Toc11222_WPSOffice_Level2"/>
      <w:bookmarkStart w:id="229" w:name="_Toc11674"/>
      <w:bookmarkStart w:id="230" w:name="_Toc23888"/>
      <w:bookmarkStart w:id="231" w:name="_Toc8766"/>
      <w:bookmarkStart w:id="232" w:name="_Toc19916"/>
      <w:r>
        <w:rPr>
          <w:rFonts w:hint="eastAsia"/>
        </w:rPr>
        <w:t>大型游乐设施安全风险管控清单</w:t>
      </w:r>
      <w:bookmarkEnd w:id="228"/>
      <w:bookmarkEnd w:id="229"/>
      <w:bookmarkEnd w:id="230"/>
      <w:bookmarkEnd w:id="231"/>
      <w:bookmarkEnd w:id="232"/>
    </w:p>
    <w:p>
      <w:pPr>
        <w:bidi w:val="0"/>
      </w:pPr>
      <w:r>
        <w:rPr>
          <w:rFonts w:hint="eastAsia"/>
        </w:rPr>
        <w:t>第一条 为建立并落实大型游乐设施使用单位安全主体责任的长效机制，建立健全日管控、周排查、月调度工作制度，结合本单位实际情况，制定本清单。</w:t>
      </w:r>
    </w:p>
    <w:p>
      <w:pPr>
        <w:bidi w:val="0"/>
      </w:pPr>
      <w:r>
        <w:rPr>
          <w:rFonts w:hint="eastAsia"/>
        </w:rPr>
        <w:t>第二条 本单位风险管控清单按照大型游乐设施使用中存在可能导致事故发生的设备的不安全状态、人的不安全行为、管理和环境上的缺陷4个类别及动态风险进行划分。</w:t>
      </w:r>
    </w:p>
    <w:p>
      <w:pPr>
        <w:bidi w:val="0"/>
      </w:pPr>
      <w:r>
        <w:rPr>
          <w:rFonts w:hint="eastAsia"/>
        </w:rPr>
        <w:t>第三条 人员类风险至少包括以下几个方面：</w:t>
      </w:r>
    </w:p>
    <w:p>
      <w:pPr>
        <w:bidi w:val="0"/>
      </w:pPr>
      <w:r>
        <w:rPr>
          <w:rFonts w:hint="eastAsia"/>
        </w:rPr>
        <w:t>（一）未按规定配备安全管理人员和作业人员或者未按规定持有相应证件；</w:t>
      </w:r>
    </w:p>
    <w:p>
      <w:pPr>
        <w:bidi w:val="0"/>
      </w:pPr>
      <w:r>
        <w:rPr>
          <w:rFonts w:hint="eastAsia"/>
        </w:rPr>
        <w:t>（二）未按规定对安全管理人员和作业人员开展安全教育培训；</w:t>
      </w:r>
    </w:p>
    <w:p>
      <w:pPr>
        <w:bidi w:val="0"/>
      </w:pPr>
      <w:r>
        <w:rPr>
          <w:rFonts w:hint="eastAsia"/>
        </w:rPr>
        <w:t>（三）未严格遵循操作规程进行作业。</w:t>
      </w:r>
    </w:p>
    <w:p>
      <w:pPr>
        <w:bidi w:val="0"/>
      </w:pPr>
      <w:r>
        <w:rPr>
          <w:rFonts w:hint="eastAsia"/>
        </w:rPr>
        <w:t>第四条 管理类风险至少包括以下几个方面：</w:t>
      </w:r>
    </w:p>
    <w:p>
      <w:pPr>
        <w:bidi w:val="0"/>
      </w:pPr>
      <w:bookmarkStart w:id="233" w:name="_Toc10071_WPSOffice_Level2"/>
      <w:r>
        <w:rPr>
          <w:rFonts w:hint="eastAsia"/>
        </w:rPr>
        <w:t>（一）未按有关规定设置安全管理机构；</w:t>
      </w:r>
      <w:bookmarkEnd w:id="233"/>
    </w:p>
    <w:p>
      <w:pPr>
        <w:bidi w:val="0"/>
      </w:pPr>
      <w:bookmarkStart w:id="234" w:name="_Toc23468_WPSOffice_Level2"/>
      <w:r>
        <w:rPr>
          <w:rFonts w:hint="eastAsia"/>
        </w:rPr>
        <w:t>（二）未按有关规定制定操作规程或者未按规定执行操作规程；</w:t>
      </w:r>
      <w:bookmarkEnd w:id="234"/>
    </w:p>
    <w:p>
      <w:pPr>
        <w:bidi w:val="0"/>
      </w:pPr>
      <w:bookmarkStart w:id="235" w:name="_Toc10131_WPSOffice_Level2"/>
      <w:r>
        <w:rPr>
          <w:rFonts w:hint="eastAsia"/>
        </w:rPr>
        <w:t>（三）未按有关规定建立安全技术档案；</w:t>
      </w:r>
      <w:bookmarkEnd w:id="235"/>
    </w:p>
    <w:p>
      <w:pPr>
        <w:bidi w:val="0"/>
      </w:pPr>
      <w:bookmarkStart w:id="236" w:name="_Toc12506_WPSOffice_Level2"/>
      <w:r>
        <w:rPr>
          <w:rFonts w:hint="eastAsia"/>
        </w:rPr>
        <w:t>（四）未按有关规定建立健全相关记录档案；</w:t>
      </w:r>
      <w:bookmarkEnd w:id="236"/>
    </w:p>
    <w:p>
      <w:pPr>
        <w:bidi w:val="0"/>
      </w:pPr>
      <w:bookmarkStart w:id="237" w:name="_Toc5887_WPSOffice_Level2"/>
      <w:r>
        <w:rPr>
          <w:rFonts w:hint="eastAsia"/>
        </w:rPr>
        <w:t>（五）未按有关规定及时办理使用登记；</w:t>
      </w:r>
      <w:bookmarkEnd w:id="237"/>
    </w:p>
    <w:p>
      <w:pPr>
        <w:bidi w:val="0"/>
      </w:pPr>
      <w:bookmarkStart w:id="238" w:name="_Toc17369_WPSOffice_Level2"/>
      <w:r>
        <w:rPr>
          <w:rFonts w:hint="eastAsia"/>
        </w:rPr>
        <w:t>（六）未按有关规定开展应急救援演练。</w:t>
      </w:r>
      <w:bookmarkEnd w:id="238"/>
    </w:p>
    <w:p>
      <w:pPr>
        <w:bidi w:val="0"/>
      </w:pPr>
      <w:r>
        <w:rPr>
          <w:rFonts w:hint="eastAsia"/>
        </w:rPr>
        <w:t>第五条 设备类风险至少包括以下几个方面：</w:t>
      </w:r>
    </w:p>
    <w:p>
      <w:pPr>
        <w:bidi w:val="0"/>
      </w:pPr>
      <w:r>
        <w:rPr>
          <w:rFonts w:hint="eastAsia"/>
        </w:rPr>
        <w:t>（一）未按要求使用符合要求的大型游乐设施或使用国家明令禁止的大型游乐设施；</w:t>
      </w:r>
    </w:p>
    <w:p>
      <w:pPr>
        <w:bidi w:val="0"/>
      </w:pPr>
      <w:r>
        <w:rPr>
          <w:rFonts w:hint="eastAsia"/>
        </w:rPr>
        <w:t>（二）大型游乐设施未经检验合格，并在有效期内；</w:t>
      </w:r>
    </w:p>
    <w:p>
      <w:pPr>
        <w:bidi w:val="0"/>
      </w:pPr>
      <w:r>
        <w:rPr>
          <w:rFonts w:hint="eastAsia"/>
        </w:rPr>
        <w:t>（三）大型游乐设施未依据使用说明书进行维护保养；</w:t>
      </w:r>
    </w:p>
    <w:p>
      <w:pPr>
        <w:bidi w:val="0"/>
      </w:pPr>
      <w:r>
        <w:rPr>
          <w:rFonts w:hint="eastAsia"/>
        </w:rPr>
        <w:t>（四）超设计使用年限的大型游乐设施未经安全评估，并检验合格（使用管理规定）；</w:t>
      </w:r>
    </w:p>
    <w:p>
      <w:pPr>
        <w:bidi w:val="0"/>
      </w:pPr>
      <w:r>
        <w:rPr>
          <w:rFonts w:hint="eastAsia"/>
        </w:rPr>
        <w:t>（五）其他可能导致风险隐患的情况。</w:t>
      </w:r>
    </w:p>
    <w:p>
      <w:pPr>
        <w:bidi w:val="0"/>
      </w:pPr>
      <w:r>
        <w:rPr>
          <w:rFonts w:hint="eastAsia"/>
        </w:rPr>
        <w:t>第六条 安全附件和安全保护装置类风险至少包括以下内容：</w:t>
      </w:r>
    </w:p>
    <w:p>
      <w:pPr>
        <w:bidi w:val="0"/>
      </w:pPr>
      <w:r>
        <w:rPr>
          <w:rFonts w:hint="eastAsia"/>
        </w:rPr>
        <w:t xml:space="preserve">（一）大型游乐设施的安全保护装置、附属设施是否齐全、有效；； </w:t>
      </w:r>
    </w:p>
    <w:p>
      <w:pPr>
        <w:bidi w:val="0"/>
      </w:pPr>
      <w:r>
        <w:rPr>
          <w:rFonts w:hint="eastAsia"/>
        </w:rPr>
        <w:t>（二）未排查大游乐设施主要受力结构件、驱动系统、控制系统、乘人设施等重点部位的缺损。</w:t>
      </w:r>
    </w:p>
    <w:p>
      <w:pPr>
        <w:bidi w:val="0"/>
      </w:pPr>
      <w:r>
        <w:rPr>
          <w:rFonts w:hint="eastAsia"/>
        </w:rPr>
        <w:t>第七条 环境类风险至少包括以下内容：</w:t>
      </w:r>
    </w:p>
    <w:p>
      <w:pPr>
        <w:bidi w:val="0"/>
      </w:pPr>
      <w:r>
        <w:rPr>
          <w:rFonts w:hint="eastAsia"/>
        </w:rPr>
        <w:t>（一）大型游乐设施使用场所为易发生滑坡、泥石流等自然灾害的区域；</w:t>
      </w:r>
    </w:p>
    <w:p>
      <w:pPr>
        <w:bidi w:val="0"/>
      </w:pPr>
      <w:r>
        <w:rPr>
          <w:rFonts w:hint="eastAsia"/>
        </w:rPr>
        <w:t>（二）大型游乐设施未按有关规定设置警示标志或说明；</w:t>
      </w:r>
    </w:p>
    <w:p>
      <w:pPr>
        <w:bidi w:val="0"/>
      </w:pPr>
      <w:r>
        <w:rPr>
          <w:rFonts w:hint="eastAsia"/>
        </w:rPr>
        <w:t>（三）大型游乐设施运行存在不符合安全距离等要求的情况。</w:t>
      </w:r>
    </w:p>
    <w:p>
      <w:pPr>
        <w:bidi w:val="0"/>
      </w:pPr>
      <w:r>
        <w:rPr>
          <w:rFonts w:hint="eastAsia"/>
        </w:rPr>
        <w:t>第八条 其他来自政府监管部门的监督、通报、预警，投诉举报和舆情信息等动态风险。</w:t>
      </w:r>
    </w:p>
    <w:p>
      <w:pPr>
        <w:bidi w:val="0"/>
        <w:rPr>
          <w:rFonts w:ascii="Times New Roman" w:hAnsi="Times New Roman" w:eastAsia="仿宋_GB2312" w:cs="仿宋"/>
          <w:szCs w:val="32"/>
        </w:rPr>
      </w:pPr>
      <w:r>
        <w:rPr>
          <w:rFonts w:hint="eastAsia"/>
        </w:rPr>
        <w:t>第九条 本单位根据上述规定制定了《大型游乐设施安全风险管控清单》（例表见附录B8），当大型游乐设施类别、型号等发生改变可能导致风险指标产生变化时，需对清单及时进行调整。</w:t>
      </w:r>
    </w:p>
    <w:p>
      <w:pPr>
        <w:rPr>
          <w:rFonts w:hint="eastAsia" w:ascii="Times New Roman" w:hAnsi="Times New Roman" w:eastAsia="仿宋_GB2312" w:cs="仿宋"/>
          <w:b/>
          <w:bCs/>
          <w:sz w:val="44"/>
          <w:szCs w:val="44"/>
        </w:rPr>
      </w:pPr>
      <w:r>
        <w:rPr>
          <w:rFonts w:hint="eastAsia" w:ascii="Times New Roman" w:hAnsi="Times New Roman" w:eastAsia="仿宋_GB2312" w:cs="仿宋"/>
          <w:b/>
          <w:bCs/>
          <w:sz w:val="44"/>
          <w:szCs w:val="44"/>
        </w:rPr>
        <w:br w:type="page"/>
      </w:r>
    </w:p>
    <w:p>
      <w:pPr>
        <w:pStyle w:val="4"/>
        <w:bidi w:val="0"/>
      </w:pPr>
      <w:bookmarkStart w:id="239" w:name="_Toc12255_WPSOffice_Level2"/>
      <w:bookmarkStart w:id="240" w:name="_Toc32722"/>
      <w:bookmarkStart w:id="241" w:name="_Toc3934"/>
      <w:bookmarkStart w:id="242" w:name="_Toc31371"/>
      <w:bookmarkStart w:id="243" w:name="_Toc24276"/>
      <w:r>
        <w:rPr>
          <w:rFonts w:hint="eastAsia"/>
        </w:rPr>
        <w:t>场车安全风险管控清单</w:t>
      </w:r>
      <w:bookmarkEnd w:id="239"/>
      <w:bookmarkEnd w:id="240"/>
      <w:bookmarkEnd w:id="241"/>
      <w:bookmarkEnd w:id="242"/>
      <w:bookmarkEnd w:id="243"/>
    </w:p>
    <w:p>
      <w:pPr>
        <w:keepNext w:val="0"/>
        <w:keepLines w:val="0"/>
        <w:pageBreakBefore w:val="0"/>
        <w:widowControl w:val="0"/>
        <w:kinsoku/>
        <w:wordWrap/>
        <w:overflowPunct/>
        <w:topLinePunct w:val="0"/>
        <w:autoSpaceDE/>
        <w:autoSpaceDN/>
        <w:bidi w:val="0"/>
        <w:adjustRightInd/>
        <w:snapToGrid/>
        <w:spacing w:line="560" w:lineRule="exact"/>
        <w:textAlignment w:val="auto"/>
      </w:pPr>
      <w:r>
        <w:rPr>
          <w:rFonts w:hint="eastAsia"/>
        </w:rPr>
        <w:t>第一条 为建立并落实场车使用安全主体责任的长效机制，建立健全日管控、周排查、月调度工作制度，结合本单位实际情况，制定本清单。</w:t>
      </w:r>
    </w:p>
    <w:p>
      <w:pPr>
        <w:keepNext w:val="0"/>
        <w:keepLines w:val="0"/>
        <w:pageBreakBefore w:val="0"/>
        <w:widowControl w:val="0"/>
        <w:kinsoku/>
        <w:wordWrap/>
        <w:overflowPunct/>
        <w:topLinePunct w:val="0"/>
        <w:autoSpaceDE/>
        <w:autoSpaceDN/>
        <w:bidi w:val="0"/>
        <w:adjustRightInd/>
        <w:snapToGrid/>
        <w:spacing w:line="560" w:lineRule="exact"/>
        <w:textAlignment w:val="auto"/>
      </w:pPr>
      <w:r>
        <w:rPr>
          <w:rFonts w:hint="eastAsia"/>
        </w:rPr>
        <w:t>第二条 本单位风险管控清单按照场车使用中存在可能导致事故发生的设备的不安全状态、人的不安全行为、管理和环境上的缺陷等4个类别及动态风险进行划分。</w:t>
      </w:r>
    </w:p>
    <w:p>
      <w:pPr>
        <w:keepNext w:val="0"/>
        <w:keepLines w:val="0"/>
        <w:pageBreakBefore w:val="0"/>
        <w:widowControl w:val="0"/>
        <w:kinsoku/>
        <w:wordWrap/>
        <w:overflowPunct/>
        <w:topLinePunct w:val="0"/>
        <w:autoSpaceDE/>
        <w:autoSpaceDN/>
        <w:bidi w:val="0"/>
        <w:adjustRightInd/>
        <w:snapToGrid/>
        <w:spacing w:line="560" w:lineRule="exact"/>
        <w:textAlignment w:val="auto"/>
      </w:pPr>
      <w:r>
        <w:rPr>
          <w:rFonts w:hint="eastAsia"/>
        </w:rPr>
        <w:t>第三条 人员类风险至少包括以下几个方面：</w:t>
      </w:r>
    </w:p>
    <w:p>
      <w:pPr>
        <w:keepNext w:val="0"/>
        <w:keepLines w:val="0"/>
        <w:pageBreakBefore w:val="0"/>
        <w:widowControl w:val="0"/>
        <w:kinsoku/>
        <w:wordWrap/>
        <w:overflowPunct/>
        <w:topLinePunct w:val="0"/>
        <w:autoSpaceDE/>
        <w:autoSpaceDN/>
        <w:bidi w:val="0"/>
        <w:adjustRightInd/>
        <w:snapToGrid/>
        <w:spacing w:line="560" w:lineRule="exact"/>
        <w:textAlignment w:val="auto"/>
      </w:pPr>
      <w:r>
        <w:rPr>
          <w:rFonts w:hint="eastAsia"/>
        </w:rPr>
        <w:t>（一）未按有关规定配备安全管理人员和作业人员或者未按规定持有相应证件；</w:t>
      </w:r>
    </w:p>
    <w:p>
      <w:pPr>
        <w:keepNext w:val="0"/>
        <w:keepLines w:val="0"/>
        <w:pageBreakBefore w:val="0"/>
        <w:widowControl w:val="0"/>
        <w:kinsoku/>
        <w:wordWrap/>
        <w:overflowPunct/>
        <w:topLinePunct w:val="0"/>
        <w:autoSpaceDE/>
        <w:autoSpaceDN/>
        <w:bidi w:val="0"/>
        <w:adjustRightInd/>
        <w:snapToGrid/>
        <w:spacing w:line="560" w:lineRule="exact"/>
        <w:textAlignment w:val="auto"/>
      </w:pPr>
      <w:r>
        <w:rPr>
          <w:rFonts w:hint="eastAsia"/>
        </w:rPr>
        <w:t>（二）未按有关规定对安全管理人员和作业人员开展安全教育培训。</w:t>
      </w:r>
    </w:p>
    <w:p>
      <w:pPr>
        <w:keepNext w:val="0"/>
        <w:keepLines w:val="0"/>
        <w:pageBreakBefore w:val="0"/>
        <w:widowControl w:val="0"/>
        <w:kinsoku/>
        <w:wordWrap/>
        <w:overflowPunct/>
        <w:topLinePunct w:val="0"/>
        <w:autoSpaceDE/>
        <w:autoSpaceDN/>
        <w:bidi w:val="0"/>
        <w:adjustRightInd/>
        <w:snapToGrid/>
        <w:spacing w:line="560" w:lineRule="exact"/>
        <w:textAlignment w:val="auto"/>
      </w:pPr>
      <w:r>
        <w:rPr>
          <w:rFonts w:hint="eastAsia"/>
        </w:rPr>
        <w:t>第四条 管理类风险至少包括以下几个方面：</w:t>
      </w:r>
    </w:p>
    <w:p>
      <w:pPr>
        <w:keepNext w:val="0"/>
        <w:keepLines w:val="0"/>
        <w:pageBreakBefore w:val="0"/>
        <w:widowControl w:val="0"/>
        <w:kinsoku/>
        <w:wordWrap/>
        <w:overflowPunct/>
        <w:topLinePunct w:val="0"/>
        <w:autoSpaceDE/>
        <w:autoSpaceDN/>
        <w:bidi w:val="0"/>
        <w:adjustRightInd/>
        <w:snapToGrid/>
        <w:spacing w:line="560" w:lineRule="exact"/>
        <w:textAlignment w:val="auto"/>
      </w:pPr>
      <w:bookmarkStart w:id="244" w:name="_Toc8896_WPSOffice_Level2"/>
      <w:r>
        <w:rPr>
          <w:rFonts w:hint="eastAsia"/>
        </w:rPr>
        <w:t>（一）未按有关规定设置安全管理机构；</w:t>
      </w:r>
      <w:bookmarkEnd w:id="244"/>
    </w:p>
    <w:p>
      <w:pPr>
        <w:keepNext w:val="0"/>
        <w:keepLines w:val="0"/>
        <w:pageBreakBefore w:val="0"/>
        <w:widowControl w:val="0"/>
        <w:kinsoku/>
        <w:wordWrap/>
        <w:overflowPunct/>
        <w:topLinePunct w:val="0"/>
        <w:autoSpaceDE/>
        <w:autoSpaceDN/>
        <w:bidi w:val="0"/>
        <w:adjustRightInd/>
        <w:snapToGrid/>
        <w:spacing w:line="560" w:lineRule="exact"/>
        <w:textAlignment w:val="auto"/>
      </w:pPr>
      <w:bookmarkStart w:id="245" w:name="_Toc14640_WPSOffice_Level2"/>
      <w:r>
        <w:rPr>
          <w:rFonts w:hint="eastAsia"/>
        </w:rPr>
        <w:t>（二）未按有关规定制定操作规程或者未按规定执行操作规程；</w:t>
      </w:r>
      <w:bookmarkEnd w:id="245"/>
    </w:p>
    <w:p>
      <w:pPr>
        <w:keepNext w:val="0"/>
        <w:keepLines w:val="0"/>
        <w:pageBreakBefore w:val="0"/>
        <w:widowControl w:val="0"/>
        <w:kinsoku/>
        <w:wordWrap/>
        <w:overflowPunct/>
        <w:topLinePunct w:val="0"/>
        <w:autoSpaceDE/>
        <w:autoSpaceDN/>
        <w:bidi w:val="0"/>
        <w:adjustRightInd/>
        <w:snapToGrid/>
        <w:spacing w:line="560" w:lineRule="exact"/>
        <w:textAlignment w:val="auto"/>
      </w:pPr>
      <w:bookmarkStart w:id="246" w:name="_Toc11479_WPSOffice_Level2"/>
      <w:r>
        <w:rPr>
          <w:rFonts w:hint="eastAsia"/>
        </w:rPr>
        <w:t>（三）未按有关规定建立安全技术档案；</w:t>
      </w:r>
      <w:bookmarkEnd w:id="246"/>
    </w:p>
    <w:p>
      <w:pPr>
        <w:keepNext w:val="0"/>
        <w:keepLines w:val="0"/>
        <w:pageBreakBefore w:val="0"/>
        <w:widowControl w:val="0"/>
        <w:kinsoku/>
        <w:wordWrap/>
        <w:overflowPunct/>
        <w:topLinePunct w:val="0"/>
        <w:autoSpaceDE/>
        <w:autoSpaceDN/>
        <w:bidi w:val="0"/>
        <w:adjustRightInd/>
        <w:snapToGrid/>
        <w:spacing w:line="560" w:lineRule="exact"/>
        <w:textAlignment w:val="auto"/>
      </w:pPr>
      <w:bookmarkStart w:id="247" w:name="_Toc24687_WPSOffice_Level2"/>
      <w:r>
        <w:rPr>
          <w:rFonts w:hint="eastAsia"/>
        </w:rPr>
        <w:t>（四）未按有关规定建立健全相关记录档案；</w:t>
      </w:r>
      <w:bookmarkEnd w:id="247"/>
    </w:p>
    <w:p>
      <w:pPr>
        <w:keepNext w:val="0"/>
        <w:keepLines w:val="0"/>
        <w:pageBreakBefore w:val="0"/>
        <w:widowControl w:val="0"/>
        <w:kinsoku/>
        <w:wordWrap/>
        <w:overflowPunct/>
        <w:topLinePunct w:val="0"/>
        <w:autoSpaceDE/>
        <w:autoSpaceDN/>
        <w:bidi w:val="0"/>
        <w:adjustRightInd/>
        <w:snapToGrid/>
        <w:spacing w:line="560" w:lineRule="exact"/>
        <w:textAlignment w:val="auto"/>
      </w:pPr>
      <w:bookmarkStart w:id="248" w:name="_Toc16301_WPSOffice_Level2"/>
      <w:r>
        <w:rPr>
          <w:rFonts w:hint="eastAsia"/>
        </w:rPr>
        <w:t>（五）未按有关规定及时办理使用登记和变更登记；</w:t>
      </w:r>
      <w:bookmarkEnd w:id="248"/>
    </w:p>
    <w:p>
      <w:pPr>
        <w:keepNext w:val="0"/>
        <w:keepLines w:val="0"/>
        <w:pageBreakBefore w:val="0"/>
        <w:widowControl w:val="0"/>
        <w:kinsoku/>
        <w:wordWrap/>
        <w:overflowPunct/>
        <w:topLinePunct w:val="0"/>
        <w:autoSpaceDE/>
        <w:autoSpaceDN/>
        <w:bidi w:val="0"/>
        <w:adjustRightInd/>
        <w:snapToGrid/>
        <w:spacing w:line="560" w:lineRule="exact"/>
        <w:textAlignment w:val="auto"/>
      </w:pPr>
      <w:bookmarkStart w:id="249" w:name="_Toc719_WPSOffice_Level2"/>
      <w:r>
        <w:rPr>
          <w:rFonts w:hint="eastAsia"/>
        </w:rPr>
        <w:t>（六）未按有关规定开展应急救援演练。</w:t>
      </w:r>
      <w:bookmarkEnd w:id="249"/>
    </w:p>
    <w:p>
      <w:pPr>
        <w:keepNext w:val="0"/>
        <w:keepLines w:val="0"/>
        <w:pageBreakBefore w:val="0"/>
        <w:widowControl w:val="0"/>
        <w:kinsoku/>
        <w:wordWrap/>
        <w:overflowPunct/>
        <w:topLinePunct w:val="0"/>
        <w:autoSpaceDE/>
        <w:autoSpaceDN/>
        <w:bidi w:val="0"/>
        <w:adjustRightInd/>
        <w:snapToGrid/>
        <w:spacing w:line="560" w:lineRule="exact"/>
        <w:textAlignment w:val="auto"/>
      </w:pPr>
      <w:r>
        <w:rPr>
          <w:rFonts w:hint="eastAsia"/>
        </w:rPr>
        <w:t>第五条 设备类风险至少包括以下几个方面：</w:t>
      </w:r>
    </w:p>
    <w:p>
      <w:pPr>
        <w:keepNext w:val="0"/>
        <w:keepLines w:val="0"/>
        <w:pageBreakBefore w:val="0"/>
        <w:widowControl w:val="0"/>
        <w:kinsoku/>
        <w:wordWrap/>
        <w:overflowPunct/>
        <w:topLinePunct w:val="0"/>
        <w:autoSpaceDE/>
        <w:autoSpaceDN/>
        <w:bidi w:val="0"/>
        <w:adjustRightInd/>
        <w:snapToGrid/>
        <w:spacing w:line="560" w:lineRule="exact"/>
        <w:textAlignment w:val="auto"/>
      </w:pPr>
      <w:r>
        <w:rPr>
          <w:rFonts w:hint="eastAsia"/>
        </w:rPr>
        <w:t>（一）未按要求使用符合要求的特种设备或使用国家明令禁止的场车；</w:t>
      </w:r>
    </w:p>
    <w:p>
      <w:pPr>
        <w:keepNext w:val="0"/>
        <w:keepLines w:val="0"/>
        <w:pageBreakBefore w:val="0"/>
        <w:widowControl w:val="0"/>
        <w:kinsoku/>
        <w:wordWrap/>
        <w:overflowPunct/>
        <w:topLinePunct w:val="0"/>
        <w:autoSpaceDE/>
        <w:autoSpaceDN/>
        <w:bidi w:val="0"/>
        <w:adjustRightInd/>
        <w:snapToGrid/>
        <w:spacing w:line="560" w:lineRule="exact"/>
        <w:textAlignment w:val="auto"/>
      </w:pPr>
      <w:r>
        <w:rPr>
          <w:rFonts w:hint="eastAsia"/>
        </w:rPr>
        <w:t>（二）未按有关安全技术规范要求安排首次检验、定期检验，设备超期为未检验；</w:t>
      </w:r>
    </w:p>
    <w:p>
      <w:pPr>
        <w:keepNext w:val="0"/>
        <w:keepLines w:val="0"/>
        <w:pageBreakBefore w:val="0"/>
        <w:widowControl w:val="0"/>
        <w:kinsoku/>
        <w:wordWrap/>
        <w:overflowPunct/>
        <w:topLinePunct w:val="0"/>
        <w:autoSpaceDE/>
        <w:autoSpaceDN/>
        <w:bidi w:val="0"/>
        <w:adjustRightInd/>
        <w:snapToGrid/>
        <w:spacing w:line="560" w:lineRule="exact"/>
        <w:textAlignment w:val="auto"/>
      </w:pPr>
      <w:r>
        <w:rPr>
          <w:rFonts w:hint="eastAsia"/>
        </w:rPr>
        <w:t>（三）未按实际情况选择，适合使用条件要求的场车；</w:t>
      </w:r>
    </w:p>
    <w:p>
      <w:pPr>
        <w:keepNext w:val="0"/>
        <w:keepLines w:val="0"/>
        <w:pageBreakBefore w:val="0"/>
        <w:widowControl w:val="0"/>
        <w:kinsoku/>
        <w:wordWrap/>
        <w:overflowPunct/>
        <w:topLinePunct w:val="0"/>
        <w:autoSpaceDE/>
        <w:autoSpaceDN/>
        <w:bidi w:val="0"/>
        <w:adjustRightInd/>
        <w:snapToGrid/>
        <w:spacing w:line="560" w:lineRule="exact"/>
        <w:textAlignment w:val="auto"/>
      </w:pPr>
      <w:r>
        <w:rPr>
          <w:rFonts w:hint="eastAsia"/>
        </w:rPr>
        <w:t>（四）车辆设备存在故障、失效等，车辆制动系统、转向系统、行驶系统、传动系统照明系统、仪表系统、电气系统、操纵系统、液压系统失效或缺陷、驾驶室门锁及玻璃等部件缺损、货叉缺陷、安全监控装置失效、视频监控装置失效；</w:t>
      </w:r>
    </w:p>
    <w:p>
      <w:pPr>
        <w:keepNext w:val="0"/>
        <w:keepLines w:val="0"/>
        <w:pageBreakBefore w:val="0"/>
        <w:widowControl w:val="0"/>
        <w:kinsoku/>
        <w:wordWrap/>
        <w:overflowPunct/>
        <w:topLinePunct w:val="0"/>
        <w:autoSpaceDE/>
        <w:autoSpaceDN/>
        <w:bidi w:val="0"/>
        <w:adjustRightInd/>
        <w:snapToGrid/>
        <w:spacing w:line="560" w:lineRule="exact"/>
        <w:textAlignment w:val="auto"/>
      </w:pPr>
      <w:r>
        <w:rPr>
          <w:rFonts w:hint="eastAsia"/>
        </w:rPr>
        <w:t>（六）其他可能导致风险隐患的情况。</w:t>
      </w:r>
    </w:p>
    <w:p>
      <w:pPr>
        <w:keepNext w:val="0"/>
        <w:keepLines w:val="0"/>
        <w:pageBreakBefore w:val="0"/>
        <w:widowControl w:val="0"/>
        <w:kinsoku/>
        <w:wordWrap/>
        <w:overflowPunct/>
        <w:topLinePunct w:val="0"/>
        <w:autoSpaceDE/>
        <w:autoSpaceDN/>
        <w:bidi w:val="0"/>
        <w:adjustRightInd/>
        <w:snapToGrid/>
        <w:spacing w:line="560" w:lineRule="exact"/>
        <w:textAlignment w:val="auto"/>
      </w:pPr>
      <w:r>
        <w:rPr>
          <w:rFonts w:hint="eastAsia"/>
        </w:rPr>
        <w:t>第六条 安全保护和防护装置风险至少包括以下内容：</w:t>
      </w:r>
    </w:p>
    <w:p>
      <w:pPr>
        <w:keepNext w:val="0"/>
        <w:keepLines w:val="0"/>
        <w:pageBreakBefore w:val="0"/>
        <w:widowControl w:val="0"/>
        <w:kinsoku/>
        <w:wordWrap/>
        <w:overflowPunct/>
        <w:topLinePunct w:val="0"/>
        <w:autoSpaceDE/>
        <w:autoSpaceDN/>
        <w:bidi w:val="0"/>
        <w:adjustRightInd/>
        <w:snapToGrid/>
        <w:spacing w:line="560" w:lineRule="exact"/>
        <w:textAlignment w:val="auto"/>
      </w:pPr>
      <w:r>
        <w:rPr>
          <w:rFonts w:hint="eastAsia"/>
        </w:rPr>
        <w:t>（一）未按要求设置安全保护和防护装置、安全监控装置失效、视频监控装置等</w:t>
      </w:r>
    </w:p>
    <w:p>
      <w:pPr>
        <w:keepNext w:val="0"/>
        <w:keepLines w:val="0"/>
        <w:pageBreakBefore w:val="0"/>
        <w:widowControl w:val="0"/>
        <w:kinsoku/>
        <w:wordWrap/>
        <w:overflowPunct/>
        <w:topLinePunct w:val="0"/>
        <w:autoSpaceDE/>
        <w:autoSpaceDN/>
        <w:bidi w:val="0"/>
        <w:adjustRightInd/>
        <w:snapToGrid/>
        <w:spacing w:line="560" w:lineRule="exact"/>
        <w:textAlignment w:val="auto"/>
      </w:pPr>
      <w:r>
        <w:rPr>
          <w:rFonts w:hint="eastAsia"/>
        </w:rPr>
        <w:t>（二）安全保护和防护装置、安全监控装置、视频监控装置等失灵或失效。</w:t>
      </w:r>
    </w:p>
    <w:p>
      <w:pPr>
        <w:keepNext w:val="0"/>
        <w:keepLines w:val="0"/>
        <w:pageBreakBefore w:val="0"/>
        <w:widowControl w:val="0"/>
        <w:kinsoku/>
        <w:wordWrap/>
        <w:overflowPunct/>
        <w:topLinePunct w:val="0"/>
        <w:autoSpaceDE/>
        <w:autoSpaceDN/>
        <w:bidi w:val="0"/>
        <w:adjustRightInd/>
        <w:snapToGrid/>
        <w:spacing w:line="560" w:lineRule="exact"/>
        <w:textAlignment w:val="auto"/>
      </w:pPr>
      <w:r>
        <w:rPr>
          <w:rFonts w:hint="eastAsia"/>
        </w:rPr>
        <w:t>第七条 环境类风险至少包括以下几个方面：</w:t>
      </w:r>
    </w:p>
    <w:p>
      <w:pPr>
        <w:keepNext w:val="0"/>
        <w:keepLines w:val="0"/>
        <w:pageBreakBefore w:val="0"/>
        <w:widowControl w:val="0"/>
        <w:kinsoku/>
        <w:wordWrap/>
        <w:overflowPunct/>
        <w:topLinePunct w:val="0"/>
        <w:autoSpaceDE/>
        <w:autoSpaceDN/>
        <w:bidi w:val="0"/>
        <w:adjustRightInd/>
        <w:snapToGrid/>
        <w:spacing w:line="560" w:lineRule="exact"/>
        <w:textAlignment w:val="auto"/>
      </w:pPr>
      <w:r>
        <w:rPr>
          <w:rFonts w:hint="eastAsia"/>
        </w:rPr>
        <w:t>（一）观光车辆的行驶路线不符合要求；</w:t>
      </w:r>
    </w:p>
    <w:p>
      <w:pPr>
        <w:keepNext w:val="0"/>
        <w:keepLines w:val="0"/>
        <w:pageBreakBefore w:val="0"/>
        <w:widowControl w:val="0"/>
        <w:kinsoku/>
        <w:wordWrap/>
        <w:overflowPunct/>
        <w:topLinePunct w:val="0"/>
        <w:autoSpaceDE/>
        <w:autoSpaceDN/>
        <w:bidi w:val="0"/>
        <w:adjustRightInd/>
        <w:snapToGrid/>
        <w:spacing w:line="560" w:lineRule="exact"/>
        <w:textAlignment w:val="auto"/>
      </w:pPr>
      <w:r>
        <w:rPr>
          <w:rFonts w:hint="eastAsia"/>
        </w:rPr>
        <w:t>（二）使用环境不符、标志不完善；</w:t>
      </w:r>
    </w:p>
    <w:p>
      <w:pPr>
        <w:keepNext w:val="0"/>
        <w:keepLines w:val="0"/>
        <w:pageBreakBefore w:val="0"/>
        <w:widowControl w:val="0"/>
        <w:kinsoku/>
        <w:wordWrap/>
        <w:overflowPunct/>
        <w:topLinePunct w:val="0"/>
        <w:autoSpaceDE/>
        <w:autoSpaceDN/>
        <w:bidi w:val="0"/>
        <w:adjustRightInd/>
        <w:snapToGrid/>
        <w:spacing w:line="560" w:lineRule="exact"/>
        <w:textAlignment w:val="auto"/>
      </w:pPr>
      <w:r>
        <w:rPr>
          <w:rFonts w:hint="eastAsia"/>
        </w:rPr>
        <w:t>（三）未按有关规定设置警示标志或说明；</w:t>
      </w:r>
    </w:p>
    <w:p>
      <w:pPr>
        <w:keepNext w:val="0"/>
        <w:keepLines w:val="0"/>
        <w:pageBreakBefore w:val="0"/>
        <w:widowControl w:val="0"/>
        <w:kinsoku/>
        <w:wordWrap/>
        <w:overflowPunct/>
        <w:topLinePunct w:val="0"/>
        <w:autoSpaceDE/>
        <w:autoSpaceDN/>
        <w:bidi w:val="0"/>
        <w:adjustRightInd/>
        <w:snapToGrid/>
        <w:spacing w:line="560" w:lineRule="exact"/>
        <w:textAlignment w:val="auto"/>
      </w:pPr>
      <w:r>
        <w:rPr>
          <w:rFonts w:hint="eastAsia"/>
        </w:rPr>
        <w:t xml:space="preserve">（四）在易燃易爆等危险区域作业，装载运输易燃易爆、剧毒等危险品或熔融金属、炙热金属等特殊物品。  </w:t>
      </w:r>
    </w:p>
    <w:p>
      <w:pPr>
        <w:keepNext w:val="0"/>
        <w:keepLines w:val="0"/>
        <w:pageBreakBefore w:val="0"/>
        <w:widowControl w:val="0"/>
        <w:kinsoku/>
        <w:wordWrap/>
        <w:overflowPunct/>
        <w:topLinePunct w:val="0"/>
        <w:autoSpaceDE/>
        <w:autoSpaceDN/>
        <w:bidi w:val="0"/>
        <w:adjustRightInd/>
        <w:snapToGrid/>
        <w:spacing w:line="560" w:lineRule="exact"/>
        <w:textAlignment w:val="auto"/>
      </w:pPr>
      <w:r>
        <w:rPr>
          <w:rFonts w:hint="eastAsia"/>
        </w:rPr>
        <w:t>第八条 其他来自政府监管部门的监督、通报、预警，投诉举报和舆情信息等动态风险。</w:t>
      </w:r>
    </w:p>
    <w:p>
      <w:pPr>
        <w:bidi w:val="0"/>
        <w:rPr>
          <w:rFonts w:hint="eastAsia"/>
        </w:rPr>
      </w:pPr>
      <w:r>
        <w:rPr>
          <w:rFonts w:hint="eastAsia"/>
        </w:rPr>
        <w:t>第九条 本单位根据上述规定制定了《场车安全风险管控清单》（例表见附录B9），当风险指标发生变化时，需对清单及时进行调整。</w:t>
      </w:r>
      <w:bookmarkStart w:id="250" w:name="_Toc11890_WPSOffice_Level1"/>
    </w:p>
    <w:p>
      <w:pPr>
        <w:rPr>
          <w:rFonts w:hint="eastAsia"/>
        </w:rPr>
      </w:pPr>
      <w:r>
        <w:rPr>
          <w:rFonts w:hint="eastAsia"/>
        </w:rPr>
        <w:br w:type="page"/>
      </w:r>
    </w:p>
    <w:p>
      <w:pPr>
        <w:ind w:left="0" w:leftChars="0" w:firstLine="0" w:firstLineChars="0"/>
        <w:rPr>
          <w:rFonts w:hint="eastAsia"/>
        </w:rPr>
      </w:pPr>
    </w:p>
    <w:p>
      <w:pPr>
        <w:pStyle w:val="4"/>
        <w:bidi w:val="0"/>
        <w:jc w:val="both"/>
        <w:rPr>
          <w:rFonts w:hint="eastAsia"/>
        </w:rPr>
      </w:pPr>
    </w:p>
    <w:p>
      <w:pPr>
        <w:pStyle w:val="4"/>
        <w:bidi w:val="0"/>
        <w:rPr>
          <w:rFonts w:hint="eastAsia"/>
          <w:lang w:val="en-US" w:eastAsia="zh-CN"/>
        </w:rPr>
        <w:sectPr>
          <w:footerReference r:id="rId5" w:type="default"/>
          <w:pgSz w:w="11906" w:h="16838"/>
          <w:pgMar w:top="1587" w:right="1417" w:bottom="1417" w:left="1417" w:header="851" w:footer="992" w:gutter="0"/>
          <w:pgNumType w:fmt="decimal" w:start="1"/>
          <w:cols w:space="0" w:num="1"/>
          <w:rtlGutter w:val="0"/>
          <w:docGrid w:type="lines" w:linePitch="446" w:charSpace="0"/>
        </w:sectPr>
      </w:pPr>
      <w:bookmarkStart w:id="251" w:name="_Toc15206_WPSOffice_Level1"/>
      <w:bookmarkStart w:id="252" w:name="_Toc6063"/>
      <w:bookmarkStart w:id="253" w:name="_Toc24983"/>
      <w:bookmarkStart w:id="254" w:name="_Toc14356"/>
      <w:bookmarkStart w:id="255" w:name="_Toc29873"/>
      <w:r>
        <w:rPr>
          <w:rFonts w:hint="eastAsia"/>
          <w:lang w:val="en-US" w:eastAsia="zh-CN"/>
        </w:rPr>
        <w:t>附录B</w:t>
      </w:r>
      <w:bookmarkEnd w:id="250"/>
      <w:r>
        <w:rPr>
          <w:rFonts w:hint="eastAsia"/>
          <w:lang w:val="en-US" w:eastAsia="zh-CN"/>
        </w:rPr>
        <w:t>（清单例表）</w:t>
      </w:r>
      <w:bookmarkEnd w:id="251"/>
      <w:bookmarkEnd w:id="252"/>
      <w:bookmarkEnd w:id="253"/>
      <w:bookmarkEnd w:id="254"/>
      <w:bookmarkEnd w:id="255"/>
    </w:p>
    <w:p>
      <w:pPr>
        <w:pStyle w:val="4"/>
        <w:bidi w:val="0"/>
        <w:jc w:val="left"/>
      </w:pPr>
      <w:bookmarkStart w:id="256" w:name="_Toc18112"/>
      <w:bookmarkStart w:id="257" w:name="_Toc25690"/>
      <w:bookmarkStart w:id="258" w:name="_Toc3054_WPSOffice_Level1"/>
      <w:bookmarkStart w:id="259" w:name="_Toc16817"/>
      <w:bookmarkStart w:id="260" w:name="_Toc22321"/>
      <w:r>
        <w:rPr>
          <w:rFonts w:hint="eastAsia"/>
          <w:b w:val="0"/>
          <w:bCs/>
          <w:sz w:val="32"/>
          <w:szCs w:val="32"/>
        </w:rPr>
        <w:t>附录B1</w:t>
      </w:r>
      <w:r>
        <w:rPr>
          <w:rFonts w:hint="eastAsia"/>
        </w:rPr>
        <w:t xml:space="preserve">               </w:t>
      </w:r>
      <w:r>
        <w:rPr>
          <w:rFonts w:hint="eastAsia"/>
          <w:lang w:val="en-US" w:eastAsia="zh-CN"/>
        </w:rPr>
        <w:t xml:space="preserve"> </w:t>
      </w:r>
      <w:r>
        <w:rPr>
          <w:rFonts w:hint="eastAsia"/>
        </w:rPr>
        <w:t>锅炉安全风险管控清单</w:t>
      </w:r>
      <w:bookmarkEnd w:id="256"/>
      <w:bookmarkEnd w:id="257"/>
      <w:bookmarkEnd w:id="258"/>
      <w:bookmarkEnd w:id="259"/>
      <w:bookmarkEnd w:id="260"/>
    </w:p>
    <w:tbl>
      <w:tblPr>
        <w:tblStyle w:val="12"/>
        <w:tblW w:w="1422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94"/>
        <w:gridCol w:w="1608"/>
        <w:gridCol w:w="3545"/>
        <w:gridCol w:w="4100"/>
        <w:gridCol w:w="1569"/>
        <w:gridCol w:w="1559"/>
        <w:gridCol w:w="39"/>
        <w:gridCol w:w="10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 w:hRule="exact"/>
          <w:tblHeader/>
          <w:jc w:val="center"/>
        </w:trPr>
        <w:tc>
          <w:tcPr>
            <w:tcW w:w="794" w:type="dxa"/>
            <w:shd w:val="clear" w:color="auto" w:fill="BEBEBE" w:themeFill="background1" w:themeFillShade="BF"/>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序号</w:t>
            </w:r>
          </w:p>
        </w:tc>
        <w:tc>
          <w:tcPr>
            <w:tcW w:w="1608" w:type="dxa"/>
            <w:shd w:val="clear" w:color="auto" w:fill="BEBEBE" w:themeFill="background1" w:themeFillShade="BF"/>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风险类别</w:t>
            </w:r>
          </w:p>
        </w:tc>
        <w:tc>
          <w:tcPr>
            <w:tcW w:w="3545" w:type="dxa"/>
            <w:shd w:val="clear" w:color="auto" w:fill="BEBEBE" w:themeFill="background1" w:themeFillShade="BF"/>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风险指标</w:t>
            </w:r>
          </w:p>
        </w:tc>
        <w:tc>
          <w:tcPr>
            <w:tcW w:w="4100" w:type="dxa"/>
            <w:shd w:val="clear" w:color="auto" w:fill="BEBEBE" w:themeFill="background1" w:themeFillShade="BF"/>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风险管控措施</w:t>
            </w:r>
          </w:p>
        </w:tc>
        <w:tc>
          <w:tcPr>
            <w:tcW w:w="1569" w:type="dxa"/>
            <w:shd w:val="clear" w:color="auto" w:fill="BEBEBE" w:themeFill="background1" w:themeFillShade="BF"/>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管控形式</w:t>
            </w:r>
          </w:p>
        </w:tc>
        <w:tc>
          <w:tcPr>
            <w:tcW w:w="1559" w:type="dxa"/>
            <w:shd w:val="clear" w:color="auto" w:fill="BEBEBE" w:themeFill="background1" w:themeFillShade="BF"/>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责任人</w:t>
            </w:r>
          </w:p>
        </w:tc>
        <w:tc>
          <w:tcPr>
            <w:tcW w:w="1050" w:type="dxa"/>
            <w:gridSpan w:val="2"/>
            <w:shd w:val="clear" w:color="auto" w:fill="BEBEBE" w:themeFill="background1" w:themeFillShade="BF"/>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1" w:hRule="atLeast"/>
          <w:jc w:val="center"/>
        </w:trPr>
        <w:tc>
          <w:tcPr>
            <w:tcW w:w="79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w:t>
            </w:r>
          </w:p>
        </w:tc>
        <w:tc>
          <w:tcPr>
            <w:tcW w:w="1608" w:type="dxa"/>
            <w:vMerge w:val="restart"/>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人员</w:t>
            </w:r>
          </w:p>
        </w:tc>
        <w:tc>
          <w:tcPr>
            <w:tcW w:w="354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未按规定配备安全管理人员和作业人员</w:t>
            </w:r>
          </w:p>
        </w:tc>
        <w:tc>
          <w:tcPr>
            <w:tcW w:w="41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1.建立特种设备安全管理人员与作业人员管理制度；</w:t>
            </w:r>
          </w:p>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2.按规定配备相关人员。</w:t>
            </w:r>
          </w:p>
        </w:tc>
        <w:tc>
          <w:tcPr>
            <w:tcW w:w="1569"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月调度</w:t>
            </w:r>
          </w:p>
        </w:tc>
        <w:tc>
          <w:tcPr>
            <w:tcW w:w="1598" w:type="dxa"/>
            <w:gridSpan w:val="2"/>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主要负责人</w:t>
            </w:r>
          </w:p>
        </w:tc>
        <w:tc>
          <w:tcPr>
            <w:tcW w:w="101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jc w:val="center"/>
        </w:trPr>
        <w:tc>
          <w:tcPr>
            <w:tcW w:w="79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w:t>
            </w:r>
          </w:p>
        </w:tc>
        <w:tc>
          <w:tcPr>
            <w:tcW w:w="1608"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p>
        </w:tc>
        <w:tc>
          <w:tcPr>
            <w:tcW w:w="354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作业人员未持有相应资格证件</w:t>
            </w:r>
          </w:p>
        </w:tc>
        <w:tc>
          <w:tcPr>
            <w:tcW w:w="41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配备具有相应职责资质的作业人员，加强资格证的换证管理</w:t>
            </w:r>
          </w:p>
        </w:tc>
        <w:tc>
          <w:tcPr>
            <w:tcW w:w="1569"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周排查</w:t>
            </w:r>
          </w:p>
        </w:tc>
        <w:tc>
          <w:tcPr>
            <w:tcW w:w="1598" w:type="dxa"/>
            <w:gridSpan w:val="2"/>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101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7" w:hRule="atLeast"/>
          <w:jc w:val="center"/>
        </w:trPr>
        <w:tc>
          <w:tcPr>
            <w:tcW w:w="79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w:t>
            </w:r>
          </w:p>
        </w:tc>
        <w:tc>
          <w:tcPr>
            <w:tcW w:w="1608"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p>
        </w:tc>
        <w:tc>
          <w:tcPr>
            <w:tcW w:w="354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未按规定对安全管理人员和作业人员开展安全教育培训</w:t>
            </w:r>
          </w:p>
        </w:tc>
        <w:tc>
          <w:tcPr>
            <w:tcW w:w="41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按规定开展安全培训教育</w:t>
            </w:r>
          </w:p>
        </w:tc>
        <w:tc>
          <w:tcPr>
            <w:tcW w:w="1569"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周排查</w:t>
            </w:r>
          </w:p>
        </w:tc>
        <w:tc>
          <w:tcPr>
            <w:tcW w:w="1598" w:type="dxa"/>
            <w:gridSpan w:val="2"/>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101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5" w:hRule="atLeast"/>
          <w:jc w:val="center"/>
        </w:trPr>
        <w:tc>
          <w:tcPr>
            <w:tcW w:w="79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w:t>
            </w:r>
          </w:p>
        </w:tc>
        <w:tc>
          <w:tcPr>
            <w:tcW w:w="1608"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p>
        </w:tc>
        <w:tc>
          <w:tcPr>
            <w:tcW w:w="354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作业人员违章作业或到岗值守情况不符合要求</w:t>
            </w:r>
          </w:p>
        </w:tc>
        <w:tc>
          <w:tcPr>
            <w:tcW w:w="41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检查锅炉作业人员到岗值守情况，纠正和制止违章作业行为</w:t>
            </w:r>
          </w:p>
        </w:tc>
        <w:tc>
          <w:tcPr>
            <w:tcW w:w="1569"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日管控</w:t>
            </w:r>
          </w:p>
        </w:tc>
        <w:tc>
          <w:tcPr>
            <w:tcW w:w="1598" w:type="dxa"/>
            <w:gridSpan w:val="2"/>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安全员</w:t>
            </w:r>
          </w:p>
        </w:tc>
        <w:tc>
          <w:tcPr>
            <w:tcW w:w="101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7" w:hRule="atLeast"/>
          <w:jc w:val="center"/>
        </w:trPr>
        <w:tc>
          <w:tcPr>
            <w:tcW w:w="79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5</w:t>
            </w:r>
          </w:p>
        </w:tc>
        <w:tc>
          <w:tcPr>
            <w:tcW w:w="1608" w:type="dxa"/>
            <w:vMerge w:val="restart"/>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kern w:val="0"/>
                <w:sz w:val="24"/>
              </w:rPr>
              <w:t>管理</w:t>
            </w:r>
          </w:p>
        </w:tc>
        <w:tc>
          <w:tcPr>
            <w:tcW w:w="354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未按规定设置安全管理机构</w:t>
            </w:r>
          </w:p>
        </w:tc>
        <w:tc>
          <w:tcPr>
            <w:tcW w:w="4100" w:type="dxa"/>
            <w:vAlign w:val="center"/>
          </w:tcPr>
          <w:p>
            <w:pPr>
              <w:pStyle w:val="16"/>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根据使用的特种设备种类和数量，设置专门的安全管理机构。</w:t>
            </w:r>
          </w:p>
        </w:tc>
        <w:tc>
          <w:tcPr>
            <w:tcW w:w="1569"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月调度</w:t>
            </w:r>
          </w:p>
        </w:tc>
        <w:tc>
          <w:tcPr>
            <w:tcW w:w="1598" w:type="dxa"/>
            <w:gridSpan w:val="2"/>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主要负责人</w:t>
            </w:r>
          </w:p>
        </w:tc>
        <w:tc>
          <w:tcPr>
            <w:tcW w:w="101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2" w:hRule="atLeast"/>
          <w:jc w:val="center"/>
        </w:trPr>
        <w:tc>
          <w:tcPr>
            <w:tcW w:w="79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6</w:t>
            </w:r>
          </w:p>
        </w:tc>
        <w:tc>
          <w:tcPr>
            <w:tcW w:w="1608"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p>
        </w:tc>
        <w:tc>
          <w:tcPr>
            <w:tcW w:w="354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kern w:val="0"/>
                <w:sz w:val="24"/>
              </w:rPr>
              <w:t>未建立锅炉</w:t>
            </w:r>
            <w:r>
              <w:rPr>
                <w:rFonts w:hint="eastAsia" w:asciiTheme="minorEastAsia" w:hAnsiTheme="minorEastAsia" w:eastAsiaTheme="minorEastAsia" w:cstheme="minorEastAsia"/>
                <w:sz w:val="24"/>
              </w:rPr>
              <w:t>使用安全节能管理制度</w:t>
            </w:r>
          </w:p>
        </w:tc>
        <w:tc>
          <w:tcPr>
            <w:tcW w:w="4100" w:type="dxa"/>
            <w:vAlign w:val="center"/>
          </w:tcPr>
          <w:p>
            <w:pPr>
              <w:keepNext w:val="0"/>
              <w:keepLines w:val="0"/>
              <w:pageBreakBefore w:val="0"/>
              <w:numPr>
                <w:ilvl w:val="0"/>
                <w:numId w:val="1"/>
              </w:numPr>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制定锅炉安全管理机构和相关人员岗位职责；</w:t>
            </w:r>
          </w:p>
          <w:p>
            <w:pPr>
              <w:keepNext w:val="0"/>
              <w:keepLines w:val="0"/>
              <w:pageBreakBefore w:val="0"/>
              <w:numPr>
                <w:ilvl w:val="0"/>
                <w:numId w:val="1"/>
              </w:numPr>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制定《锅炉安全总监职责》《锅炉安全员守则》《锅炉安全日管控、周排查、月调度管理制度》；</w:t>
            </w:r>
          </w:p>
          <w:p>
            <w:pPr>
              <w:pStyle w:val="16"/>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3.按《特种设备使用管理规则》建立锅炉使用安全和节能管理制度 。</w:t>
            </w:r>
          </w:p>
        </w:tc>
        <w:tc>
          <w:tcPr>
            <w:tcW w:w="1569"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周排查</w:t>
            </w:r>
          </w:p>
        </w:tc>
        <w:tc>
          <w:tcPr>
            <w:tcW w:w="1598" w:type="dxa"/>
            <w:gridSpan w:val="2"/>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101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7" w:hRule="atLeast"/>
          <w:jc w:val="center"/>
        </w:trPr>
        <w:tc>
          <w:tcPr>
            <w:tcW w:w="79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7</w:t>
            </w:r>
          </w:p>
        </w:tc>
        <w:tc>
          <w:tcPr>
            <w:tcW w:w="1608"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p>
        </w:tc>
        <w:tc>
          <w:tcPr>
            <w:tcW w:w="354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未建立安全技术档案</w:t>
            </w:r>
          </w:p>
        </w:tc>
        <w:tc>
          <w:tcPr>
            <w:tcW w:w="4100" w:type="dxa"/>
            <w:vAlign w:val="center"/>
          </w:tcPr>
          <w:p>
            <w:pPr>
              <w:pStyle w:val="16"/>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1.建立锅炉安全技术档案管理制度，明确档案内容及管理要求；</w:t>
            </w:r>
          </w:p>
          <w:p>
            <w:pPr>
              <w:pStyle w:val="16"/>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2.按规定逐台建立安全技术档案并及时更新安全技术档案。 </w:t>
            </w:r>
          </w:p>
        </w:tc>
        <w:tc>
          <w:tcPr>
            <w:tcW w:w="1569"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周排查</w:t>
            </w:r>
          </w:p>
        </w:tc>
        <w:tc>
          <w:tcPr>
            <w:tcW w:w="1598" w:type="dxa"/>
            <w:gridSpan w:val="2"/>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101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jc w:val="center"/>
        </w:trPr>
        <w:tc>
          <w:tcPr>
            <w:tcW w:w="79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8</w:t>
            </w:r>
          </w:p>
        </w:tc>
        <w:tc>
          <w:tcPr>
            <w:tcW w:w="1608"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p>
        </w:tc>
        <w:tc>
          <w:tcPr>
            <w:tcW w:w="354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未按规定办理使用登记、变更登记及停用、报废等手续</w:t>
            </w:r>
          </w:p>
        </w:tc>
        <w:tc>
          <w:tcPr>
            <w:tcW w:w="4100" w:type="dxa"/>
            <w:vAlign w:val="center"/>
          </w:tcPr>
          <w:p>
            <w:pPr>
              <w:keepNext w:val="0"/>
              <w:keepLines w:val="0"/>
              <w:pageBreakBefore w:val="0"/>
              <w:numPr>
                <w:ilvl w:val="255"/>
                <w:numId w:val="0"/>
              </w:numPr>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1.建立使用管理制度和规程，明确相关内容及安全管理要求；</w:t>
            </w:r>
          </w:p>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 按规定办理使用登记、变更登记及停用、报废手续。</w:t>
            </w:r>
          </w:p>
        </w:tc>
        <w:tc>
          <w:tcPr>
            <w:tcW w:w="1569"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周排查</w:t>
            </w:r>
          </w:p>
        </w:tc>
        <w:tc>
          <w:tcPr>
            <w:tcW w:w="1598" w:type="dxa"/>
            <w:gridSpan w:val="2"/>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101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9" w:hRule="atLeast"/>
          <w:jc w:val="center"/>
        </w:trPr>
        <w:tc>
          <w:tcPr>
            <w:tcW w:w="79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9</w:t>
            </w:r>
          </w:p>
        </w:tc>
        <w:tc>
          <w:tcPr>
            <w:tcW w:w="1608"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p>
        </w:tc>
        <w:tc>
          <w:tcPr>
            <w:tcW w:w="354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未按规定制定锅炉事故应急专项预案并定期演练</w:t>
            </w:r>
          </w:p>
        </w:tc>
        <w:tc>
          <w:tcPr>
            <w:tcW w:w="41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制定锅炉事故应急专项预案并每年至少开展1次演练</w:t>
            </w:r>
          </w:p>
        </w:tc>
        <w:tc>
          <w:tcPr>
            <w:tcW w:w="1569"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月调度</w:t>
            </w:r>
          </w:p>
        </w:tc>
        <w:tc>
          <w:tcPr>
            <w:tcW w:w="1598" w:type="dxa"/>
            <w:gridSpan w:val="2"/>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主要负责人</w:t>
            </w:r>
          </w:p>
        </w:tc>
        <w:tc>
          <w:tcPr>
            <w:tcW w:w="101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9" w:hRule="atLeast"/>
          <w:jc w:val="center"/>
        </w:trPr>
        <w:tc>
          <w:tcPr>
            <w:tcW w:w="79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10</w:t>
            </w:r>
          </w:p>
        </w:tc>
        <w:tc>
          <w:tcPr>
            <w:tcW w:w="1608"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p>
        </w:tc>
        <w:tc>
          <w:tcPr>
            <w:tcW w:w="354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锅炉停炉期间未按规定对锅炉及水处理设备进行停炉保养</w:t>
            </w:r>
          </w:p>
        </w:tc>
        <w:tc>
          <w:tcPr>
            <w:tcW w:w="41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1.制定并落实锅炉停炉期间的锅炉、水处理设备保养措施；</w:t>
            </w:r>
          </w:p>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2.加强锅炉管理人员、操作人员、维护保养人员的相关专业培训。</w:t>
            </w:r>
          </w:p>
        </w:tc>
        <w:tc>
          <w:tcPr>
            <w:tcW w:w="1569"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周排查</w:t>
            </w:r>
          </w:p>
        </w:tc>
        <w:tc>
          <w:tcPr>
            <w:tcW w:w="1598" w:type="dxa"/>
            <w:gridSpan w:val="2"/>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101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8" w:hRule="atLeast"/>
          <w:jc w:val="center"/>
        </w:trPr>
        <w:tc>
          <w:tcPr>
            <w:tcW w:w="79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11</w:t>
            </w:r>
          </w:p>
        </w:tc>
        <w:tc>
          <w:tcPr>
            <w:tcW w:w="1608" w:type="dxa"/>
            <w:vMerge w:val="restart"/>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锅炉本体</w:t>
            </w:r>
          </w:p>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及锅炉范围内管道</w:t>
            </w:r>
          </w:p>
        </w:tc>
        <w:tc>
          <w:tcPr>
            <w:tcW w:w="354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选用国家明令禁止或淘汰的锅炉产品</w:t>
            </w:r>
          </w:p>
        </w:tc>
        <w:tc>
          <w:tcPr>
            <w:tcW w:w="4100" w:type="dxa"/>
            <w:vAlign w:val="center"/>
          </w:tcPr>
          <w:p>
            <w:pPr>
              <w:pStyle w:val="16"/>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建立采购管理制度，明确采购、验收要求</w:t>
            </w:r>
          </w:p>
        </w:tc>
        <w:tc>
          <w:tcPr>
            <w:tcW w:w="1569"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月调度</w:t>
            </w:r>
          </w:p>
        </w:tc>
        <w:tc>
          <w:tcPr>
            <w:tcW w:w="1598" w:type="dxa"/>
            <w:gridSpan w:val="2"/>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主要负责人</w:t>
            </w:r>
          </w:p>
        </w:tc>
        <w:tc>
          <w:tcPr>
            <w:tcW w:w="101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5" w:hRule="atLeast"/>
          <w:jc w:val="center"/>
        </w:trPr>
        <w:tc>
          <w:tcPr>
            <w:tcW w:w="79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12</w:t>
            </w:r>
          </w:p>
        </w:tc>
        <w:tc>
          <w:tcPr>
            <w:tcW w:w="1608"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p>
        </w:tc>
        <w:tc>
          <w:tcPr>
            <w:tcW w:w="354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未按规定调试、检查和启动锅炉</w:t>
            </w:r>
          </w:p>
        </w:tc>
        <w:tc>
          <w:tcPr>
            <w:tcW w:w="4100" w:type="dxa"/>
            <w:vAlign w:val="center"/>
          </w:tcPr>
          <w:p>
            <w:pPr>
              <w:keepNext w:val="0"/>
              <w:keepLines w:val="0"/>
              <w:pageBreakBefore w:val="0"/>
              <w:numPr>
                <w:ilvl w:val="0"/>
                <w:numId w:val="2"/>
              </w:numPr>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制定调试方案，调试过程中的技术、安全保障措施，规定进行调试并记录；</w:t>
            </w:r>
          </w:p>
          <w:p>
            <w:pPr>
              <w:keepNext w:val="0"/>
              <w:keepLines w:val="0"/>
              <w:pageBreakBefore w:val="0"/>
              <w:numPr>
                <w:ilvl w:val="255"/>
                <w:numId w:val="0"/>
              </w:numPr>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2.按操作规程进行启动前检查和启动程序。</w:t>
            </w:r>
          </w:p>
        </w:tc>
        <w:tc>
          <w:tcPr>
            <w:tcW w:w="1569"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周排查</w:t>
            </w:r>
          </w:p>
        </w:tc>
        <w:tc>
          <w:tcPr>
            <w:tcW w:w="1598" w:type="dxa"/>
            <w:gridSpan w:val="2"/>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101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2" w:hRule="atLeast"/>
          <w:jc w:val="center"/>
        </w:trPr>
        <w:tc>
          <w:tcPr>
            <w:tcW w:w="79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13</w:t>
            </w:r>
          </w:p>
        </w:tc>
        <w:tc>
          <w:tcPr>
            <w:tcW w:w="1608"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p>
        </w:tc>
        <w:tc>
          <w:tcPr>
            <w:tcW w:w="354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锅炉膨胀异常</w:t>
            </w:r>
          </w:p>
        </w:tc>
        <w:tc>
          <w:tcPr>
            <w:tcW w:w="41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膨胀示值有异常时，分析原因并采取相应的处置措施</w:t>
            </w:r>
          </w:p>
        </w:tc>
        <w:tc>
          <w:tcPr>
            <w:tcW w:w="1569"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日管控</w:t>
            </w:r>
          </w:p>
        </w:tc>
        <w:tc>
          <w:tcPr>
            <w:tcW w:w="1598" w:type="dxa"/>
            <w:gridSpan w:val="2"/>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安全员</w:t>
            </w:r>
          </w:p>
        </w:tc>
        <w:tc>
          <w:tcPr>
            <w:tcW w:w="101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54" w:hRule="atLeast"/>
          <w:jc w:val="center"/>
        </w:trPr>
        <w:tc>
          <w:tcPr>
            <w:tcW w:w="79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14</w:t>
            </w:r>
          </w:p>
        </w:tc>
        <w:tc>
          <w:tcPr>
            <w:tcW w:w="1608"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p>
        </w:tc>
        <w:tc>
          <w:tcPr>
            <w:tcW w:w="354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受压部件及管接头等部位出现变形、泄漏、腐蚀等异常情况</w:t>
            </w:r>
          </w:p>
        </w:tc>
        <w:tc>
          <w:tcPr>
            <w:tcW w:w="41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开展巡回检查，发现异常，按规定进行报告和处理</w:t>
            </w:r>
          </w:p>
        </w:tc>
        <w:tc>
          <w:tcPr>
            <w:tcW w:w="1569"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日管控</w:t>
            </w:r>
          </w:p>
        </w:tc>
        <w:tc>
          <w:tcPr>
            <w:tcW w:w="1598" w:type="dxa"/>
            <w:gridSpan w:val="2"/>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安全员</w:t>
            </w:r>
          </w:p>
        </w:tc>
        <w:tc>
          <w:tcPr>
            <w:tcW w:w="101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6" w:hRule="atLeast"/>
          <w:jc w:val="center"/>
        </w:trPr>
        <w:tc>
          <w:tcPr>
            <w:tcW w:w="79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15</w:t>
            </w:r>
          </w:p>
        </w:tc>
        <w:tc>
          <w:tcPr>
            <w:tcW w:w="1608"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p>
        </w:tc>
        <w:tc>
          <w:tcPr>
            <w:tcW w:w="354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管道、阀门、分汽（水、油）缸存在振动 、变形、泄漏</w:t>
            </w:r>
          </w:p>
        </w:tc>
        <w:tc>
          <w:tcPr>
            <w:tcW w:w="41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开展巡回检查，发现异常，按规定进行报告和处理</w:t>
            </w:r>
          </w:p>
        </w:tc>
        <w:tc>
          <w:tcPr>
            <w:tcW w:w="1569"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日管控</w:t>
            </w:r>
          </w:p>
        </w:tc>
        <w:tc>
          <w:tcPr>
            <w:tcW w:w="1598" w:type="dxa"/>
            <w:gridSpan w:val="2"/>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安全员</w:t>
            </w:r>
          </w:p>
        </w:tc>
        <w:tc>
          <w:tcPr>
            <w:tcW w:w="101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6" w:hRule="atLeast"/>
          <w:jc w:val="center"/>
        </w:trPr>
        <w:tc>
          <w:tcPr>
            <w:tcW w:w="79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16</w:t>
            </w:r>
          </w:p>
        </w:tc>
        <w:tc>
          <w:tcPr>
            <w:tcW w:w="1608"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p>
        </w:tc>
        <w:tc>
          <w:tcPr>
            <w:tcW w:w="354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未按规定进行维护保养和自行检查</w:t>
            </w:r>
          </w:p>
        </w:tc>
        <w:tc>
          <w:tcPr>
            <w:tcW w:w="41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按规定制定维护保养制度和定期自行检查制度，组织开展维护保养和定期自行检查并做好相应记录</w:t>
            </w:r>
          </w:p>
        </w:tc>
        <w:tc>
          <w:tcPr>
            <w:tcW w:w="1569"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日管控</w:t>
            </w:r>
          </w:p>
        </w:tc>
        <w:tc>
          <w:tcPr>
            <w:tcW w:w="1598" w:type="dxa"/>
            <w:gridSpan w:val="2"/>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安全员</w:t>
            </w:r>
          </w:p>
        </w:tc>
        <w:tc>
          <w:tcPr>
            <w:tcW w:w="101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6" w:hRule="atLeast"/>
          <w:jc w:val="center"/>
        </w:trPr>
        <w:tc>
          <w:tcPr>
            <w:tcW w:w="79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17</w:t>
            </w:r>
          </w:p>
        </w:tc>
        <w:tc>
          <w:tcPr>
            <w:tcW w:w="1608"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p>
        </w:tc>
        <w:tc>
          <w:tcPr>
            <w:tcW w:w="354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未按规定进行定期检验、监督检验 </w:t>
            </w:r>
          </w:p>
        </w:tc>
        <w:tc>
          <w:tcPr>
            <w:tcW w:w="41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 制定定期检验、监督检验计划并组织实施，落实定期检验、监督检验的后续整改工作；</w:t>
            </w:r>
          </w:p>
          <w:p>
            <w:pPr>
              <w:keepNext w:val="0"/>
              <w:keepLines w:val="0"/>
              <w:pageBreakBefore w:val="0"/>
              <w:numPr>
                <w:ilvl w:val="255"/>
                <w:numId w:val="0"/>
              </w:numPr>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 成套装置中的锅炉和A级高压以上电站锅炉因检修原因不能按期进行内部检验时，督促落实相关监控措施。</w:t>
            </w:r>
          </w:p>
        </w:tc>
        <w:tc>
          <w:tcPr>
            <w:tcW w:w="1569"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月调度</w:t>
            </w:r>
          </w:p>
        </w:tc>
        <w:tc>
          <w:tcPr>
            <w:tcW w:w="1598" w:type="dxa"/>
            <w:gridSpan w:val="2"/>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主要负责人</w:t>
            </w:r>
          </w:p>
        </w:tc>
        <w:tc>
          <w:tcPr>
            <w:tcW w:w="101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95" w:hRule="atLeast"/>
          <w:jc w:val="center"/>
        </w:trPr>
        <w:tc>
          <w:tcPr>
            <w:tcW w:w="79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18</w:t>
            </w:r>
          </w:p>
        </w:tc>
        <w:tc>
          <w:tcPr>
            <w:tcW w:w="1608" w:type="dxa"/>
            <w:vMerge w:val="restart"/>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安全附件和安全保护装置</w:t>
            </w:r>
          </w:p>
        </w:tc>
        <w:tc>
          <w:tcPr>
            <w:tcW w:w="354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控制式安全阀控制系统未定期试验、安全阀未定期校验、安全阀未进行定期排放试验</w:t>
            </w:r>
          </w:p>
        </w:tc>
        <w:tc>
          <w:tcPr>
            <w:tcW w:w="41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1.制定安全附件定期试验、校验、维护保养管理制度，并严格执行；</w:t>
            </w:r>
          </w:p>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2.落实专人定期开展校验或试验。</w:t>
            </w:r>
          </w:p>
        </w:tc>
        <w:tc>
          <w:tcPr>
            <w:tcW w:w="1569"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周排查</w:t>
            </w:r>
          </w:p>
        </w:tc>
        <w:tc>
          <w:tcPr>
            <w:tcW w:w="1598" w:type="dxa"/>
            <w:gridSpan w:val="2"/>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101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20" w:hRule="atLeast"/>
          <w:jc w:val="center"/>
        </w:trPr>
        <w:tc>
          <w:tcPr>
            <w:tcW w:w="79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19</w:t>
            </w:r>
          </w:p>
        </w:tc>
        <w:tc>
          <w:tcPr>
            <w:tcW w:w="1608"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p>
        </w:tc>
        <w:tc>
          <w:tcPr>
            <w:tcW w:w="354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压力表未按规定进行检定或者校准</w:t>
            </w:r>
          </w:p>
        </w:tc>
        <w:tc>
          <w:tcPr>
            <w:tcW w:w="41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1.制定安全附件定期试验、校验、维护保养管理制度，并严格执行；</w:t>
            </w:r>
          </w:p>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2.落实专人定期开展送检或检查。</w:t>
            </w:r>
          </w:p>
        </w:tc>
        <w:tc>
          <w:tcPr>
            <w:tcW w:w="1569"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周排查</w:t>
            </w:r>
          </w:p>
        </w:tc>
        <w:tc>
          <w:tcPr>
            <w:tcW w:w="1598" w:type="dxa"/>
            <w:gridSpan w:val="2"/>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101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8" w:hRule="atLeast"/>
          <w:jc w:val="center"/>
        </w:trPr>
        <w:tc>
          <w:tcPr>
            <w:tcW w:w="79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20</w:t>
            </w:r>
          </w:p>
        </w:tc>
        <w:tc>
          <w:tcPr>
            <w:tcW w:w="1608"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p>
        </w:tc>
        <w:tc>
          <w:tcPr>
            <w:tcW w:w="354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同一系统内相同位置的各压力表示值存在误差</w:t>
            </w:r>
          </w:p>
        </w:tc>
        <w:tc>
          <w:tcPr>
            <w:tcW w:w="41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开展巡回检查，发现异常，按规定进行报告和处理</w:t>
            </w:r>
          </w:p>
        </w:tc>
        <w:tc>
          <w:tcPr>
            <w:tcW w:w="1569"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日管控</w:t>
            </w:r>
          </w:p>
        </w:tc>
        <w:tc>
          <w:tcPr>
            <w:tcW w:w="1598" w:type="dxa"/>
            <w:gridSpan w:val="2"/>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安全员</w:t>
            </w:r>
          </w:p>
        </w:tc>
        <w:tc>
          <w:tcPr>
            <w:tcW w:w="101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0" w:hRule="atLeast"/>
          <w:jc w:val="center"/>
        </w:trPr>
        <w:tc>
          <w:tcPr>
            <w:tcW w:w="79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21</w:t>
            </w:r>
          </w:p>
        </w:tc>
        <w:tc>
          <w:tcPr>
            <w:tcW w:w="1608"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p>
        </w:tc>
        <w:tc>
          <w:tcPr>
            <w:tcW w:w="354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水（液）位表的水（液）位显示不清晰</w:t>
            </w:r>
          </w:p>
        </w:tc>
        <w:tc>
          <w:tcPr>
            <w:tcW w:w="4100" w:type="dxa"/>
            <w:vMerge w:val="restart"/>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1.明确远程水位测量装置、只读式水位表检修、验收、维护保养、水位计冲洗等要求；</w:t>
            </w:r>
          </w:p>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2.定期对水位计进行维护保养、更换、冲洗、校对等。</w:t>
            </w:r>
          </w:p>
        </w:tc>
        <w:tc>
          <w:tcPr>
            <w:tcW w:w="1569"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日管控</w:t>
            </w:r>
          </w:p>
        </w:tc>
        <w:tc>
          <w:tcPr>
            <w:tcW w:w="1598" w:type="dxa"/>
            <w:gridSpan w:val="2"/>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安全员</w:t>
            </w:r>
          </w:p>
        </w:tc>
        <w:tc>
          <w:tcPr>
            <w:tcW w:w="101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4" w:hRule="atLeast"/>
          <w:jc w:val="center"/>
        </w:trPr>
        <w:tc>
          <w:tcPr>
            <w:tcW w:w="79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22</w:t>
            </w:r>
          </w:p>
        </w:tc>
        <w:tc>
          <w:tcPr>
            <w:tcW w:w="1608"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p>
        </w:tc>
        <w:tc>
          <w:tcPr>
            <w:tcW w:w="354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远程水（液）位测量装置与就地水（液）位表未校对</w:t>
            </w:r>
          </w:p>
        </w:tc>
        <w:tc>
          <w:tcPr>
            <w:tcW w:w="4100"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p>
        </w:tc>
        <w:tc>
          <w:tcPr>
            <w:tcW w:w="1569"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周排查</w:t>
            </w:r>
          </w:p>
        </w:tc>
        <w:tc>
          <w:tcPr>
            <w:tcW w:w="1598" w:type="dxa"/>
            <w:gridSpan w:val="2"/>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101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4" w:hRule="atLeast"/>
          <w:jc w:val="center"/>
        </w:trPr>
        <w:tc>
          <w:tcPr>
            <w:tcW w:w="79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23</w:t>
            </w:r>
          </w:p>
        </w:tc>
        <w:tc>
          <w:tcPr>
            <w:tcW w:w="1608"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p>
        </w:tc>
        <w:tc>
          <w:tcPr>
            <w:tcW w:w="354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szCs w:val="24"/>
              </w:rPr>
              <w:t>温度测量装置未按规定校验或者校准</w:t>
            </w:r>
          </w:p>
        </w:tc>
        <w:tc>
          <w:tcPr>
            <w:tcW w:w="4100" w:type="dxa"/>
            <w:vMerge w:val="restart"/>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落实专人定期开展送检或检查</w:t>
            </w:r>
          </w:p>
        </w:tc>
        <w:tc>
          <w:tcPr>
            <w:tcW w:w="1569"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周排查</w:t>
            </w:r>
          </w:p>
        </w:tc>
        <w:tc>
          <w:tcPr>
            <w:tcW w:w="1598" w:type="dxa"/>
            <w:gridSpan w:val="2"/>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101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jc w:val="center"/>
        </w:trPr>
        <w:tc>
          <w:tcPr>
            <w:tcW w:w="79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24</w:t>
            </w:r>
          </w:p>
        </w:tc>
        <w:tc>
          <w:tcPr>
            <w:tcW w:w="1608"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p>
        </w:tc>
        <w:tc>
          <w:tcPr>
            <w:tcW w:w="354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温度测量装置示值误差不正常</w:t>
            </w:r>
          </w:p>
        </w:tc>
        <w:tc>
          <w:tcPr>
            <w:tcW w:w="4100"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p>
        </w:tc>
        <w:tc>
          <w:tcPr>
            <w:tcW w:w="1569"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日管控</w:t>
            </w:r>
          </w:p>
        </w:tc>
        <w:tc>
          <w:tcPr>
            <w:tcW w:w="1598" w:type="dxa"/>
            <w:gridSpan w:val="2"/>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安全员</w:t>
            </w:r>
          </w:p>
        </w:tc>
        <w:tc>
          <w:tcPr>
            <w:tcW w:w="101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39" w:hRule="atLeast"/>
          <w:jc w:val="center"/>
        </w:trPr>
        <w:tc>
          <w:tcPr>
            <w:tcW w:w="79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25</w:t>
            </w:r>
          </w:p>
        </w:tc>
        <w:tc>
          <w:tcPr>
            <w:tcW w:w="1608"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p>
        </w:tc>
        <w:tc>
          <w:tcPr>
            <w:tcW w:w="354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水位、压力、温度、点火程序控制、熄火保护等联锁保护装置的设置不符合要求</w:t>
            </w:r>
          </w:p>
        </w:tc>
        <w:tc>
          <w:tcPr>
            <w:tcW w:w="41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1.对安全保护装置进行调试、验收；</w:t>
            </w:r>
          </w:p>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szCs w:val="24"/>
              </w:rPr>
              <w:t>2、对安全保护装置定期进行维护保养和试验并作出记录。</w:t>
            </w:r>
          </w:p>
        </w:tc>
        <w:tc>
          <w:tcPr>
            <w:tcW w:w="1569"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周排查</w:t>
            </w:r>
          </w:p>
        </w:tc>
        <w:tc>
          <w:tcPr>
            <w:tcW w:w="1598" w:type="dxa"/>
            <w:gridSpan w:val="2"/>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101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6" w:hRule="atLeast"/>
          <w:jc w:val="center"/>
        </w:trPr>
        <w:tc>
          <w:tcPr>
            <w:tcW w:w="79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kern w:val="0"/>
                <w:sz w:val="24"/>
              </w:rPr>
              <w:t>26</w:t>
            </w:r>
          </w:p>
        </w:tc>
        <w:tc>
          <w:tcPr>
            <w:tcW w:w="1608"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环境因素</w:t>
            </w:r>
          </w:p>
        </w:tc>
        <w:tc>
          <w:tcPr>
            <w:tcW w:w="354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szCs w:val="24"/>
              </w:rPr>
              <w:t>锅炉周围的安全通道、照明、防火、防雷、防风、防雨、防冻、防腐设施以及警示标志的设置不符合要求</w:t>
            </w:r>
          </w:p>
        </w:tc>
        <w:tc>
          <w:tcPr>
            <w:tcW w:w="41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1.制定锅炉房安全管理制度，明确锅炉房管理的要求；</w:t>
            </w:r>
          </w:p>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2.锅炉房维修、改造时应满足GB 50041《锅炉房设计标准》、GB 50016《建筑设计防火规范》等规定，并形成验收记录；</w:t>
            </w:r>
          </w:p>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3.按规定设置警示标志，禁止非锅炉作业人员随意进入锅炉房。</w:t>
            </w:r>
          </w:p>
        </w:tc>
        <w:tc>
          <w:tcPr>
            <w:tcW w:w="1569"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周排查</w:t>
            </w:r>
          </w:p>
        </w:tc>
        <w:tc>
          <w:tcPr>
            <w:tcW w:w="1598" w:type="dxa"/>
            <w:gridSpan w:val="2"/>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101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6" w:hRule="atLeast"/>
          <w:jc w:val="center"/>
        </w:trPr>
        <w:tc>
          <w:tcPr>
            <w:tcW w:w="794"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27</w:t>
            </w:r>
          </w:p>
        </w:tc>
        <w:tc>
          <w:tcPr>
            <w:tcW w:w="1608" w:type="dxa"/>
            <w:vMerge w:val="restart"/>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热水锅炉</w:t>
            </w:r>
          </w:p>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专项</w:t>
            </w:r>
          </w:p>
        </w:tc>
        <w:tc>
          <w:tcPr>
            <w:tcW w:w="354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自动补给水装置不符合要求</w:t>
            </w:r>
          </w:p>
        </w:tc>
        <w:tc>
          <w:tcPr>
            <w:tcW w:w="41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按规定进行维护保养、检查和试验，发现异常，按规定进行报告和处理</w:t>
            </w:r>
          </w:p>
        </w:tc>
        <w:tc>
          <w:tcPr>
            <w:tcW w:w="1569"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sz w:val="24"/>
                <w:szCs w:val="24"/>
              </w:rPr>
              <w:t>周排查</w:t>
            </w:r>
          </w:p>
        </w:tc>
        <w:tc>
          <w:tcPr>
            <w:tcW w:w="1598" w:type="dxa"/>
            <w:gridSpan w:val="2"/>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101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7" w:hRule="atLeast"/>
          <w:jc w:val="center"/>
        </w:trPr>
        <w:tc>
          <w:tcPr>
            <w:tcW w:w="794"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28</w:t>
            </w:r>
          </w:p>
        </w:tc>
        <w:tc>
          <w:tcPr>
            <w:tcW w:w="1608"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p>
        </w:tc>
        <w:tc>
          <w:tcPr>
            <w:tcW w:w="354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循环泵停泵联锁装置不符合要求</w:t>
            </w:r>
          </w:p>
        </w:tc>
        <w:tc>
          <w:tcPr>
            <w:tcW w:w="41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按规定进行维护保养、检查和试验，发现异常，按规定进行报告和处理</w:t>
            </w:r>
          </w:p>
        </w:tc>
        <w:tc>
          <w:tcPr>
            <w:tcW w:w="1569"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sz w:val="24"/>
                <w:szCs w:val="24"/>
              </w:rPr>
              <w:t>日管控</w:t>
            </w:r>
          </w:p>
        </w:tc>
        <w:tc>
          <w:tcPr>
            <w:tcW w:w="1598" w:type="dxa"/>
            <w:gridSpan w:val="2"/>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安全员</w:t>
            </w:r>
          </w:p>
        </w:tc>
        <w:tc>
          <w:tcPr>
            <w:tcW w:w="101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1" w:hRule="atLeast"/>
          <w:jc w:val="center"/>
        </w:trPr>
        <w:tc>
          <w:tcPr>
            <w:tcW w:w="794"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29</w:t>
            </w:r>
          </w:p>
        </w:tc>
        <w:tc>
          <w:tcPr>
            <w:tcW w:w="1608" w:type="dxa"/>
            <w:vMerge w:val="restart"/>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有机热载体锅炉专项</w:t>
            </w:r>
          </w:p>
        </w:tc>
        <w:tc>
          <w:tcPr>
            <w:tcW w:w="354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有机热载体未按规定进行检验或检验不符合要求</w:t>
            </w:r>
          </w:p>
        </w:tc>
        <w:tc>
          <w:tcPr>
            <w:tcW w:w="41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定期对有机热载体按规定取样检验</w:t>
            </w:r>
          </w:p>
        </w:tc>
        <w:tc>
          <w:tcPr>
            <w:tcW w:w="1569"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sz w:val="24"/>
                <w:szCs w:val="24"/>
              </w:rPr>
              <w:t>周排查</w:t>
            </w:r>
          </w:p>
        </w:tc>
        <w:tc>
          <w:tcPr>
            <w:tcW w:w="1598" w:type="dxa"/>
            <w:gridSpan w:val="2"/>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101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1" w:hRule="atLeast"/>
          <w:jc w:val="center"/>
        </w:trPr>
        <w:tc>
          <w:tcPr>
            <w:tcW w:w="794"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30</w:t>
            </w:r>
          </w:p>
        </w:tc>
        <w:tc>
          <w:tcPr>
            <w:tcW w:w="1608"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p>
        </w:tc>
        <w:tc>
          <w:tcPr>
            <w:tcW w:w="354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膨胀罐、闪蒸罐、冷凝液罐不符合要求</w:t>
            </w:r>
          </w:p>
        </w:tc>
        <w:tc>
          <w:tcPr>
            <w:tcW w:w="41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按规定进行维护保养、检查和试验，发现异常，按规定进行报告和处理</w:t>
            </w:r>
          </w:p>
        </w:tc>
        <w:tc>
          <w:tcPr>
            <w:tcW w:w="1569"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sz w:val="24"/>
                <w:szCs w:val="24"/>
              </w:rPr>
              <w:t>日管控</w:t>
            </w:r>
          </w:p>
        </w:tc>
        <w:tc>
          <w:tcPr>
            <w:tcW w:w="1598" w:type="dxa"/>
            <w:gridSpan w:val="2"/>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安全员</w:t>
            </w:r>
          </w:p>
        </w:tc>
        <w:tc>
          <w:tcPr>
            <w:tcW w:w="101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794"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31</w:t>
            </w:r>
          </w:p>
        </w:tc>
        <w:tc>
          <w:tcPr>
            <w:tcW w:w="1608" w:type="dxa"/>
            <w:vMerge w:val="restart"/>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sz w:val="24"/>
              </w:rPr>
              <w:t>D级锅炉专项</w:t>
            </w:r>
          </w:p>
        </w:tc>
        <w:tc>
          <w:tcPr>
            <w:tcW w:w="3545" w:type="dxa"/>
            <w:vAlign w:val="center"/>
          </w:tcPr>
          <w:p>
            <w:pPr>
              <w:keepNext w:val="0"/>
              <w:keepLines w:val="0"/>
              <w:pageBreakBefore w:val="0"/>
              <w:numPr>
                <w:ilvl w:val="255"/>
                <w:numId w:val="0"/>
              </w:numPr>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未对作业人员进行培训</w:t>
            </w:r>
          </w:p>
        </w:tc>
        <w:tc>
          <w:tcPr>
            <w:tcW w:w="4100" w:type="dxa"/>
            <w:vAlign w:val="center"/>
          </w:tcPr>
          <w:p>
            <w:pPr>
              <w:keepNext w:val="0"/>
              <w:keepLines w:val="0"/>
              <w:pageBreakBefore w:val="0"/>
              <w:numPr>
                <w:ilvl w:val="255"/>
                <w:numId w:val="0"/>
              </w:numPr>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定期对锅炉操作人员进行安全操作、安全管理和应急处置等进行培训</w:t>
            </w:r>
          </w:p>
        </w:tc>
        <w:tc>
          <w:tcPr>
            <w:tcW w:w="1569"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周排查</w:t>
            </w:r>
          </w:p>
        </w:tc>
        <w:tc>
          <w:tcPr>
            <w:tcW w:w="1598" w:type="dxa"/>
            <w:gridSpan w:val="2"/>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101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794"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32</w:t>
            </w:r>
          </w:p>
        </w:tc>
        <w:tc>
          <w:tcPr>
            <w:tcW w:w="1608" w:type="dxa"/>
            <w:vMerge w:val="continue"/>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p>
        </w:tc>
        <w:tc>
          <w:tcPr>
            <w:tcW w:w="3545" w:type="dxa"/>
            <w:vAlign w:val="center"/>
          </w:tcPr>
          <w:p>
            <w:pPr>
              <w:keepNext w:val="0"/>
              <w:keepLines w:val="0"/>
              <w:pageBreakBefore w:val="0"/>
              <w:numPr>
                <w:ilvl w:val="255"/>
                <w:numId w:val="0"/>
              </w:numPr>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未开展定期自行检查，未对安全附件定期维护</w:t>
            </w:r>
          </w:p>
        </w:tc>
        <w:tc>
          <w:tcPr>
            <w:tcW w:w="4100" w:type="dxa"/>
            <w:vAlign w:val="center"/>
          </w:tcPr>
          <w:p>
            <w:pPr>
              <w:keepNext w:val="0"/>
              <w:keepLines w:val="0"/>
              <w:pageBreakBefore w:val="0"/>
              <w:numPr>
                <w:ilvl w:val="255"/>
                <w:numId w:val="0"/>
              </w:numPr>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按规定进行维护保养和定期自行检查</w:t>
            </w:r>
          </w:p>
        </w:tc>
        <w:tc>
          <w:tcPr>
            <w:tcW w:w="1569"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周排查</w:t>
            </w:r>
          </w:p>
        </w:tc>
        <w:tc>
          <w:tcPr>
            <w:tcW w:w="1598" w:type="dxa"/>
            <w:gridSpan w:val="2"/>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101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794"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33</w:t>
            </w:r>
          </w:p>
        </w:tc>
        <w:tc>
          <w:tcPr>
            <w:tcW w:w="1608" w:type="dxa"/>
            <w:vMerge w:val="continue"/>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p>
        </w:tc>
        <w:tc>
          <w:tcPr>
            <w:tcW w:w="3545" w:type="dxa"/>
            <w:vAlign w:val="center"/>
          </w:tcPr>
          <w:p>
            <w:pPr>
              <w:keepNext w:val="0"/>
              <w:keepLines w:val="0"/>
              <w:pageBreakBefore w:val="0"/>
              <w:numPr>
                <w:ilvl w:val="255"/>
                <w:numId w:val="0"/>
              </w:numPr>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擅自对锅炉进行改造</w:t>
            </w:r>
          </w:p>
        </w:tc>
        <w:tc>
          <w:tcPr>
            <w:tcW w:w="4100" w:type="dxa"/>
            <w:vAlign w:val="center"/>
          </w:tcPr>
          <w:p>
            <w:pPr>
              <w:keepNext w:val="0"/>
              <w:keepLines w:val="0"/>
              <w:pageBreakBefore w:val="0"/>
              <w:numPr>
                <w:ilvl w:val="255"/>
                <w:numId w:val="0"/>
              </w:numPr>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发现擅自改造立即停止运行，做进一步处理</w:t>
            </w:r>
          </w:p>
        </w:tc>
        <w:tc>
          <w:tcPr>
            <w:tcW w:w="1569"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周排查</w:t>
            </w:r>
          </w:p>
        </w:tc>
        <w:tc>
          <w:tcPr>
            <w:tcW w:w="1598" w:type="dxa"/>
            <w:gridSpan w:val="2"/>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101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5" w:hRule="atLeast"/>
          <w:jc w:val="center"/>
        </w:trPr>
        <w:tc>
          <w:tcPr>
            <w:tcW w:w="794"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34</w:t>
            </w:r>
          </w:p>
        </w:tc>
        <w:tc>
          <w:tcPr>
            <w:tcW w:w="1608" w:type="dxa"/>
            <w:vMerge w:val="continue"/>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p>
        </w:tc>
        <w:tc>
          <w:tcPr>
            <w:tcW w:w="3545" w:type="dxa"/>
            <w:vAlign w:val="center"/>
          </w:tcPr>
          <w:p>
            <w:pPr>
              <w:keepNext w:val="0"/>
              <w:keepLines w:val="0"/>
              <w:pageBreakBefore w:val="0"/>
              <w:numPr>
                <w:ilvl w:val="255"/>
                <w:numId w:val="0"/>
              </w:numPr>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超设计寿命使用</w:t>
            </w:r>
          </w:p>
        </w:tc>
        <w:tc>
          <w:tcPr>
            <w:tcW w:w="4100" w:type="dxa"/>
            <w:vAlign w:val="center"/>
          </w:tcPr>
          <w:p>
            <w:pPr>
              <w:keepNext w:val="0"/>
              <w:keepLines w:val="0"/>
              <w:pageBreakBefore w:val="0"/>
              <w:numPr>
                <w:ilvl w:val="255"/>
                <w:numId w:val="0"/>
              </w:numPr>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使用年限不得超过8年</w:t>
            </w:r>
          </w:p>
        </w:tc>
        <w:tc>
          <w:tcPr>
            <w:tcW w:w="1569"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月调度</w:t>
            </w:r>
          </w:p>
        </w:tc>
        <w:tc>
          <w:tcPr>
            <w:tcW w:w="1598" w:type="dxa"/>
            <w:gridSpan w:val="2"/>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主要负责人</w:t>
            </w:r>
          </w:p>
        </w:tc>
        <w:tc>
          <w:tcPr>
            <w:tcW w:w="101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9" w:hRule="atLeast"/>
          <w:jc w:val="center"/>
        </w:trPr>
        <w:tc>
          <w:tcPr>
            <w:tcW w:w="794"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35</w:t>
            </w:r>
          </w:p>
        </w:tc>
        <w:tc>
          <w:tcPr>
            <w:tcW w:w="1608"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sz w:val="24"/>
              </w:rPr>
              <w:t>政府监督、通报、预警</w:t>
            </w:r>
          </w:p>
        </w:tc>
        <w:tc>
          <w:tcPr>
            <w:tcW w:w="354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发现不合格项</w:t>
            </w:r>
          </w:p>
        </w:tc>
        <w:tc>
          <w:tcPr>
            <w:tcW w:w="41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记录，整改。</w:t>
            </w:r>
          </w:p>
        </w:tc>
        <w:tc>
          <w:tcPr>
            <w:tcW w:w="1569"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rPr>
              <w:t>周排查</w:t>
            </w:r>
          </w:p>
        </w:tc>
        <w:tc>
          <w:tcPr>
            <w:tcW w:w="1598" w:type="dxa"/>
            <w:gridSpan w:val="2"/>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rPr>
              <w:t>安全总监</w:t>
            </w:r>
          </w:p>
        </w:tc>
        <w:tc>
          <w:tcPr>
            <w:tcW w:w="101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3" w:hRule="atLeast"/>
          <w:jc w:val="center"/>
        </w:trPr>
        <w:tc>
          <w:tcPr>
            <w:tcW w:w="794"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36</w:t>
            </w:r>
          </w:p>
        </w:tc>
        <w:tc>
          <w:tcPr>
            <w:tcW w:w="1608"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投诉举报</w:t>
            </w:r>
          </w:p>
        </w:tc>
        <w:tc>
          <w:tcPr>
            <w:tcW w:w="354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发现不合格项</w:t>
            </w:r>
          </w:p>
        </w:tc>
        <w:tc>
          <w:tcPr>
            <w:tcW w:w="41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记录，整改，消除安全隐患。</w:t>
            </w:r>
          </w:p>
        </w:tc>
        <w:tc>
          <w:tcPr>
            <w:tcW w:w="1569"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rPr>
              <w:t>日管控</w:t>
            </w:r>
          </w:p>
        </w:tc>
        <w:tc>
          <w:tcPr>
            <w:tcW w:w="1598" w:type="dxa"/>
            <w:gridSpan w:val="2"/>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rPr>
              <w:t>安全员</w:t>
            </w:r>
          </w:p>
        </w:tc>
        <w:tc>
          <w:tcPr>
            <w:tcW w:w="101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jc w:val="center"/>
        </w:trPr>
        <w:tc>
          <w:tcPr>
            <w:tcW w:w="794"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37</w:t>
            </w:r>
          </w:p>
        </w:tc>
        <w:tc>
          <w:tcPr>
            <w:tcW w:w="1608"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舆情信息</w:t>
            </w:r>
          </w:p>
        </w:tc>
        <w:tc>
          <w:tcPr>
            <w:tcW w:w="354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发现不合格项</w:t>
            </w:r>
          </w:p>
        </w:tc>
        <w:tc>
          <w:tcPr>
            <w:tcW w:w="41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记录，整改</w:t>
            </w:r>
          </w:p>
        </w:tc>
        <w:tc>
          <w:tcPr>
            <w:tcW w:w="1569"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rPr>
              <w:t>日管控</w:t>
            </w:r>
          </w:p>
        </w:tc>
        <w:tc>
          <w:tcPr>
            <w:tcW w:w="1598" w:type="dxa"/>
            <w:gridSpan w:val="2"/>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rPr>
              <w:t>安全员</w:t>
            </w:r>
          </w:p>
        </w:tc>
        <w:tc>
          <w:tcPr>
            <w:tcW w:w="101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bl>
    <w:p>
      <w:pPr>
        <w:rPr>
          <w:rFonts w:ascii="宋体" w:hAnsi="宋体" w:eastAsia="宋体" w:cs="宋体"/>
          <w:b/>
          <w:sz w:val="24"/>
          <w:szCs w:val="24"/>
        </w:rPr>
      </w:pPr>
      <w:r>
        <w:rPr>
          <w:rFonts w:ascii="宋体" w:hAnsi="宋体" w:eastAsia="宋体" w:cs="宋体"/>
          <w:b/>
          <w:sz w:val="24"/>
          <w:szCs w:val="24"/>
        </w:rPr>
        <w:t>注</w:t>
      </w:r>
      <w:r>
        <w:rPr>
          <w:rFonts w:hint="eastAsia" w:ascii="宋体" w:hAnsi="宋体"/>
          <w:b/>
          <w:bCs/>
          <w:kern w:val="0"/>
          <w:sz w:val="24"/>
        </w:rPr>
        <w:t>：</w:t>
      </w:r>
      <w:r>
        <w:rPr>
          <w:rFonts w:ascii="宋体" w:hAnsi="宋体" w:eastAsia="宋体" w:cs="宋体"/>
          <w:b/>
          <w:sz w:val="24"/>
          <w:szCs w:val="24"/>
        </w:rPr>
        <w:t>本清单为推荐性格式，仅规定了应当进行日管控、周排查、月调度的基本项目，</w:t>
      </w:r>
      <w:r>
        <w:rPr>
          <w:rFonts w:hint="eastAsia" w:ascii="宋体" w:hAnsi="宋体" w:eastAsia="宋体" w:cs="宋体"/>
          <w:b/>
          <w:sz w:val="24"/>
          <w:szCs w:val="24"/>
        </w:rPr>
        <w:t>锅炉使用</w:t>
      </w:r>
      <w:r>
        <w:rPr>
          <w:rFonts w:ascii="宋体" w:hAnsi="宋体" w:eastAsia="宋体" w:cs="宋体"/>
          <w:b/>
          <w:sz w:val="24"/>
          <w:szCs w:val="24"/>
        </w:rPr>
        <w:t>单位应当结合本单位实际情况和具体要求，细化风险管控清单</w:t>
      </w:r>
      <w:r>
        <w:rPr>
          <w:rFonts w:hint="eastAsia" w:ascii="宋体" w:hAnsi="宋体" w:eastAsia="宋体" w:cs="宋体"/>
          <w:b/>
          <w:sz w:val="24"/>
          <w:szCs w:val="24"/>
        </w:rPr>
        <w:t>，</w:t>
      </w:r>
      <w:r>
        <w:rPr>
          <w:rFonts w:ascii="宋体" w:hAnsi="宋体" w:eastAsia="宋体" w:cs="宋体"/>
          <w:b/>
          <w:sz w:val="24"/>
          <w:szCs w:val="24"/>
        </w:rPr>
        <w:t>合理调整管控形式。</w:t>
      </w:r>
    </w:p>
    <w:p>
      <w:pPr>
        <w:rPr>
          <w:rFonts w:ascii="宋体" w:hAnsi="宋体" w:eastAsia="宋体" w:cs="宋体"/>
          <w:b/>
          <w:sz w:val="24"/>
          <w:szCs w:val="24"/>
        </w:rPr>
      </w:pPr>
      <w:r>
        <w:rPr>
          <w:rFonts w:ascii="宋体" w:hAnsi="宋体" w:eastAsia="宋体" w:cs="宋体"/>
          <w:b/>
          <w:sz w:val="24"/>
          <w:szCs w:val="24"/>
        </w:rPr>
        <w:br w:type="page"/>
      </w:r>
    </w:p>
    <w:p>
      <w:pPr>
        <w:pStyle w:val="4"/>
        <w:bidi w:val="0"/>
        <w:jc w:val="left"/>
      </w:pPr>
      <w:bookmarkStart w:id="261" w:name="_Toc1692"/>
      <w:bookmarkStart w:id="262" w:name="_Toc31912_WPSOffice_Level1"/>
      <w:r>
        <w:rPr>
          <w:rFonts w:hint="eastAsia"/>
          <w:b w:val="0"/>
          <w:bCs/>
          <w:sz w:val="32"/>
          <w:szCs w:val="32"/>
        </w:rPr>
        <w:t>附录B2</w:t>
      </w:r>
      <w:r>
        <w:rPr>
          <w:rFonts w:hint="eastAsia"/>
        </w:rPr>
        <w:t xml:space="preserve">              </w:t>
      </w:r>
      <w:r>
        <w:rPr>
          <w:rFonts w:hint="eastAsia"/>
          <w:lang w:val="en-US" w:eastAsia="zh-CN"/>
        </w:rPr>
        <w:t xml:space="preserve"> </w:t>
      </w:r>
      <w:r>
        <w:rPr>
          <w:rFonts w:hint="eastAsia"/>
        </w:rPr>
        <w:t>压力容器安全风险管控清单</w:t>
      </w:r>
      <w:bookmarkEnd w:id="261"/>
      <w:bookmarkEnd w:id="262"/>
    </w:p>
    <w:tbl>
      <w:tblPr>
        <w:tblStyle w:val="12"/>
        <w:tblW w:w="1416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91"/>
        <w:gridCol w:w="1599"/>
        <w:gridCol w:w="2209"/>
        <w:gridCol w:w="4905"/>
        <w:gridCol w:w="1783"/>
        <w:gridCol w:w="1696"/>
        <w:gridCol w:w="11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 w:hRule="exact"/>
          <w:tblHeader/>
          <w:jc w:val="center"/>
        </w:trPr>
        <w:tc>
          <w:tcPr>
            <w:tcW w:w="791" w:type="dxa"/>
            <w:shd w:val="clear" w:color="auto" w:fill="BEBEBE" w:themeFill="background1" w:themeFillShade="BF"/>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序号</w:t>
            </w:r>
          </w:p>
        </w:tc>
        <w:tc>
          <w:tcPr>
            <w:tcW w:w="1599" w:type="dxa"/>
            <w:shd w:val="clear" w:color="auto" w:fill="BEBEBE" w:themeFill="background1" w:themeFillShade="BF"/>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风险类别</w:t>
            </w:r>
          </w:p>
        </w:tc>
        <w:tc>
          <w:tcPr>
            <w:tcW w:w="2209" w:type="dxa"/>
            <w:shd w:val="clear" w:color="auto" w:fill="BEBEBE" w:themeFill="background1" w:themeFillShade="BF"/>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bCs/>
                <w:kern w:val="0"/>
                <w:sz w:val="28"/>
                <w:szCs w:val="28"/>
              </w:rPr>
              <w:t>风险指标</w:t>
            </w:r>
          </w:p>
        </w:tc>
        <w:tc>
          <w:tcPr>
            <w:tcW w:w="4905" w:type="dxa"/>
            <w:shd w:val="clear" w:color="auto" w:fill="BEBEBE" w:themeFill="background1" w:themeFillShade="BF"/>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风险管控措施</w:t>
            </w:r>
          </w:p>
        </w:tc>
        <w:tc>
          <w:tcPr>
            <w:tcW w:w="1783" w:type="dxa"/>
            <w:shd w:val="clear" w:color="auto" w:fill="BEBEBE" w:themeFill="background1" w:themeFillShade="BF"/>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管控形式</w:t>
            </w:r>
          </w:p>
        </w:tc>
        <w:tc>
          <w:tcPr>
            <w:tcW w:w="1696" w:type="dxa"/>
            <w:shd w:val="clear" w:color="auto" w:fill="BEBEBE" w:themeFill="background1" w:themeFillShade="BF"/>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责任人</w:t>
            </w:r>
          </w:p>
        </w:tc>
        <w:tc>
          <w:tcPr>
            <w:tcW w:w="1185" w:type="dxa"/>
            <w:shd w:val="clear" w:color="auto" w:fill="BEBEBE" w:themeFill="background1" w:themeFillShade="BF"/>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7" w:hRule="atLeas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w:t>
            </w:r>
          </w:p>
        </w:tc>
        <w:tc>
          <w:tcPr>
            <w:tcW w:w="1599"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人员</w:t>
            </w:r>
          </w:p>
        </w:tc>
        <w:tc>
          <w:tcPr>
            <w:tcW w:w="2209"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rPr>
              <w:t>未按规定配置安全管理人员、作业人员</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1、建立特种设备安全管理人员与作业人员管理制度；</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2、定期检查作业人员证件；</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3、现场检查作业人员持证情况</w:t>
            </w:r>
          </w:p>
        </w:tc>
        <w:tc>
          <w:tcPr>
            <w:tcW w:w="1783"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日管控</w:t>
            </w:r>
          </w:p>
        </w:tc>
        <w:tc>
          <w:tcPr>
            <w:tcW w:w="1696"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安全员</w:t>
            </w: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7" w:hRule="atLeas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w:t>
            </w:r>
          </w:p>
        </w:tc>
        <w:tc>
          <w:tcPr>
            <w:tcW w:w="1599"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2209"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rPr>
              <w:t>未按规定定期开展安全培训，培训未覆盖相关人员</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1、建立人员安全培训制度；</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2、定期对相关人员进行培训教育</w:t>
            </w:r>
            <w:r>
              <w:rPr>
                <w:rFonts w:hint="eastAsia" w:asciiTheme="minorEastAsia" w:hAnsiTheme="minorEastAsia" w:eastAsiaTheme="minorEastAsia" w:cstheme="minorEastAsia"/>
                <w:kern w:val="0"/>
                <w:sz w:val="24"/>
                <w:szCs w:val="24"/>
              </w:rPr>
              <w:t>和考核</w:t>
            </w:r>
          </w:p>
        </w:tc>
        <w:tc>
          <w:tcPr>
            <w:tcW w:w="1783"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周排查</w:t>
            </w:r>
          </w:p>
        </w:tc>
        <w:tc>
          <w:tcPr>
            <w:tcW w:w="1696"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30" w:hRule="exac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w:t>
            </w:r>
          </w:p>
        </w:tc>
        <w:tc>
          <w:tcPr>
            <w:tcW w:w="1599"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2209"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rPr>
              <w:t>未按规定配备安全总监、安全员、作业人员</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按规定配备相关人员</w:t>
            </w:r>
          </w:p>
        </w:tc>
        <w:tc>
          <w:tcPr>
            <w:tcW w:w="1783"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月调度</w:t>
            </w:r>
          </w:p>
        </w:tc>
        <w:tc>
          <w:tcPr>
            <w:tcW w:w="1696"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主要负责人</w:t>
            </w: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7" w:hRule="atLeas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w:t>
            </w:r>
          </w:p>
        </w:tc>
        <w:tc>
          <w:tcPr>
            <w:tcW w:w="1599" w:type="dxa"/>
            <w:vMerge w:val="continue"/>
            <w:vAlign w:val="center"/>
          </w:tcPr>
          <w:p>
            <w:pPr>
              <w:keepNext w:val="0"/>
              <w:keepLines w:val="0"/>
              <w:pageBreakBefore w:val="0"/>
              <w:widowControl/>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2209"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使用单位压力容器安全总监、安全员安全管理能力不足</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1、定期组织宣贯压力容器有关法律法规、安全技术规范及相关标准培训；</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2、加强人员能力考核</w:t>
            </w:r>
            <w:r>
              <w:rPr>
                <w:rFonts w:hint="eastAsia" w:asciiTheme="minorEastAsia" w:hAnsiTheme="minorEastAsia" w:eastAsiaTheme="minorEastAsia" w:cstheme="minorEastAsia"/>
                <w:kern w:val="0"/>
                <w:sz w:val="24"/>
                <w:szCs w:val="24"/>
              </w:rPr>
              <w:t>和建立人员激励约束机制</w:t>
            </w:r>
          </w:p>
        </w:tc>
        <w:tc>
          <w:tcPr>
            <w:tcW w:w="178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p>
        </w:tc>
        <w:tc>
          <w:tcPr>
            <w:tcW w:w="169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76" w:hRule="exac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textAlignment w:val="auto"/>
              <w:rPr>
                <w:rFonts w:hint="eastAsia" w:asciiTheme="minorEastAsia" w:hAnsiTheme="minorEastAsia" w:eastAsiaTheme="minorEastAsia" w:cstheme="minorEastAsia"/>
                <w:color w:val="FF0000"/>
                <w:kern w:val="0"/>
                <w:sz w:val="24"/>
                <w:szCs w:val="24"/>
              </w:rPr>
            </w:pPr>
            <w:r>
              <w:rPr>
                <w:rFonts w:hint="eastAsia" w:asciiTheme="minorEastAsia" w:hAnsiTheme="minorEastAsia" w:eastAsiaTheme="minorEastAsia" w:cstheme="minorEastAsia"/>
                <w:color w:val="000000"/>
                <w:kern w:val="0"/>
                <w:sz w:val="24"/>
                <w:szCs w:val="24"/>
              </w:rPr>
              <w:t>5</w:t>
            </w:r>
          </w:p>
        </w:tc>
        <w:tc>
          <w:tcPr>
            <w:tcW w:w="1599"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管理</w:t>
            </w:r>
          </w:p>
        </w:tc>
        <w:tc>
          <w:tcPr>
            <w:tcW w:w="2209"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rPr>
              <w:t>未按规定办理使用登记和按时申报检验</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建立并严格执行使用登记、定期检验管理制度</w:t>
            </w:r>
          </w:p>
        </w:tc>
        <w:tc>
          <w:tcPr>
            <w:tcW w:w="1783"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周排查</w:t>
            </w:r>
          </w:p>
        </w:tc>
        <w:tc>
          <w:tcPr>
            <w:tcW w:w="1696"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highlight w:val="yello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7" w:hRule="atLeas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textAlignment w:val="auto"/>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6</w:t>
            </w:r>
          </w:p>
        </w:tc>
        <w:tc>
          <w:tcPr>
            <w:tcW w:w="1599"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color w:val="000000"/>
                <w:kern w:val="0"/>
                <w:sz w:val="24"/>
                <w:szCs w:val="24"/>
              </w:rPr>
            </w:pPr>
          </w:p>
        </w:tc>
        <w:tc>
          <w:tcPr>
            <w:tcW w:w="2209"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rPr>
              <w:t>未按一机一档建立安全技术档案；</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rPr>
              <w:t>档案文件内容和保存期限不满足相关规定</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健全安全管理技术档案管理</w:t>
            </w:r>
          </w:p>
        </w:tc>
        <w:tc>
          <w:tcPr>
            <w:tcW w:w="178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color w:val="FF0000"/>
                <w:sz w:val="24"/>
                <w:szCs w:val="24"/>
              </w:rPr>
            </w:pPr>
          </w:p>
        </w:tc>
        <w:tc>
          <w:tcPr>
            <w:tcW w:w="169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highlight w:val="yello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exac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textAlignment w:val="auto"/>
              <w:rPr>
                <w:rFonts w:hint="eastAsia" w:asciiTheme="minorEastAsia" w:hAnsiTheme="minorEastAsia" w:eastAsiaTheme="minorEastAsia" w:cstheme="minorEastAsia"/>
                <w:color w:val="FF0000"/>
                <w:kern w:val="0"/>
                <w:sz w:val="24"/>
                <w:szCs w:val="24"/>
              </w:rPr>
            </w:pPr>
            <w:r>
              <w:rPr>
                <w:rFonts w:hint="eastAsia" w:asciiTheme="minorEastAsia" w:hAnsiTheme="minorEastAsia" w:eastAsiaTheme="minorEastAsia" w:cstheme="minorEastAsia"/>
                <w:kern w:val="0"/>
                <w:sz w:val="24"/>
                <w:szCs w:val="24"/>
              </w:rPr>
              <w:t>7</w:t>
            </w:r>
          </w:p>
        </w:tc>
        <w:tc>
          <w:tcPr>
            <w:tcW w:w="1599"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FF0000"/>
                <w:kern w:val="0"/>
                <w:sz w:val="24"/>
                <w:szCs w:val="24"/>
              </w:rPr>
            </w:pPr>
            <w:r>
              <w:rPr>
                <w:rFonts w:hint="eastAsia" w:asciiTheme="minorEastAsia" w:hAnsiTheme="minorEastAsia" w:eastAsiaTheme="minorEastAsia" w:cstheme="minorEastAsia"/>
                <w:color w:val="000000"/>
                <w:kern w:val="0"/>
                <w:sz w:val="24"/>
                <w:szCs w:val="24"/>
              </w:rPr>
              <w:t>管理</w:t>
            </w:r>
          </w:p>
        </w:tc>
        <w:tc>
          <w:tcPr>
            <w:tcW w:w="2209"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color w:val="FF0000"/>
                <w:spacing w:val="6"/>
                <w:sz w:val="24"/>
                <w:szCs w:val="24"/>
              </w:rPr>
            </w:pPr>
            <w:r>
              <w:rPr>
                <w:rFonts w:hint="eastAsia" w:asciiTheme="minorEastAsia" w:hAnsiTheme="minorEastAsia" w:eastAsiaTheme="minorEastAsia" w:cstheme="minorEastAsia"/>
                <w:sz w:val="24"/>
                <w:szCs w:val="24"/>
              </w:rPr>
              <w:t>未定期开展日常维护保养，安全检查</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color w:val="FF0000"/>
                <w:sz w:val="24"/>
                <w:szCs w:val="24"/>
              </w:rPr>
            </w:pPr>
            <w:r>
              <w:rPr>
                <w:rFonts w:hint="eastAsia" w:asciiTheme="minorEastAsia" w:hAnsiTheme="minorEastAsia" w:eastAsiaTheme="minorEastAsia" w:cstheme="minorEastAsia"/>
                <w:sz w:val="24"/>
                <w:szCs w:val="24"/>
              </w:rPr>
              <w:t>定期开展日常维护保养，安全检查</w:t>
            </w:r>
          </w:p>
        </w:tc>
        <w:tc>
          <w:tcPr>
            <w:tcW w:w="1783"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FF0000"/>
                <w:sz w:val="24"/>
                <w:szCs w:val="24"/>
              </w:rPr>
            </w:pPr>
            <w:r>
              <w:rPr>
                <w:rFonts w:hint="eastAsia" w:asciiTheme="minorEastAsia" w:hAnsiTheme="minorEastAsia" w:eastAsiaTheme="minorEastAsia" w:cstheme="minorEastAsia"/>
                <w:sz w:val="24"/>
                <w:szCs w:val="24"/>
              </w:rPr>
              <w:t>周排查</w:t>
            </w:r>
          </w:p>
        </w:tc>
        <w:tc>
          <w:tcPr>
            <w:tcW w:w="1696"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highlight w:val="yello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exac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8</w:t>
            </w:r>
          </w:p>
        </w:tc>
        <w:tc>
          <w:tcPr>
            <w:tcW w:w="1599"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color w:val="FF0000"/>
                <w:kern w:val="0"/>
                <w:sz w:val="24"/>
                <w:szCs w:val="24"/>
              </w:rPr>
            </w:pPr>
          </w:p>
        </w:tc>
        <w:tc>
          <w:tcPr>
            <w:tcW w:w="2209"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pacing w:val="6"/>
                <w:sz w:val="24"/>
                <w:szCs w:val="24"/>
              </w:rPr>
              <w:t>未建立压力容器操作规程</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color w:val="000000"/>
                <w:sz w:val="24"/>
                <w:szCs w:val="24"/>
                <w:lang w:eastAsia="zh-CN"/>
              </w:rPr>
            </w:pPr>
            <w:r>
              <w:rPr>
                <w:rFonts w:hint="eastAsia" w:asciiTheme="minorEastAsia" w:hAnsiTheme="minorEastAsia" w:eastAsiaTheme="minorEastAsia" w:cstheme="minorEastAsia"/>
                <w:color w:val="000000"/>
                <w:sz w:val="24"/>
                <w:szCs w:val="24"/>
              </w:rPr>
              <w:t>1.建立完善操作规程；</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2.加强人员培训并组织实施</w:t>
            </w:r>
          </w:p>
        </w:tc>
        <w:tc>
          <w:tcPr>
            <w:tcW w:w="178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69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highlight w:val="yello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7" w:hRule="atLeas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9</w:t>
            </w:r>
          </w:p>
        </w:tc>
        <w:tc>
          <w:tcPr>
            <w:tcW w:w="1599"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color w:val="FF0000"/>
                <w:kern w:val="0"/>
                <w:sz w:val="24"/>
                <w:szCs w:val="24"/>
              </w:rPr>
            </w:pPr>
          </w:p>
        </w:tc>
        <w:tc>
          <w:tcPr>
            <w:tcW w:w="2209"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color w:val="000000"/>
                <w:spacing w:val="6"/>
                <w:sz w:val="24"/>
                <w:szCs w:val="24"/>
              </w:rPr>
            </w:pPr>
            <w:r>
              <w:rPr>
                <w:rFonts w:hint="eastAsia" w:asciiTheme="minorEastAsia" w:hAnsiTheme="minorEastAsia" w:eastAsiaTheme="minorEastAsia" w:cstheme="minorEastAsia"/>
                <w:color w:val="000000"/>
                <w:kern w:val="0"/>
                <w:sz w:val="24"/>
                <w:szCs w:val="24"/>
              </w:rPr>
              <w:t>安全隐患未及时整改或未按规定采取监控措施使用存在隐患的压力容器</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制定压力容器隐患整改计划，明确监控措施及责任人</w:t>
            </w:r>
          </w:p>
        </w:tc>
        <w:tc>
          <w:tcPr>
            <w:tcW w:w="178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69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highlight w:val="yello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7" w:hRule="atLeas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FF0000"/>
                <w:kern w:val="0"/>
                <w:sz w:val="24"/>
                <w:szCs w:val="24"/>
              </w:rPr>
            </w:pPr>
            <w:r>
              <w:rPr>
                <w:rFonts w:hint="eastAsia" w:asciiTheme="minorEastAsia" w:hAnsiTheme="minorEastAsia" w:eastAsiaTheme="minorEastAsia" w:cstheme="minorEastAsia"/>
                <w:color w:val="000000"/>
                <w:kern w:val="0"/>
                <w:sz w:val="24"/>
                <w:szCs w:val="24"/>
              </w:rPr>
              <w:t>10</w:t>
            </w:r>
          </w:p>
        </w:tc>
        <w:tc>
          <w:tcPr>
            <w:tcW w:w="1599"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color w:val="FF0000"/>
                <w:kern w:val="0"/>
                <w:sz w:val="24"/>
                <w:szCs w:val="24"/>
              </w:rPr>
            </w:pPr>
          </w:p>
        </w:tc>
        <w:tc>
          <w:tcPr>
            <w:tcW w:w="2209"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color w:val="000000"/>
                <w:spacing w:val="6"/>
                <w:sz w:val="24"/>
                <w:szCs w:val="24"/>
              </w:rPr>
            </w:pPr>
            <w:r>
              <w:rPr>
                <w:rFonts w:hint="eastAsia" w:asciiTheme="minorEastAsia" w:hAnsiTheme="minorEastAsia" w:eastAsiaTheme="minorEastAsia" w:cstheme="minorEastAsia"/>
                <w:color w:val="000000"/>
                <w:spacing w:val="6"/>
                <w:sz w:val="24"/>
                <w:szCs w:val="24"/>
              </w:rPr>
              <w:t>未建立岗位责任、隐患治理、应急救援等安全管理制度，制定操作规程或相关制度不完善</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根据单位实际情况，及时建立健全各类安全管理制度和操作规程</w:t>
            </w:r>
          </w:p>
        </w:tc>
        <w:tc>
          <w:tcPr>
            <w:tcW w:w="1783"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月调度</w:t>
            </w:r>
          </w:p>
        </w:tc>
        <w:tc>
          <w:tcPr>
            <w:tcW w:w="1696"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主要负责人</w:t>
            </w: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highlight w:val="yello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7" w:hRule="atLeas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11</w:t>
            </w:r>
          </w:p>
        </w:tc>
        <w:tc>
          <w:tcPr>
            <w:tcW w:w="1599"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2209" w:type="dxa"/>
            <w:vAlign w:val="center"/>
          </w:tcPr>
          <w:p>
            <w:pPr>
              <w:keepNext w:val="0"/>
              <w:keepLines w:val="0"/>
              <w:pageBreakBefore w:val="0"/>
              <w:widowControl/>
              <w:kinsoku/>
              <w:wordWrap/>
              <w:overflowPunct/>
              <w:topLinePunct w:val="0"/>
              <w:autoSpaceDE w:val="0"/>
              <w:autoSpaceDN w:val="0"/>
              <w:bidi w:val="0"/>
              <w:adjustRightInd/>
              <w:snapToGrid/>
              <w:spacing w:line="320" w:lineRule="exact"/>
              <w:ind w:firstLine="0" w:firstLineChars="0"/>
              <w:jc w:val="left"/>
              <w:textAlignment w:val="auto"/>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未及时办理使用登记、变更登记、停用、报废（注销）等相关手续</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立即办理使用登记、变更登记、停用、报废</w:t>
            </w:r>
            <w:r>
              <w:rPr>
                <w:rFonts w:hint="eastAsia" w:asciiTheme="minorEastAsia" w:hAnsiTheme="minorEastAsia" w:eastAsiaTheme="minorEastAsia" w:cstheme="minorEastAsia"/>
                <w:color w:val="000000"/>
                <w:kern w:val="0"/>
                <w:sz w:val="24"/>
                <w:szCs w:val="24"/>
              </w:rPr>
              <w:t>（注销）</w:t>
            </w:r>
            <w:r>
              <w:rPr>
                <w:rFonts w:hint="eastAsia" w:asciiTheme="minorEastAsia" w:hAnsiTheme="minorEastAsia" w:eastAsiaTheme="minorEastAsia" w:cstheme="minorEastAsia"/>
                <w:color w:val="000000"/>
                <w:sz w:val="24"/>
                <w:szCs w:val="24"/>
              </w:rPr>
              <w:t>等相关手续</w:t>
            </w:r>
          </w:p>
        </w:tc>
        <w:tc>
          <w:tcPr>
            <w:tcW w:w="178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69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6" w:hRule="atLeas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12</w:t>
            </w:r>
          </w:p>
        </w:tc>
        <w:tc>
          <w:tcPr>
            <w:tcW w:w="1599"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2209" w:type="dxa"/>
            <w:vAlign w:val="center"/>
          </w:tcPr>
          <w:p>
            <w:pPr>
              <w:keepNext w:val="0"/>
              <w:keepLines w:val="0"/>
              <w:pageBreakBefore w:val="0"/>
              <w:widowControl/>
              <w:kinsoku/>
              <w:wordWrap/>
              <w:overflowPunct/>
              <w:topLinePunct w:val="0"/>
              <w:autoSpaceDE w:val="0"/>
              <w:autoSpaceDN w:val="0"/>
              <w:bidi w:val="0"/>
              <w:adjustRightInd/>
              <w:snapToGrid/>
              <w:spacing w:line="320" w:lineRule="exact"/>
              <w:ind w:firstLine="0" w:firstLineChars="0"/>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未按规定开展压力容器年度检查、定期检验，办理延期检验的未采取有效监控</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color w:val="000000"/>
                <w:sz w:val="24"/>
                <w:szCs w:val="24"/>
                <w:lang w:eastAsia="zh-CN"/>
              </w:rPr>
            </w:pPr>
            <w:r>
              <w:rPr>
                <w:rFonts w:hint="eastAsia" w:asciiTheme="minorEastAsia" w:hAnsiTheme="minorEastAsia" w:eastAsiaTheme="minorEastAsia" w:cstheme="minorEastAsia"/>
                <w:color w:val="000000"/>
                <w:sz w:val="24"/>
                <w:szCs w:val="24"/>
              </w:rPr>
              <w:t>1.按规定开展压力容器年度检查，定期检验；</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w:t>
            </w:r>
            <w:r>
              <w:rPr>
                <w:rFonts w:hint="eastAsia" w:asciiTheme="minorEastAsia" w:hAnsiTheme="minorEastAsia" w:eastAsiaTheme="minorEastAsia" w:cstheme="minorEastAsia"/>
                <w:color w:val="000000"/>
                <w:kern w:val="0"/>
                <w:sz w:val="24"/>
                <w:szCs w:val="24"/>
              </w:rPr>
              <w:t>延期检验的压力容器经检验机构确认及使用登记机构备案后采取有效措施监控使用</w:t>
            </w:r>
          </w:p>
        </w:tc>
        <w:tc>
          <w:tcPr>
            <w:tcW w:w="178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69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7" w:hRule="atLeas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13</w:t>
            </w:r>
          </w:p>
        </w:tc>
        <w:tc>
          <w:tcPr>
            <w:tcW w:w="1599"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管理</w:t>
            </w:r>
          </w:p>
        </w:tc>
        <w:tc>
          <w:tcPr>
            <w:tcW w:w="2209"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未落实压力容器安全事故报告义务，未采取有效措施防止事故扩大</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1.严格落实压力容器安全事故报告制度；</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2.及时采取有效措施防止事故扩大</w:t>
            </w:r>
          </w:p>
        </w:tc>
        <w:tc>
          <w:tcPr>
            <w:tcW w:w="1783"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月调度</w:t>
            </w:r>
          </w:p>
        </w:tc>
        <w:tc>
          <w:tcPr>
            <w:tcW w:w="1696"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主要负责人</w:t>
            </w: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highlight w:val="yello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7" w:hRule="atLeas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14</w:t>
            </w:r>
          </w:p>
        </w:tc>
        <w:tc>
          <w:tcPr>
            <w:tcW w:w="1599"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2209"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未对已报废的压力容器去功能化处理</w:t>
            </w:r>
            <w:r>
              <w:rPr>
                <w:rFonts w:hint="eastAsia" w:asciiTheme="minorEastAsia" w:hAnsiTheme="minorEastAsia" w:eastAsiaTheme="minorEastAsia" w:cstheme="minorEastAsia"/>
                <w:kern w:val="0"/>
                <w:sz w:val="24"/>
                <w:szCs w:val="24"/>
              </w:rPr>
              <w:t>，未对办理停用的压力容器采取有效的保护措施</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1.加强对报废的压力容器管理，及时采取必要措施消除使用功能；</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rPr>
              <w:t>2.加强停用压力容器管理，采取有效保护措施，且设置停用标志</w:t>
            </w:r>
          </w:p>
        </w:tc>
        <w:tc>
          <w:tcPr>
            <w:tcW w:w="178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69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highlight w:val="yello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15</w:t>
            </w:r>
          </w:p>
        </w:tc>
        <w:tc>
          <w:tcPr>
            <w:tcW w:w="1599"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2209"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未建立压力容器、安全附件、作业人员台账</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建立健全压力容器、安全附件、作业人员台账，并进行动态管理</w:t>
            </w:r>
          </w:p>
        </w:tc>
        <w:tc>
          <w:tcPr>
            <w:tcW w:w="178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69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highlight w:val="yello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7" w:hRule="atLeas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16</w:t>
            </w:r>
          </w:p>
        </w:tc>
        <w:tc>
          <w:tcPr>
            <w:tcW w:w="1599"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2209"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rPr>
              <w:t>未建立压力容器事故应急专项预案；并定期演练</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1、建立并完善压力容器事故应急专项预案；</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2、按技术规范要求定期开展应急演练，并留存演练记录</w:t>
            </w:r>
          </w:p>
        </w:tc>
        <w:tc>
          <w:tcPr>
            <w:tcW w:w="178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69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17</w:t>
            </w:r>
          </w:p>
        </w:tc>
        <w:tc>
          <w:tcPr>
            <w:tcW w:w="1599"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设备</w:t>
            </w:r>
          </w:p>
        </w:tc>
        <w:tc>
          <w:tcPr>
            <w:tcW w:w="2209"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本体，接口（阀门、管路）部位、焊接接头缺陷</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1、对新设备严格验收要求；</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2、制定运行、检修规程，按规程处置；避免疲劳运行；</w:t>
            </w:r>
          </w:p>
          <w:p>
            <w:pPr>
              <w:keepNext w:val="0"/>
              <w:keepLines w:val="0"/>
              <w:pageBreakBefore w:val="0"/>
              <w:widowControl/>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sz w:val="24"/>
                <w:szCs w:val="24"/>
              </w:rPr>
              <w:t>3、必要时，采取监控、隔离、维修等安全措施，并做好预案，及时消除隐患</w:t>
            </w:r>
          </w:p>
        </w:tc>
        <w:tc>
          <w:tcPr>
            <w:tcW w:w="1783"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日管控</w:t>
            </w:r>
          </w:p>
        </w:tc>
        <w:tc>
          <w:tcPr>
            <w:tcW w:w="1696"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安全员</w:t>
            </w: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39" w:hRule="exac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18</w:t>
            </w:r>
          </w:p>
        </w:tc>
        <w:tc>
          <w:tcPr>
            <w:tcW w:w="1599"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2209"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有膨胀要求的压力容器（如）膨胀受阻</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查明并消除受阻原因，确保按预定方向自由膨胀</w:t>
            </w:r>
          </w:p>
        </w:tc>
        <w:tc>
          <w:tcPr>
            <w:tcW w:w="178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69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highlight w:val="yellow"/>
              </w:rPr>
            </w:pP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7" w:hRule="atLeas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19</w:t>
            </w:r>
          </w:p>
        </w:tc>
        <w:tc>
          <w:tcPr>
            <w:tcW w:w="1599"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设备</w:t>
            </w:r>
          </w:p>
        </w:tc>
        <w:tc>
          <w:tcPr>
            <w:tcW w:w="2209"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压力容器与相邻管道或者构件异常振动、响声或者相互摩擦</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1、查明异常发生原因，及时消除隐患；</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2、制定运行、检修规程，按规程处置；避免疲劳运行；</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3、必要时，采取监控、隔离、维修等安全措施，并做好预案</w:t>
            </w:r>
          </w:p>
        </w:tc>
        <w:tc>
          <w:tcPr>
            <w:tcW w:w="1783"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日管控</w:t>
            </w:r>
          </w:p>
        </w:tc>
        <w:tc>
          <w:tcPr>
            <w:tcW w:w="1696"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安全员</w:t>
            </w: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7" w:hRule="atLeas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w:t>
            </w:r>
          </w:p>
        </w:tc>
        <w:tc>
          <w:tcPr>
            <w:tcW w:w="1599"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2209"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保温隔热层破损，真空绝热层潮湿跑冷</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1、检查破损部位设备本体是否存在损伤；</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2、及时对破损部位进行恢复；</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3、对绝热层异常情况需及时测量真空度或日蒸发率，停止使用并及时进行隐患整改</w:t>
            </w:r>
          </w:p>
        </w:tc>
        <w:tc>
          <w:tcPr>
            <w:tcW w:w="178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69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3" w:hRule="exac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21</w:t>
            </w:r>
          </w:p>
        </w:tc>
        <w:tc>
          <w:tcPr>
            <w:tcW w:w="1599"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2209"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sz w:val="24"/>
                <w:szCs w:val="24"/>
              </w:rPr>
              <w:t>非金属衬里层：搪玻璃、石墨、玻璃钢等损坏</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检查非金属衬里层的损坏情况并及时进行修复或更换</w:t>
            </w:r>
          </w:p>
        </w:tc>
        <w:tc>
          <w:tcPr>
            <w:tcW w:w="178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69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1" w:hRule="exac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22</w:t>
            </w:r>
          </w:p>
        </w:tc>
        <w:tc>
          <w:tcPr>
            <w:tcW w:w="1599"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2209"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支承或者支座变形、基础沉降、紧固螺栓松动等</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加强日常检查监控，必要时及时进行修复</w:t>
            </w:r>
          </w:p>
        </w:tc>
        <w:tc>
          <w:tcPr>
            <w:tcW w:w="178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69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exac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23</w:t>
            </w:r>
          </w:p>
        </w:tc>
        <w:tc>
          <w:tcPr>
            <w:tcW w:w="1599"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2209"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运行期间超压、超温、超量等</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1.制定运行操作规程，并严格执行；</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2.必要时进行检验、评估</w:t>
            </w:r>
          </w:p>
        </w:tc>
        <w:tc>
          <w:tcPr>
            <w:tcW w:w="178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69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7" w:hRule="atLeas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24</w:t>
            </w:r>
          </w:p>
        </w:tc>
        <w:tc>
          <w:tcPr>
            <w:tcW w:w="1599"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2209"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sz w:val="24"/>
                <w:szCs w:val="24"/>
              </w:rPr>
              <w:t>检漏孔、信号孔有泄漏。检漏孔不通畅</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1.及时对泄漏源进行排查并处理；</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2.制定运行操作规程，并严格执行；</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3.及时对检漏孔进行疏通</w:t>
            </w:r>
          </w:p>
        </w:tc>
        <w:tc>
          <w:tcPr>
            <w:tcW w:w="178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69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exac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25</w:t>
            </w:r>
          </w:p>
        </w:tc>
        <w:tc>
          <w:tcPr>
            <w:tcW w:w="1599"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2209"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接地装置不符合要求</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1.查明异常原因，并及时处理；</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2.接地装置进行定期检测</w:t>
            </w:r>
          </w:p>
        </w:tc>
        <w:tc>
          <w:tcPr>
            <w:tcW w:w="178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69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exact"/>
          <w:jc w:val="center"/>
        </w:trPr>
        <w:tc>
          <w:tcPr>
            <w:tcW w:w="791" w:type="dxa"/>
            <w:tcBorders>
              <w:bottom w:val="single" w:color="auto" w:sz="4" w:space="0"/>
            </w:tcBorders>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26</w:t>
            </w:r>
          </w:p>
        </w:tc>
        <w:tc>
          <w:tcPr>
            <w:tcW w:w="1599"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设备</w:t>
            </w:r>
          </w:p>
        </w:tc>
        <w:tc>
          <w:tcPr>
            <w:tcW w:w="2209"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铭牌、漆色、标志不符合要求</w:t>
            </w:r>
          </w:p>
        </w:tc>
        <w:tc>
          <w:tcPr>
            <w:tcW w:w="4905" w:type="dxa"/>
            <w:tcBorders>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按规定完善铭牌、漆色、标志</w:t>
            </w:r>
          </w:p>
        </w:tc>
        <w:tc>
          <w:tcPr>
            <w:tcW w:w="1783" w:type="dxa"/>
            <w:tcBorders>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日管控</w:t>
            </w:r>
          </w:p>
        </w:tc>
        <w:tc>
          <w:tcPr>
            <w:tcW w:w="1696" w:type="dxa"/>
            <w:tcBorders>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安全员</w:t>
            </w: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1" w:hRule="exact"/>
          <w:jc w:val="center"/>
        </w:trPr>
        <w:tc>
          <w:tcPr>
            <w:tcW w:w="791" w:type="dxa"/>
            <w:tcBorders>
              <w:bottom w:val="single" w:color="auto" w:sz="4" w:space="0"/>
            </w:tcBorders>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27</w:t>
            </w:r>
          </w:p>
        </w:tc>
        <w:tc>
          <w:tcPr>
            <w:tcW w:w="1599" w:type="dxa"/>
            <w:vMerge w:val="continue"/>
            <w:tcBorders>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p>
        </w:tc>
        <w:tc>
          <w:tcPr>
            <w:tcW w:w="2209"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使用未取得生产许可生产或未经检验合格的压力容器</w:t>
            </w:r>
          </w:p>
        </w:tc>
        <w:tc>
          <w:tcPr>
            <w:tcW w:w="4905" w:type="dxa"/>
            <w:tcBorders>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严格采购管理，使用取得生产许可并经检验合格的压力容器</w:t>
            </w:r>
          </w:p>
        </w:tc>
        <w:tc>
          <w:tcPr>
            <w:tcW w:w="1783" w:type="dxa"/>
            <w:tcBorders>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月调度</w:t>
            </w:r>
          </w:p>
        </w:tc>
        <w:tc>
          <w:tcPr>
            <w:tcW w:w="1696" w:type="dxa"/>
            <w:tcBorders>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主要负责人</w:t>
            </w: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7" w:hRule="atLeast"/>
          <w:jc w:val="center"/>
        </w:trPr>
        <w:tc>
          <w:tcPr>
            <w:tcW w:w="791" w:type="dxa"/>
            <w:tcBorders>
              <w:top w:val="single" w:color="auto" w:sz="4" w:space="0"/>
            </w:tcBorders>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28</w:t>
            </w:r>
          </w:p>
        </w:tc>
        <w:tc>
          <w:tcPr>
            <w:tcW w:w="1599" w:type="dxa"/>
            <w:vMerge w:val="restart"/>
            <w:tcBorders>
              <w:top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安全附件和安全保护装置</w:t>
            </w:r>
          </w:p>
        </w:tc>
        <w:tc>
          <w:tcPr>
            <w:tcW w:w="2209"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sz w:val="24"/>
                <w:szCs w:val="24"/>
              </w:rPr>
              <w:t>安全阀的铅封、校验标签缺失，未在验有效期内；安全阀根部阀未常开。</w:t>
            </w:r>
          </w:p>
        </w:tc>
        <w:tc>
          <w:tcPr>
            <w:tcW w:w="4905"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1.重新校验安全阀；</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2.对安全阀铅封、校验标签采取保护措施；</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3.安全阀根部阀保持常开并锁定</w:t>
            </w:r>
          </w:p>
        </w:tc>
        <w:tc>
          <w:tcPr>
            <w:tcW w:w="1783"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日管控</w:t>
            </w:r>
          </w:p>
        </w:tc>
        <w:tc>
          <w:tcPr>
            <w:tcW w:w="1696"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安全员</w:t>
            </w:r>
          </w:p>
        </w:tc>
        <w:tc>
          <w:tcPr>
            <w:tcW w:w="1185" w:type="dxa"/>
            <w:tcBorders>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8" w:hRule="atLeas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29</w:t>
            </w:r>
          </w:p>
        </w:tc>
        <w:tc>
          <w:tcPr>
            <w:tcW w:w="1599"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2209" w:type="dxa"/>
            <w:vAlign w:val="center"/>
          </w:tcPr>
          <w:p>
            <w:pPr>
              <w:keepNext w:val="0"/>
              <w:keepLines w:val="0"/>
              <w:pageBreakBefore w:val="0"/>
              <w:widowControl/>
              <w:kinsoku/>
              <w:wordWrap/>
              <w:overflowPunct/>
              <w:topLinePunct w:val="0"/>
              <w:autoSpaceDE w:val="0"/>
              <w:autoSpaceDN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sz w:val="24"/>
                <w:szCs w:val="24"/>
              </w:rPr>
              <w:t>爆破片泄漏、反装，未定期更换</w:t>
            </w:r>
          </w:p>
        </w:tc>
        <w:tc>
          <w:tcPr>
            <w:tcW w:w="4905"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1.查明泄漏原因并消除；</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2.确认爆破片的安装方向；</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3.制定爆破片定期更换计划并实施</w:t>
            </w:r>
          </w:p>
        </w:tc>
        <w:tc>
          <w:tcPr>
            <w:tcW w:w="1783"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日管控</w:t>
            </w:r>
          </w:p>
        </w:tc>
        <w:tc>
          <w:tcPr>
            <w:tcW w:w="1696"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安全员</w:t>
            </w:r>
          </w:p>
        </w:tc>
        <w:tc>
          <w:tcPr>
            <w:tcW w:w="1185" w:type="dxa"/>
            <w:tcBorders>
              <w:top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7" w:hRule="atLeas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30</w:t>
            </w:r>
          </w:p>
        </w:tc>
        <w:tc>
          <w:tcPr>
            <w:tcW w:w="1599"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2209"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sz w:val="24"/>
                <w:szCs w:val="24"/>
              </w:rPr>
              <w:t>压力表选型错误、未在检定有效期内，刻度盘上无指示工作压力的红线，压力表损坏</w:t>
            </w:r>
          </w:p>
        </w:tc>
        <w:tc>
          <w:tcPr>
            <w:tcW w:w="4905"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1.根据工况选取符合要求的压力表；</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2.制定压力表定期检定计划并实施；</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3.刻度盘上标出工作压力的红线；</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4.及时更换损坏的压力表</w:t>
            </w:r>
          </w:p>
        </w:tc>
        <w:tc>
          <w:tcPr>
            <w:tcW w:w="1783"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日管控</w:t>
            </w:r>
          </w:p>
        </w:tc>
        <w:tc>
          <w:tcPr>
            <w:tcW w:w="1696"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安全员</w:t>
            </w: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7" w:hRule="atLeas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31</w:t>
            </w:r>
          </w:p>
        </w:tc>
        <w:tc>
          <w:tcPr>
            <w:tcW w:w="1599"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2209"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sz w:val="24"/>
                <w:szCs w:val="24"/>
              </w:rPr>
              <w:t>液位计选型错误，无最高和最低安全液位的标志 ，液位计存在泄漏</w:t>
            </w:r>
          </w:p>
        </w:tc>
        <w:tc>
          <w:tcPr>
            <w:tcW w:w="4905" w:type="dxa"/>
            <w:tcBorders>
              <w:top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1.根据工况选取符合要求的液位计；</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2.标注最高和最低安全液位的标志；</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3.修复或更换液位计</w:t>
            </w:r>
          </w:p>
        </w:tc>
        <w:tc>
          <w:tcPr>
            <w:tcW w:w="1783" w:type="dxa"/>
            <w:tcBorders>
              <w:top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日管控</w:t>
            </w:r>
          </w:p>
        </w:tc>
        <w:tc>
          <w:tcPr>
            <w:tcW w:w="1696" w:type="dxa"/>
            <w:tcBorders>
              <w:top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安全员</w:t>
            </w: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7" w:hRule="exac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32</w:t>
            </w:r>
          </w:p>
        </w:tc>
        <w:tc>
          <w:tcPr>
            <w:tcW w:w="1599"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2209"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紧急切断装置未定期调试，功能失效</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1.定期对紧急切断装置调试，确保功能有效；</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2.必要时对远控联锁功能进行测试</w:t>
            </w:r>
          </w:p>
        </w:tc>
        <w:tc>
          <w:tcPr>
            <w:tcW w:w="1783"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周排查</w:t>
            </w:r>
          </w:p>
        </w:tc>
        <w:tc>
          <w:tcPr>
            <w:tcW w:w="1696"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33</w:t>
            </w:r>
          </w:p>
        </w:tc>
        <w:tc>
          <w:tcPr>
            <w:tcW w:w="1599" w:type="dxa"/>
            <w:vMerge w:val="continue"/>
            <w:tcBorders>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p>
        </w:tc>
        <w:tc>
          <w:tcPr>
            <w:tcW w:w="2209"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测温仪表未定期校验</w:t>
            </w:r>
          </w:p>
        </w:tc>
        <w:tc>
          <w:tcPr>
            <w:tcW w:w="4905"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制定测温仪表定期校验计划并实施</w:t>
            </w:r>
          </w:p>
        </w:tc>
        <w:tc>
          <w:tcPr>
            <w:tcW w:w="1783" w:type="dxa"/>
            <w:tcBorders>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月调度</w:t>
            </w:r>
          </w:p>
        </w:tc>
        <w:tc>
          <w:tcPr>
            <w:tcW w:w="1696" w:type="dxa"/>
            <w:tcBorders>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主要负责人</w:t>
            </w: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exac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34</w:t>
            </w:r>
          </w:p>
        </w:tc>
        <w:tc>
          <w:tcPr>
            <w:tcW w:w="1599"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环境</w:t>
            </w:r>
          </w:p>
        </w:tc>
        <w:tc>
          <w:tcPr>
            <w:tcW w:w="2209"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排放口设置不符合要求</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排放口设置应符合相应规定</w:t>
            </w:r>
          </w:p>
        </w:tc>
        <w:tc>
          <w:tcPr>
            <w:tcW w:w="1783"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周排查</w:t>
            </w:r>
          </w:p>
        </w:tc>
        <w:tc>
          <w:tcPr>
            <w:tcW w:w="1696"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highlight w:val="yello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0" w:hRule="exac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35</w:t>
            </w:r>
          </w:p>
        </w:tc>
        <w:tc>
          <w:tcPr>
            <w:tcW w:w="1599" w:type="dxa"/>
            <w:vMerge w:val="continue"/>
            <w:vAlign w:val="center"/>
          </w:tcPr>
          <w:p>
            <w:pPr>
              <w:keepNext w:val="0"/>
              <w:keepLines w:val="0"/>
              <w:pageBreakBefore w:val="0"/>
              <w:widowControl/>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2209"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压力容器的安全距离、安全防护措施不符合要求</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与特种设备安全相关的建筑物、附属设施，应当符合有关法律、行政法规和标准的要求</w:t>
            </w:r>
          </w:p>
        </w:tc>
        <w:tc>
          <w:tcPr>
            <w:tcW w:w="1783"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月调度</w:t>
            </w:r>
          </w:p>
        </w:tc>
        <w:tc>
          <w:tcPr>
            <w:tcW w:w="1696"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主要负责人</w:t>
            </w: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highlight w:val="yello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36</w:t>
            </w:r>
          </w:p>
        </w:tc>
        <w:tc>
          <w:tcPr>
            <w:tcW w:w="1599"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政府监督、通报、预警</w:t>
            </w:r>
          </w:p>
        </w:tc>
        <w:tc>
          <w:tcPr>
            <w:tcW w:w="2209"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发现不合格项</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记录，整改</w:t>
            </w:r>
          </w:p>
        </w:tc>
        <w:tc>
          <w:tcPr>
            <w:tcW w:w="1783"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周排查</w:t>
            </w:r>
          </w:p>
        </w:tc>
        <w:tc>
          <w:tcPr>
            <w:tcW w:w="1696"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安全总监</w:t>
            </w: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37</w:t>
            </w:r>
          </w:p>
        </w:tc>
        <w:tc>
          <w:tcPr>
            <w:tcW w:w="1599"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投诉举报</w:t>
            </w:r>
          </w:p>
        </w:tc>
        <w:tc>
          <w:tcPr>
            <w:tcW w:w="2209"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发现不合格项</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记录，整改，消除安全隐患</w:t>
            </w:r>
          </w:p>
        </w:tc>
        <w:tc>
          <w:tcPr>
            <w:tcW w:w="1783"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日管控</w:t>
            </w:r>
          </w:p>
        </w:tc>
        <w:tc>
          <w:tcPr>
            <w:tcW w:w="1696"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安全员</w:t>
            </w: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38</w:t>
            </w:r>
          </w:p>
        </w:tc>
        <w:tc>
          <w:tcPr>
            <w:tcW w:w="1599"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舆情信息</w:t>
            </w:r>
          </w:p>
        </w:tc>
        <w:tc>
          <w:tcPr>
            <w:tcW w:w="2209"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发现不合格项</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记录，整改</w:t>
            </w:r>
          </w:p>
        </w:tc>
        <w:tc>
          <w:tcPr>
            <w:tcW w:w="1783"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日管控</w:t>
            </w:r>
          </w:p>
        </w:tc>
        <w:tc>
          <w:tcPr>
            <w:tcW w:w="1696"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安全员</w:t>
            </w: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7" w:hRule="atLeas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39</w:t>
            </w:r>
          </w:p>
        </w:tc>
        <w:tc>
          <w:tcPr>
            <w:tcW w:w="1599"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快开门式压力容器专项</w:t>
            </w:r>
          </w:p>
        </w:tc>
        <w:tc>
          <w:tcPr>
            <w:tcW w:w="2209"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快开门式压力容器安全联锁装置不符合要求</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1.确保装置完好；</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2.调试确认联锁功能正常；</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3.发现异常情况及时处理</w:t>
            </w:r>
          </w:p>
        </w:tc>
        <w:tc>
          <w:tcPr>
            <w:tcW w:w="1783"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日管控</w:t>
            </w:r>
          </w:p>
        </w:tc>
        <w:tc>
          <w:tcPr>
            <w:tcW w:w="1696"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安全员</w:t>
            </w: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4" w:hRule="exac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40</w:t>
            </w:r>
          </w:p>
        </w:tc>
        <w:tc>
          <w:tcPr>
            <w:tcW w:w="1599" w:type="dxa"/>
            <w:vMerge w:val="restart"/>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医用氧舱专项</w:t>
            </w:r>
          </w:p>
        </w:tc>
        <w:tc>
          <w:tcPr>
            <w:tcW w:w="2209"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医用氧气加压氧舱舱内导静电装置的连接失效</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及时修复或更换</w:t>
            </w:r>
          </w:p>
        </w:tc>
        <w:tc>
          <w:tcPr>
            <w:tcW w:w="178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69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74" w:hRule="exac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41</w:t>
            </w:r>
          </w:p>
        </w:tc>
        <w:tc>
          <w:tcPr>
            <w:tcW w:w="1599"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2209"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有机玻璃材料的划伤、劣化、银纹等缺陷以及泄漏</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及时修复或更换</w:t>
            </w:r>
          </w:p>
        </w:tc>
        <w:tc>
          <w:tcPr>
            <w:tcW w:w="178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69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7" w:hRule="atLeas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42</w:t>
            </w:r>
          </w:p>
        </w:tc>
        <w:tc>
          <w:tcPr>
            <w:tcW w:w="1599"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医用氧舱专项</w:t>
            </w:r>
          </w:p>
        </w:tc>
        <w:tc>
          <w:tcPr>
            <w:tcW w:w="2209"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照明装置（含应急照明装置）、视频监控装置、通讯对讲装置、应急呼叫装置、测氧仪、温度调节和加湿装置失效</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及时修复或更换</w:t>
            </w:r>
          </w:p>
        </w:tc>
        <w:tc>
          <w:tcPr>
            <w:tcW w:w="1783"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日管控</w:t>
            </w:r>
          </w:p>
        </w:tc>
        <w:tc>
          <w:tcPr>
            <w:tcW w:w="1696"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安全员</w:t>
            </w: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0" w:hRule="exac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43</w:t>
            </w:r>
          </w:p>
        </w:tc>
        <w:tc>
          <w:tcPr>
            <w:tcW w:w="1599"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移动式压力容器专项</w:t>
            </w:r>
          </w:p>
        </w:tc>
        <w:tc>
          <w:tcPr>
            <w:tcW w:w="2209" w:type="dxa"/>
            <w:vAlign w:val="center"/>
          </w:tcPr>
          <w:p>
            <w:pPr>
              <w:keepNext w:val="0"/>
              <w:keepLines w:val="0"/>
              <w:pageBreakBefore w:val="0"/>
              <w:kinsoku/>
              <w:wordWrap/>
              <w:overflowPunct/>
              <w:topLinePunct w:val="0"/>
              <w:bidi w:val="0"/>
              <w:adjustRightInd/>
              <w:snapToGrid/>
              <w:spacing w:line="320" w:lineRule="exact"/>
              <w:ind w:firstLine="0" w:firstLineChars="0"/>
              <w:textAlignment w:val="auto"/>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bCs/>
                <w:sz w:val="24"/>
                <w:szCs w:val="24"/>
              </w:rPr>
              <w:t>每班配备充装人员及检查人员不符合要求</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Cs/>
                <w:sz w:val="24"/>
                <w:szCs w:val="24"/>
              </w:rPr>
              <w:t>每班配备充装人员及检查人员符合相关规定</w:t>
            </w:r>
          </w:p>
        </w:tc>
        <w:tc>
          <w:tcPr>
            <w:tcW w:w="1783"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日管控</w:t>
            </w:r>
          </w:p>
        </w:tc>
        <w:tc>
          <w:tcPr>
            <w:tcW w:w="1696"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安全员</w:t>
            </w: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textAlignment w:val="auto"/>
              <w:rPr>
                <w:rFonts w:hint="eastAsia" w:asciiTheme="minorEastAsia" w:hAnsiTheme="minorEastAsia" w:eastAsiaTheme="minorEastAsia" w:cstheme="minorEastAsia"/>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7" w:hRule="atLeas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44</w:t>
            </w:r>
          </w:p>
        </w:tc>
        <w:tc>
          <w:tcPr>
            <w:tcW w:w="1599"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2209" w:type="dxa"/>
            <w:vAlign w:val="center"/>
          </w:tcPr>
          <w:p>
            <w:pPr>
              <w:keepNext w:val="0"/>
              <w:keepLines w:val="0"/>
              <w:pageBreakBefore w:val="0"/>
              <w:kinsoku/>
              <w:wordWrap/>
              <w:overflowPunct/>
              <w:topLinePunct w:val="0"/>
              <w:bidi w:val="0"/>
              <w:adjustRightInd/>
              <w:snapToGrid/>
              <w:spacing w:line="320" w:lineRule="exact"/>
              <w:ind w:firstLine="0" w:firstLineChars="0"/>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移动式压力容器卸载人员无特种设备作业人员资格</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按要求配备相应持证作业人员</w:t>
            </w:r>
          </w:p>
        </w:tc>
        <w:tc>
          <w:tcPr>
            <w:tcW w:w="178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69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7" w:hRule="atLeas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45</w:t>
            </w:r>
          </w:p>
        </w:tc>
        <w:tc>
          <w:tcPr>
            <w:tcW w:w="1599"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2209" w:type="dxa"/>
            <w:vAlign w:val="center"/>
          </w:tcPr>
          <w:p>
            <w:pPr>
              <w:keepNext w:val="0"/>
              <w:keepLines w:val="0"/>
              <w:pageBreakBefore w:val="0"/>
              <w:kinsoku/>
              <w:wordWrap/>
              <w:overflowPunct/>
              <w:topLinePunct w:val="0"/>
              <w:bidi w:val="0"/>
              <w:adjustRightInd/>
              <w:snapToGrid/>
              <w:spacing w:line="320" w:lineRule="exact"/>
              <w:ind w:firstLine="0" w:firstLineChars="0"/>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使用移动式压力容器充装非使用登记介质</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加强人员教育，规范使用移动式压力容器</w:t>
            </w:r>
          </w:p>
        </w:tc>
        <w:tc>
          <w:tcPr>
            <w:tcW w:w="178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69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7" w:hRule="atLeas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46</w:t>
            </w:r>
          </w:p>
        </w:tc>
        <w:tc>
          <w:tcPr>
            <w:tcW w:w="1599"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2209" w:type="dxa"/>
            <w:vAlign w:val="center"/>
          </w:tcPr>
          <w:p>
            <w:pPr>
              <w:keepNext w:val="0"/>
              <w:keepLines w:val="0"/>
              <w:pageBreakBefore w:val="0"/>
              <w:kinsoku/>
              <w:wordWrap/>
              <w:overflowPunct/>
              <w:topLinePunct w:val="0"/>
              <w:bidi w:val="0"/>
              <w:adjustRightInd/>
              <w:snapToGrid/>
              <w:spacing w:line="320" w:lineRule="exact"/>
              <w:ind w:firstLine="0" w:firstLineChars="0"/>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移动式压力容器罐体的关闭装置在运输过程中未处于闭止状态</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加强充装后出车前罐体检查，必要时做检查结果记录</w:t>
            </w:r>
          </w:p>
        </w:tc>
        <w:tc>
          <w:tcPr>
            <w:tcW w:w="178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69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22" w:hRule="atLeas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47</w:t>
            </w:r>
          </w:p>
        </w:tc>
        <w:tc>
          <w:tcPr>
            <w:tcW w:w="1599"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2209" w:type="dxa"/>
            <w:vAlign w:val="center"/>
          </w:tcPr>
          <w:p>
            <w:pPr>
              <w:keepNext w:val="0"/>
              <w:keepLines w:val="0"/>
              <w:pageBreakBefore w:val="0"/>
              <w:kinsoku/>
              <w:wordWrap/>
              <w:overflowPunct/>
              <w:topLinePunct w:val="0"/>
              <w:bidi w:val="0"/>
              <w:adjustRightInd/>
              <w:snapToGrid/>
              <w:spacing w:line="320" w:lineRule="exact"/>
              <w:ind w:firstLine="0" w:firstLineChars="0"/>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使用移动式压力容器超速行驶、运输剧毒化学品未按审批路线、时段行驶</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加强人员教育，规范运行</w:t>
            </w:r>
          </w:p>
        </w:tc>
        <w:tc>
          <w:tcPr>
            <w:tcW w:w="178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69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7" w:hRule="atLeast"/>
          <w:jc w:val="center"/>
        </w:trPr>
        <w:tc>
          <w:tcPr>
            <w:tcW w:w="791" w:type="dxa"/>
            <w:tcBorders>
              <w:bottom w:val="single" w:color="auto" w:sz="4" w:space="0"/>
            </w:tcBorders>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48</w:t>
            </w:r>
          </w:p>
        </w:tc>
        <w:tc>
          <w:tcPr>
            <w:tcW w:w="1599" w:type="dxa"/>
            <w:vMerge w:val="continue"/>
            <w:tcBorders>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2209"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非应急救援情况，移动式压力容器之间相互装卸作业，移动式压力容器直接向气瓶进行充装</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加强人员教育，规范使用移动式压力容器</w:t>
            </w:r>
          </w:p>
        </w:tc>
        <w:tc>
          <w:tcPr>
            <w:tcW w:w="178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69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7" w:hRule="atLeast"/>
          <w:jc w:val="center"/>
        </w:trPr>
        <w:tc>
          <w:tcPr>
            <w:tcW w:w="791" w:type="dxa"/>
            <w:tcBorders>
              <w:top w:val="single" w:color="auto" w:sz="4" w:space="0"/>
            </w:tcBorders>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49</w:t>
            </w:r>
          </w:p>
        </w:tc>
        <w:tc>
          <w:tcPr>
            <w:tcW w:w="1599" w:type="dxa"/>
            <w:vMerge w:val="restart"/>
            <w:tcBorders>
              <w:top w:val="single" w:color="auto" w:sz="4" w:space="0"/>
            </w:tcBorders>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移动式压力容器专项</w:t>
            </w:r>
          </w:p>
        </w:tc>
        <w:tc>
          <w:tcPr>
            <w:tcW w:w="2209"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未经许可、超许可证有效期、超许可范围、不再具备许可条件进行充装</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1.立即停止充装，并严格按照规定取得许可；</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2.加强许可人员、场地、设备等条件的持续保持</w:t>
            </w:r>
          </w:p>
        </w:tc>
        <w:tc>
          <w:tcPr>
            <w:tcW w:w="178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69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7" w:hRule="atLeas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50</w:t>
            </w:r>
          </w:p>
        </w:tc>
        <w:tc>
          <w:tcPr>
            <w:tcW w:w="1599"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2209"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rPr>
              <w:t>未严格执行装卸前后检查、装卸过程控制，装卸记录不规范</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1.根据安全技术规范与企业实际情况编制装卸检查记录表并实施；</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2.编制装卸作业规程并严格实施</w:t>
            </w:r>
          </w:p>
        </w:tc>
        <w:tc>
          <w:tcPr>
            <w:tcW w:w="178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69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7" w:hRule="atLeas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51</w:t>
            </w:r>
          </w:p>
        </w:tc>
        <w:tc>
          <w:tcPr>
            <w:tcW w:w="1599"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2209"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spacing w:val="6"/>
                <w:sz w:val="24"/>
                <w:szCs w:val="24"/>
              </w:rPr>
              <w:t>未按安全技术规范要求建立并使用移动式压力容器充装质量追溯信息系统</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建立并实施移动式压力容器充装质量追溯系统</w:t>
            </w:r>
          </w:p>
        </w:tc>
        <w:tc>
          <w:tcPr>
            <w:tcW w:w="178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69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7" w:hRule="atLeas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52</w:t>
            </w:r>
          </w:p>
        </w:tc>
        <w:tc>
          <w:tcPr>
            <w:tcW w:w="1599"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2209"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rPr>
              <w:t>装卸用管不符合有关要求</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1.装卸用管定期进行耐压试验；</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2.装卸用管材质与介质相容；</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3.加强连接部位的检查</w:t>
            </w:r>
          </w:p>
        </w:tc>
        <w:tc>
          <w:tcPr>
            <w:tcW w:w="178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69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7" w:hRule="atLeas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53</w:t>
            </w:r>
          </w:p>
        </w:tc>
        <w:tc>
          <w:tcPr>
            <w:tcW w:w="1599" w:type="dxa"/>
            <w:vMerge w:val="continue"/>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p>
        </w:tc>
        <w:tc>
          <w:tcPr>
            <w:tcW w:w="2209"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spacing w:val="6"/>
                <w:sz w:val="24"/>
                <w:szCs w:val="24"/>
              </w:rPr>
              <w:t>在禁止装卸作业情境下（如恶劣天气、异常工况等）继续作业</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1.建立完善操作规程；</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2.加强人员培训并组织实施</w:t>
            </w:r>
          </w:p>
        </w:tc>
        <w:tc>
          <w:tcPr>
            <w:tcW w:w="1783"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日管控</w:t>
            </w:r>
          </w:p>
        </w:tc>
        <w:tc>
          <w:tcPr>
            <w:tcW w:w="1696"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安全员</w:t>
            </w: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textAlignment w:val="auto"/>
              <w:rPr>
                <w:rFonts w:hint="eastAsia" w:asciiTheme="minorEastAsia" w:hAnsiTheme="minorEastAsia" w:eastAsiaTheme="minorEastAsia" w:cstheme="minorEastAsia"/>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03" w:hRule="exac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54</w:t>
            </w:r>
          </w:p>
        </w:tc>
        <w:tc>
          <w:tcPr>
            <w:tcW w:w="1599"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2209"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未设置安全出口，周围未设置安全标识</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1.按要求设置安全出口；</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2.按要求设置安全标识</w:t>
            </w:r>
          </w:p>
        </w:tc>
        <w:tc>
          <w:tcPr>
            <w:tcW w:w="1783"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月调度</w:t>
            </w:r>
          </w:p>
        </w:tc>
        <w:tc>
          <w:tcPr>
            <w:tcW w:w="1696"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主要负责人</w:t>
            </w: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highlight w:val="red"/>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3" w:hRule="atLeast"/>
          <w:jc w:val="center"/>
        </w:trPr>
        <w:tc>
          <w:tcPr>
            <w:tcW w:w="791"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55</w:t>
            </w:r>
          </w:p>
        </w:tc>
        <w:tc>
          <w:tcPr>
            <w:tcW w:w="1599"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2209"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充装场地未具有良好的通风条件或未设有足够能力的换风通风装置；缺少如充装场地环境温度、气体浓度控制等安全措施</w:t>
            </w:r>
          </w:p>
        </w:tc>
        <w:tc>
          <w:tcPr>
            <w:tcW w:w="490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1.按规范要求设置换风通风装置；</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2.根据充装气体的危险特性，增加如充装场地环境温度控制等安全措施；</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3.易燃、易爆、有毒介质的充装单位，严格按规定装设气体浓度监测报警装置</w:t>
            </w:r>
          </w:p>
        </w:tc>
        <w:tc>
          <w:tcPr>
            <w:tcW w:w="178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69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c>
          <w:tcPr>
            <w:tcW w:w="118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18"/>
                <w:szCs w:val="18"/>
                <w:highlight w:val="red"/>
              </w:rPr>
            </w:pPr>
          </w:p>
        </w:tc>
      </w:tr>
    </w:tbl>
    <w:p>
      <w:pPr>
        <w:rPr>
          <w:rFonts w:hint="eastAsia" w:asciiTheme="minorEastAsia" w:hAnsiTheme="minorEastAsia" w:cstheme="minorEastAsia"/>
          <w:b/>
          <w:bCs/>
          <w:sz w:val="24"/>
          <w:szCs w:val="24"/>
        </w:rPr>
      </w:pPr>
      <w:r>
        <w:rPr>
          <w:rFonts w:hint="eastAsia" w:asciiTheme="minorEastAsia" w:hAnsiTheme="minorEastAsia" w:cstheme="minorEastAsia"/>
          <w:b/>
          <w:bCs/>
          <w:sz w:val="24"/>
          <w:szCs w:val="24"/>
        </w:rPr>
        <w:t>备注：本清单为推荐性格式，仅规定了应当进行日管控、周排查、月调度的基本项目，压力容器使用单位应当结合本单位实际，细化风险管控清单，合理调整管控形式。</w:t>
      </w:r>
    </w:p>
    <w:p>
      <w:pPr>
        <w:rPr>
          <w:rFonts w:hint="eastAsia" w:asciiTheme="minorEastAsia" w:hAnsiTheme="minorEastAsia" w:cstheme="minorEastAsia"/>
          <w:b/>
          <w:bCs/>
          <w:sz w:val="24"/>
          <w:szCs w:val="24"/>
        </w:rPr>
      </w:pPr>
      <w:r>
        <w:rPr>
          <w:rFonts w:hint="eastAsia" w:asciiTheme="minorEastAsia" w:hAnsiTheme="minorEastAsia" w:cstheme="minorEastAsia"/>
          <w:b/>
          <w:bCs/>
          <w:sz w:val="24"/>
          <w:szCs w:val="24"/>
        </w:rPr>
        <w:br w:type="page"/>
      </w:r>
    </w:p>
    <w:p>
      <w:pPr>
        <w:pStyle w:val="4"/>
        <w:bidi w:val="0"/>
        <w:jc w:val="left"/>
      </w:pPr>
      <w:bookmarkStart w:id="263" w:name="_Toc15989_WPSOffice_Level1"/>
      <w:bookmarkStart w:id="264" w:name="_Toc27144"/>
      <w:r>
        <w:rPr>
          <w:rFonts w:hint="eastAsia"/>
          <w:b w:val="0"/>
          <w:bCs/>
          <w:sz w:val="32"/>
          <w:szCs w:val="32"/>
        </w:rPr>
        <w:t>附录B3</w:t>
      </w:r>
      <w:r>
        <w:rPr>
          <w:rFonts w:hint="eastAsia"/>
        </w:rPr>
        <w:t xml:space="preserve">               </w:t>
      </w:r>
      <w:r>
        <w:rPr>
          <w:rFonts w:hint="eastAsia"/>
          <w:lang w:val="en-US" w:eastAsia="zh-CN"/>
        </w:rPr>
        <w:t xml:space="preserve">  </w:t>
      </w:r>
      <w:r>
        <w:rPr>
          <w:rFonts w:hint="eastAsia"/>
        </w:rPr>
        <w:t xml:space="preserve">  气瓶充装风险管控清单</w:t>
      </w:r>
      <w:bookmarkEnd w:id="263"/>
      <w:bookmarkEnd w:id="264"/>
    </w:p>
    <w:tbl>
      <w:tblPr>
        <w:tblStyle w:val="12"/>
        <w:tblW w:w="1474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24"/>
        <w:gridCol w:w="1523"/>
        <w:gridCol w:w="2455"/>
        <w:gridCol w:w="5229"/>
        <w:gridCol w:w="1714"/>
        <w:gridCol w:w="1763"/>
        <w:gridCol w:w="12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29" w:hRule="exact"/>
          <w:tblHeader/>
        </w:trPr>
        <w:tc>
          <w:tcPr>
            <w:tcW w:w="824" w:type="dxa"/>
            <w:shd w:val="clear" w:color="auto" w:fill="BEBEBE" w:themeFill="background1" w:themeFillShade="BF"/>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序号</w:t>
            </w:r>
          </w:p>
        </w:tc>
        <w:tc>
          <w:tcPr>
            <w:tcW w:w="1523" w:type="dxa"/>
            <w:shd w:val="clear" w:color="auto" w:fill="BEBEBE" w:themeFill="background1" w:themeFillShade="BF"/>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风险类别</w:t>
            </w:r>
          </w:p>
        </w:tc>
        <w:tc>
          <w:tcPr>
            <w:tcW w:w="2455" w:type="dxa"/>
            <w:shd w:val="clear" w:color="auto" w:fill="BEBEBE" w:themeFill="background1" w:themeFillShade="BF"/>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风险指标</w:t>
            </w:r>
          </w:p>
        </w:tc>
        <w:tc>
          <w:tcPr>
            <w:tcW w:w="5229" w:type="dxa"/>
            <w:shd w:val="clear" w:color="auto" w:fill="BEBEBE" w:themeFill="background1" w:themeFillShade="BF"/>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风险管控措施</w:t>
            </w:r>
          </w:p>
        </w:tc>
        <w:tc>
          <w:tcPr>
            <w:tcW w:w="1714" w:type="dxa"/>
            <w:shd w:val="clear" w:color="auto" w:fill="BEBEBE" w:themeFill="background1" w:themeFillShade="BF"/>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管控形式</w:t>
            </w:r>
          </w:p>
        </w:tc>
        <w:tc>
          <w:tcPr>
            <w:tcW w:w="1763" w:type="dxa"/>
            <w:shd w:val="clear" w:color="auto" w:fill="BEBEBE" w:themeFill="background1" w:themeFillShade="BF"/>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责任人</w:t>
            </w:r>
          </w:p>
        </w:tc>
        <w:tc>
          <w:tcPr>
            <w:tcW w:w="1234" w:type="dxa"/>
            <w:shd w:val="clear" w:color="auto" w:fill="BEBEBE" w:themeFill="background1" w:themeFillShade="BF"/>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atLeast"/>
        </w:trPr>
        <w:tc>
          <w:tcPr>
            <w:tcW w:w="82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1</w:t>
            </w:r>
          </w:p>
        </w:tc>
        <w:tc>
          <w:tcPr>
            <w:tcW w:w="1523" w:type="dxa"/>
            <w:vMerge w:val="restart"/>
            <w:vAlign w:val="center"/>
          </w:tcPr>
          <w:p>
            <w:pPr>
              <w:keepNext w:val="0"/>
              <w:keepLines w:val="0"/>
              <w:pageBreakBefore w:val="0"/>
              <w:kinsoku/>
              <w:wordWrap/>
              <w:overflowPunct/>
              <w:topLinePunct w:val="0"/>
              <w:autoSpaceDE w:val="0"/>
              <w:autoSpaceDN w:val="0"/>
              <w:bidi w:val="0"/>
              <w:adjustRightInd/>
              <w:snapToGrid/>
              <w:spacing w:before="113" w:line="320" w:lineRule="exact"/>
              <w:ind w:left="76"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人员</w:t>
            </w:r>
          </w:p>
        </w:tc>
        <w:tc>
          <w:tcPr>
            <w:tcW w:w="2455" w:type="dxa"/>
            <w:vAlign w:val="center"/>
          </w:tcPr>
          <w:p>
            <w:pPr>
              <w:keepNext w:val="0"/>
              <w:keepLines w:val="0"/>
              <w:pageBreakBefore w:val="0"/>
              <w:kinsoku/>
              <w:wordWrap/>
              <w:overflowPunct/>
              <w:topLinePunct w:val="0"/>
              <w:autoSpaceDE w:val="0"/>
              <w:autoSpaceDN w:val="0"/>
              <w:bidi w:val="0"/>
              <w:adjustRightInd/>
              <w:snapToGrid/>
              <w:spacing w:before="113" w:line="320" w:lineRule="exact"/>
              <w:ind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每班充装人员及持证检查人员不符合要求</w:t>
            </w:r>
          </w:p>
        </w:tc>
        <w:tc>
          <w:tcPr>
            <w:tcW w:w="5229" w:type="dxa"/>
            <w:vAlign w:val="center"/>
          </w:tcPr>
          <w:p>
            <w:pPr>
              <w:keepNext w:val="0"/>
              <w:keepLines w:val="0"/>
              <w:pageBreakBefore w:val="0"/>
              <w:kinsoku/>
              <w:wordWrap/>
              <w:overflowPunct/>
              <w:topLinePunct w:val="0"/>
              <w:autoSpaceDE w:val="0"/>
              <w:autoSpaceDN w:val="0"/>
              <w:bidi w:val="0"/>
              <w:adjustRightInd/>
              <w:snapToGrid/>
              <w:spacing w:before="69" w:line="320" w:lineRule="exact"/>
              <w:ind w:left="28" w:firstLine="0" w:firstLineChars="0"/>
              <w:jc w:val="left"/>
              <w:textAlignment w:val="auto"/>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bCs/>
                <w:sz w:val="24"/>
                <w:szCs w:val="24"/>
              </w:rPr>
              <w:t>1.</w:t>
            </w:r>
            <w:r>
              <w:rPr>
                <w:rFonts w:hint="eastAsia" w:asciiTheme="minorEastAsia" w:hAnsiTheme="minorEastAsia" w:eastAsiaTheme="minorEastAsia" w:cstheme="minorEastAsia"/>
                <w:kern w:val="0"/>
                <w:sz w:val="24"/>
                <w:szCs w:val="24"/>
              </w:rPr>
              <w:t>每个充装地址持证充装人员每个班次不少于2人，在气瓶充装作业时，不得同时兼任检查人员；</w:t>
            </w:r>
          </w:p>
          <w:p>
            <w:pPr>
              <w:keepNext w:val="0"/>
              <w:keepLines w:val="0"/>
              <w:pageBreakBefore w:val="0"/>
              <w:kinsoku/>
              <w:wordWrap/>
              <w:overflowPunct/>
              <w:topLinePunct w:val="0"/>
              <w:autoSpaceDE w:val="0"/>
              <w:autoSpaceDN w:val="0"/>
              <w:bidi w:val="0"/>
              <w:adjustRightInd/>
              <w:snapToGrid/>
              <w:spacing w:before="69" w:line="320" w:lineRule="exact"/>
              <w:ind w:left="28"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w:t>
            </w:r>
            <w:r>
              <w:rPr>
                <w:rFonts w:hint="eastAsia" w:asciiTheme="minorEastAsia" w:hAnsiTheme="minorEastAsia" w:eastAsiaTheme="minorEastAsia" w:cstheme="minorEastAsia"/>
                <w:kern w:val="0"/>
                <w:sz w:val="24"/>
                <w:szCs w:val="24"/>
              </w:rPr>
              <w:t>每个充装地址持证检查人员每个班次不少于1人</w:t>
            </w:r>
          </w:p>
        </w:tc>
        <w:tc>
          <w:tcPr>
            <w:tcW w:w="1714"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日管控</w:t>
            </w:r>
          </w:p>
        </w:tc>
        <w:tc>
          <w:tcPr>
            <w:tcW w:w="1763"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安全员</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7" w:hRule="atLeast"/>
        </w:trPr>
        <w:tc>
          <w:tcPr>
            <w:tcW w:w="82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2</w:t>
            </w:r>
          </w:p>
        </w:tc>
        <w:tc>
          <w:tcPr>
            <w:tcW w:w="1523" w:type="dxa"/>
            <w:vMerge w:val="continue"/>
            <w:vAlign w:val="center"/>
          </w:tcPr>
          <w:p>
            <w:pPr>
              <w:keepNext w:val="0"/>
              <w:keepLines w:val="0"/>
              <w:pageBreakBefore w:val="0"/>
              <w:kinsoku/>
              <w:wordWrap/>
              <w:overflowPunct/>
              <w:topLinePunct w:val="0"/>
              <w:autoSpaceDE w:val="0"/>
              <w:autoSpaceDN w:val="0"/>
              <w:bidi w:val="0"/>
              <w:adjustRightInd/>
              <w:snapToGrid/>
              <w:spacing w:before="113" w:line="320" w:lineRule="exact"/>
              <w:ind w:left="76" w:firstLine="0" w:firstLineChars="0"/>
              <w:jc w:val="left"/>
              <w:textAlignment w:val="auto"/>
              <w:rPr>
                <w:rFonts w:hint="eastAsia" w:asciiTheme="minorEastAsia" w:hAnsiTheme="minorEastAsia" w:eastAsiaTheme="minorEastAsia" w:cstheme="minorEastAsia"/>
                <w:bCs/>
                <w:sz w:val="24"/>
                <w:szCs w:val="24"/>
              </w:rPr>
            </w:pPr>
          </w:p>
        </w:tc>
        <w:tc>
          <w:tcPr>
            <w:tcW w:w="2455"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未按规定配置技术负责人、安全总监、相应数量的安全员、特种设备安全管理人员、气瓶作业人员</w:t>
            </w:r>
          </w:p>
        </w:tc>
        <w:tc>
          <w:tcPr>
            <w:tcW w:w="5229" w:type="dxa"/>
            <w:tcBorders>
              <w:bottom w:val="single" w:color="auto" w:sz="4" w:space="0"/>
            </w:tcBorders>
            <w:vAlign w:val="center"/>
          </w:tcPr>
          <w:p>
            <w:pPr>
              <w:keepNext w:val="0"/>
              <w:keepLines w:val="0"/>
              <w:pageBreakBefore w:val="0"/>
              <w:widowControl/>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lang w:eastAsia="zh-CN"/>
              </w:rPr>
            </w:pPr>
            <w:r>
              <w:rPr>
                <w:rFonts w:hint="eastAsia" w:asciiTheme="minorEastAsia" w:hAnsiTheme="minorEastAsia" w:eastAsiaTheme="minorEastAsia" w:cstheme="minorEastAsia"/>
                <w:bCs/>
                <w:sz w:val="24"/>
                <w:szCs w:val="24"/>
              </w:rPr>
              <w:t>1.建立特种设备安全管理人员与作业人员管理制度；</w:t>
            </w:r>
          </w:p>
          <w:p>
            <w:pPr>
              <w:keepNext w:val="0"/>
              <w:keepLines w:val="0"/>
              <w:pageBreakBefore w:val="0"/>
              <w:widowControl/>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2.按规定配备相关人员，建立台账</w:t>
            </w:r>
          </w:p>
        </w:tc>
        <w:tc>
          <w:tcPr>
            <w:tcW w:w="1714" w:type="dxa"/>
            <w:tcBorders>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月调度</w:t>
            </w:r>
          </w:p>
        </w:tc>
        <w:tc>
          <w:tcPr>
            <w:tcW w:w="1763" w:type="dxa"/>
            <w:tcBorders>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主要负责人</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4" w:hRule="exact"/>
        </w:trPr>
        <w:tc>
          <w:tcPr>
            <w:tcW w:w="82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3</w:t>
            </w:r>
          </w:p>
        </w:tc>
        <w:tc>
          <w:tcPr>
            <w:tcW w:w="1523" w:type="dxa"/>
            <w:vMerge w:val="continue"/>
            <w:vAlign w:val="center"/>
          </w:tcPr>
          <w:p>
            <w:pPr>
              <w:keepNext w:val="0"/>
              <w:keepLines w:val="0"/>
              <w:pageBreakBefore w:val="0"/>
              <w:kinsoku/>
              <w:wordWrap/>
              <w:overflowPunct/>
              <w:topLinePunct w:val="0"/>
              <w:autoSpaceDE w:val="0"/>
              <w:autoSpaceDN w:val="0"/>
              <w:bidi w:val="0"/>
              <w:adjustRightInd/>
              <w:snapToGrid/>
              <w:spacing w:before="113" w:line="320" w:lineRule="exact"/>
              <w:ind w:left="76" w:firstLine="0" w:firstLineChars="0"/>
              <w:jc w:val="left"/>
              <w:textAlignment w:val="auto"/>
              <w:rPr>
                <w:rFonts w:hint="eastAsia" w:asciiTheme="minorEastAsia" w:hAnsiTheme="minorEastAsia" w:eastAsiaTheme="minorEastAsia" w:cstheme="minorEastAsia"/>
                <w:bCs/>
                <w:sz w:val="24"/>
                <w:szCs w:val="24"/>
              </w:rPr>
            </w:pPr>
          </w:p>
        </w:tc>
        <w:tc>
          <w:tcPr>
            <w:tcW w:w="2455"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作业人员无相应的资格证书或证书超期的</w:t>
            </w:r>
          </w:p>
        </w:tc>
        <w:tc>
          <w:tcPr>
            <w:tcW w:w="5229" w:type="dxa"/>
            <w:tcBorders>
              <w:top w:val="single" w:color="auto" w:sz="4" w:space="0"/>
            </w:tcBorders>
            <w:vAlign w:val="center"/>
          </w:tcPr>
          <w:p>
            <w:pPr>
              <w:keepNext w:val="0"/>
              <w:keepLines w:val="0"/>
              <w:pageBreakBefore w:val="0"/>
              <w:widowControl/>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定期检查作业人员证件</w:t>
            </w:r>
          </w:p>
        </w:tc>
        <w:tc>
          <w:tcPr>
            <w:tcW w:w="1714"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月调度</w:t>
            </w:r>
          </w:p>
        </w:tc>
        <w:tc>
          <w:tcPr>
            <w:tcW w:w="1763"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主要负责人</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0" w:hRule="exact"/>
        </w:trPr>
        <w:tc>
          <w:tcPr>
            <w:tcW w:w="82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4</w:t>
            </w:r>
          </w:p>
        </w:tc>
        <w:tc>
          <w:tcPr>
            <w:tcW w:w="1523" w:type="dxa"/>
            <w:vMerge w:val="continue"/>
            <w:vAlign w:val="center"/>
          </w:tcPr>
          <w:p>
            <w:pPr>
              <w:keepNext w:val="0"/>
              <w:keepLines w:val="0"/>
              <w:pageBreakBefore w:val="0"/>
              <w:kinsoku/>
              <w:wordWrap/>
              <w:overflowPunct/>
              <w:topLinePunct w:val="0"/>
              <w:autoSpaceDE w:val="0"/>
              <w:autoSpaceDN w:val="0"/>
              <w:bidi w:val="0"/>
              <w:adjustRightInd/>
              <w:snapToGrid/>
              <w:spacing w:before="113" w:line="320" w:lineRule="exact"/>
              <w:ind w:left="76" w:firstLine="0" w:firstLineChars="0"/>
              <w:jc w:val="left"/>
              <w:textAlignment w:val="auto"/>
              <w:rPr>
                <w:rFonts w:hint="eastAsia" w:asciiTheme="minorEastAsia" w:hAnsiTheme="minorEastAsia" w:eastAsiaTheme="minorEastAsia" w:cstheme="minorEastAsia"/>
                <w:bCs/>
                <w:sz w:val="24"/>
                <w:szCs w:val="24"/>
              </w:rPr>
            </w:pPr>
          </w:p>
        </w:tc>
        <w:tc>
          <w:tcPr>
            <w:tcW w:w="2455" w:type="dxa"/>
            <w:vAlign w:val="center"/>
          </w:tcPr>
          <w:p>
            <w:pPr>
              <w:keepNext w:val="0"/>
              <w:keepLines w:val="0"/>
              <w:pageBreakBefore w:val="0"/>
              <w:kinsoku/>
              <w:wordWrap/>
              <w:overflowPunct/>
              <w:topLinePunct w:val="0"/>
              <w:autoSpaceDE w:val="0"/>
              <w:autoSpaceDN w:val="0"/>
              <w:bidi w:val="0"/>
              <w:adjustRightInd/>
              <w:snapToGrid/>
              <w:spacing w:before="113" w:line="320" w:lineRule="exact"/>
              <w:ind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未对从业人员进行相关能力知识的培训和考核</w:t>
            </w:r>
          </w:p>
        </w:tc>
        <w:tc>
          <w:tcPr>
            <w:tcW w:w="5229" w:type="dxa"/>
            <w:vAlign w:val="center"/>
          </w:tcPr>
          <w:p>
            <w:pPr>
              <w:keepNext w:val="0"/>
              <w:keepLines w:val="0"/>
              <w:pageBreakBefore w:val="0"/>
              <w:kinsoku/>
              <w:wordWrap/>
              <w:overflowPunct/>
              <w:topLinePunct w:val="0"/>
              <w:autoSpaceDE w:val="0"/>
              <w:autoSpaceDN w:val="0"/>
              <w:bidi w:val="0"/>
              <w:adjustRightInd/>
              <w:snapToGrid/>
              <w:spacing w:before="69" w:line="320" w:lineRule="exact"/>
              <w:ind w:left="28" w:firstLine="0" w:firstLineChars="0"/>
              <w:jc w:val="left"/>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sz w:val="24"/>
                <w:szCs w:val="24"/>
              </w:rPr>
              <w:t>对从业人员进行相关能力知识的培训和考核，并且考核合格</w:t>
            </w:r>
          </w:p>
        </w:tc>
        <w:tc>
          <w:tcPr>
            <w:tcW w:w="1714" w:type="dxa"/>
            <w:tcBorders>
              <w:top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月调度</w:t>
            </w:r>
          </w:p>
        </w:tc>
        <w:tc>
          <w:tcPr>
            <w:tcW w:w="1763" w:type="dxa"/>
            <w:tcBorders>
              <w:top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主要负责人</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exact"/>
        </w:trPr>
        <w:tc>
          <w:tcPr>
            <w:tcW w:w="82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5</w:t>
            </w:r>
          </w:p>
        </w:tc>
        <w:tc>
          <w:tcPr>
            <w:tcW w:w="1523" w:type="dxa"/>
            <w:vMerge w:val="restart"/>
            <w:vAlign w:val="center"/>
          </w:tcPr>
          <w:p>
            <w:pPr>
              <w:keepNext w:val="0"/>
              <w:keepLines w:val="0"/>
              <w:pageBreakBefore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stheme="minorEastAsia"/>
                <w:bCs/>
                <w:kern w:val="0"/>
                <w:sz w:val="24"/>
                <w:szCs w:val="24"/>
                <w:lang w:eastAsia="en-US"/>
              </w:rPr>
            </w:pPr>
            <w:r>
              <w:rPr>
                <w:rFonts w:hint="eastAsia" w:asciiTheme="minorEastAsia" w:hAnsiTheme="minorEastAsia" w:eastAsiaTheme="minorEastAsia" w:cstheme="minorEastAsia"/>
                <w:bCs/>
                <w:color w:val="000000"/>
                <w:kern w:val="0"/>
                <w:sz w:val="24"/>
                <w:szCs w:val="24"/>
              </w:rPr>
              <w:t>管理</w:t>
            </w:r>
          </w:p>
        </w:tc>
        <w:tc>
          <w:tcPr>
            <w:tcW w:w="2455"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sz w:val="24"/>
                <w:szCs w:val="24"/>
              </w:rPr>
              <w:t>超许可范围充装的</w:t>
            </w:r>
          </w:p>
        </w:tc>
        <w:tc>
          <w:tcPr>
            <w:tcW w:w="5229"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sz w:val="24"/>
                <w:szCs w:val="24"/>
              </w:rPr>
              <w:t>加强许可管理，严禁超范围充装</w:t>
            </w:r>
          </w:p>
        </w:tc>
        <w:tc>
          <w:tcPr>
            <w:tcW w:w="1714"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sz w:val="24"/>
                <w:szCs w:val="24"/>
              </w:rPr>
              <w:t>日管控</w:t>
            </w:r>
          </w:p>
        </w:tc>
        <w:tc>
          <w:tcPr>
            <w:tcW w:w="1763"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sz w:val="24"/>
                <w:szCs w:val="24"/>
              </w:rPr>
              <w:t>安全员</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exact"/>
        </w:trPr>
        <w:tc>
          <w:tcPr>
            <w:tcW w:w="82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6</w:t>
            </w:r>
          </w:p>
        </w:tc>
        <w:tc>
          <w:tcPr>
            <w:tcW w:w="152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color w:val="000000"/>
                <w:sz w:val="24"/>
                <w:szCs w:val="24"/>
              </w:rPr>
            </w:pPr>
          </w:p>
        </w:tc>
        <w:tc>
          <w:tcPr>
            <w:tcW w:w="2455" w:type="dxa"/>
            <w:vAlign w:val="center"/>
          </w:tcPr>
          <w:p>
            <w:pPr>
              <w:keepNext w:val="0"/>
              <w:keepLines w:val="0"/>
              <w:pageBreakBefore w:val="0"/>
              <w:kinsoku/>
              <w:wordWrap/>
              <w:overflowPunct/>
              <w:topLinePunct w:val="0"/>
              <w:autoSpaceDE w:val="0"/>
              <w:autoSpaceDN w:val="0"/>
              <w:bidi w:val="0"/>
              <w:adjustRightInd/>
              <w:snapToGrid/>
              <w:spacing w:before="113" w:line="320" w:lineRule="exact"/>
              <w:ind w:firstLine="0" w:firstLineChars="0"/>
              <w:jc w:val="left"/>
              <w:textAlignment w:val="auto"/>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sz w:val="24"/>
                <w:szCs w:val="24"/>
              </w:rPr>
              <w:t>未对气瓶进行检查和维护保养</w:t>
            </w:r>
          </w:p>
        </w:tc>
        <w:tc>
          <w:tcPr>
            <w:tcW w:w="5229" w:type="dxa"/>
            <w:vAlign w:val="center"/>
          </w:tcPr>
          <w:p>
            <w:pPr>
              <w:keepNext w:val="0"/>
              <w:keepLines w:val="0"/>
              <w:pageBreakBefore w:val="0"/>
              <w:kinsoku/>
              <w:wordWrap/>
              <w:overflowPunct/>
              <w:topLinePunct w:val="0"/>
              <w:autoSpaceDE w:val="0"/>
              <w:autoSpaceDN w:val="0"/>
              <w:bidi w:val="0"/>
              <w:adjustRightInd/>
              <w:snapToGrid/>
              <w:spacing w:before="69" w:line="320" w:lineRule="exact"/>
              <w:ind w:left="28" w:firstLine="0" w:firstLineChars="0"/>
              <w:jc w:val="left"/>
              <w:textAlignment w:val="auto"/>
              <w:rPr>
                <w:rFonts w:hint="eastAsia" w:asciiTheme="minorEastAsia" w:hAnsiTheme="minorEastAsia" w:eastAsiaTheme="minorEastAsia" w:cstheme="minorEastAsia"/>
                <w:bCs/>
                <w:color w:val="000000"/>
                <w:kern w:val="0"/>
                <w:sz w:val="24"/>
                <w:szCs w:val="24"/>
              </w:rPr>
            </w:pPr>
            <w:r>
              <w:rPr>
                <w:rFonts w:hint="eastAsia" w:asciiTheme="minorEastAsia" w:hAnsiTheme="minorEastAsia" w:eastAsiaTheme="minorEastAsia" w:cstheme="minorEastAsia"/>
                <w:bCs/>
                <w:color w:val="000000"/>
                <w:sz w:val="24"/>
                <w:szCs w:val="24"/>
              </w:rPr>
              <w:t>对气瓶进行检查和维护保养</w:t>
            </w:r>
          </w:p>
        </w:tc>
        <w:tc>
          <w:tcPr>
            <w:tcW w:w="1714"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color w:val="000000"/>
                <w:sz w:val="24"/>
                <w:szCs w:val="24"/>
              </w:rPr>
            </w:pPr>
          </w:p>
        </w:tc>
        <w:tc>
          <w:tcPr>
            <w:tcW w:w="176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color w:val="000000"/>
                <w:sz w:val="24"/>
                <w:szCs w:val="24"/>
              </w:rPr>
            </w:pP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0" w:hRule="exact"/>
        </w:trPr>
        <w:tc>
          <w:tcPr>
            <w:tcW w:w="82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7</w:t>
            </w:r>
          </w:p>
        </w:tc>
        <w:tc>
          <w:tcPr>
            <w:tcW w:w="1523" w:type="dxa"/>
            <w:vMerge w:val="continue"/>
            <w:vAlign w:val="center"/>
          </w:tcPr>
          <w:p>
            <w:pPr>
              <w:keepNext w:val="0"/>
              <w:keepLines w:val="0"/>
              <w:pageBreakBefore w:val="0"/>
              <w:kinsoku/>
              <w:wordWrap/>
              <w:overflowPunct/>
              <w:topLinePunct w:val="0"/>
              <w:autoSpaceDE w:val="0"/>
              <w:autoSpaceDN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kern w:val="0"/>
                <w:sz w:val="24"/>
                <w:szCs w:val="24"/>
                <w:lang w:eastAsia="en-US"/>
              </w:rPr>
            </w:pPr>
          </w:p>
        </w:tc>
        <w:tc>
          <w:tcPr>
            <w:tcW w:w="2455" w:type="dxa"/>
            <w:vAlign w:val="center"/>
          </w:tcPr>
          <w:p>
            <w:pPr>
              <w:keepNext w:val="0"/>
              <w:keepLines w:val="0"/>
              <w:pageBreakBefore w:val="0"/>
              <w:kinsoku/>
              <w:wordWrap/>
              <w:overflowPunct/>
              <w:topLinePunct w:val="0"/>
              <w:autoSpaceDE w:val="0"/>
              <w:autoSpaceDN w:val="0"/>
              <w:bidi w:val="0"/>
              <w:adjustRightInd/>
              <w:snapToGrid/>
              <w:spacing w:before="113" w:line="320" w:lineRule="exact"/>
              <w:ind w:firstLine="0" w:firstLineChars="0"/>
              <w:jc w:val="left"/>
              <w:textAlignment w:val="auto"/>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kern w:val="0"/>
                <w:sz w:val="24"/>
                <w:szCs w:val="24"/>
              </w:rPr>
              <w:t>未对不合格的气瓶进行处理</w:t>
            </w:r>
          </w:p>
        </w:tc>
        <w:tc>
          <w:tcPr>
            <w:tcW w:w="5229" w:type="dxa"/>
            <w:tcBorders>
              <w:bottom w:val="single" w:color="auto" w:sz="4" w:space="0"/>
            </w:tcBorders>
            <w:vAlign w:val="center"/>
          </w:tcPr>
          <w:p>
            <w:pPr>
              <w:keepNext w:val="0"/>
              <w:keepLines w:val="0"/>
              <w:pageBreakBefore w:val="0"/>
              <w:kinsoku/>
              <w:wordWrap/>
              <w:overflowPunct/>
              <w:topLinePunct w:val="0"/>
              <w:autoSpaceDE w:val="0"/>
              <w:autoSpaceDN w:val="0"/>
              <w:bidi w:val="0"/>
              <w:adjustRightInd/>
              <w:snapToGrid/>
              <w:spacing w:before="69" w:line="320" w:lineRule="exact"/>
              <w:ind w:left="28" w:firstLine="0" w:firstLineChars="0"/>
              <w:jc w:val="left"/>
              <w:textAlignment w:val="auto"/>
              <w:rPr>
                <w:rFonts w:hint="eastAsia" w:asciiTheme="minorEastAsia" w:hAnsiTheme="minorEastAsia" w:eastAsiaTheme="minorEastAsia" w:cstheme="minorEastAsia"/>
                <w:bCs/>
                <w:color w:val="000000"/>
                <w:kern w:val="0"/>
                <w:sz w:val="24"/>
                <w:szCs w:val="24"/>
              </w:rPr>
            </w:pPr>
            <w:r>
              <w:rPr>
                <w:rFonts w:hint="eastAsia" w:asciiTheme="minorEastAsia" w:hAnsiTheme="minorEastAsia" w:eastAsiaTheme="minorEastAsia" w:cstheme="minorEastAsia"/>
                <w:bCs/>
                <w:color w:val="000000"/>
                <w:kern w:val="0"/>
                <w:sz w:val="24"/>
                <w:szCs w:val="24"/>
              </w:rPr>
              <w:t>对存在严重事故隐患、经检验不合格或者应当予以报废的不合格气瓶进行消除使用功能的报废处理</w:t>
            </w:r>
          </w:p>
        </w:tc>
        <w:tc>
          <w:tcPr>
            <w:tcW w:w="1714" w:type="dxa"/>
            <w:tcBorders>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sz w:val="24"/>
                <w:szCs w:val="24"/>
              </w:rPr>
              <w:t>日管控</w:t>
            </w:r>
          </w:p>
        </w:tc>
        <w:tc>
          <w:tcPr>
            <w:tcW w:w="1763" w:type="dxa"/>
            <w:tcBorders>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sz w:val="24"/>
                <w:szCs w:val="24"/>
              </w:rPr>
              <w:t>安全员</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82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8</w:t>
            </w:r>
          </w:p>
        </w:tc>
        <w:tc>
          <w:tcPr>
            <w:tcW w:w="152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color w:val="000000"/>
                <w:sz w:val="24"/>
                <w:szCs w:val="24"/>
              </w:rPr>
            </w:pPr>
          </w:p>
        </w:tc>
        <w:tc>
          <w:tcPr>
            <w:tcW w:w="2455" w:type="dxa"/>
            <w:vAlign w:val="center"/>
          </w:tcPr>
          <w:p>
            <w:pPr>
              <w:keepNext w:val="0"/>
              <w:keepLines w:val="0"/>
              <w:pageBreakBefore w:val="0"/>
              <w:kinsoku/>
              <w:wordWrap/>
              <w:overflowPunct/>
              <w:topLinePunct w:val="0"/>
              <w:autoSpaceDE w:val="0"/>
              <w:autoSpaceDN w:val="0"/>
              <w:bidi w:val="0"/>
              <w:adjustRightInd/>
              <w:snapToGrid/>
              <w:spacing w:before="113" w:line="320" w:lineRule="exact"/>
              <w:ind w:firstLine="0" w:firstLineChars="0"/>
              <w:jc w:val="left"/>
              <w:textAlignment w:val="auto"/>
              <w:rPr>
                <w:rFonts w:hint="eastAsia" w:asciiTheme="minorEastAsia" w:hAnsiTheme="minorEastAsia" w:eastAsiaTheme="minorEastAsia" w:cstheme="minorEastAsia"/>
                <w:bCs/>
                <w:color w:val="000000"/>
                <w:kern w:val="0"/>
                <w:sz w:val="24"/>
                <w:szCs w:val="24"/>
              </w:rPr>
            </w:pPr>
            <w:r>
              <w:rPr>
                <w:rFonts w:hint="eastAsia" w:asciiTheme="minorEastAsia" w:hAnsiTheme="minorEastAsia" w:eastAsiaTheme="minorEastAsia" w:cstheme="minorEastAsia"/>
                <w:bCs/>
                <w:color w:val="000000"/>
                <w:kern w:val="0"/>
                <w:sz w:val="24"/>
                <w:szCs w:val="24"/>
              </w:rPr>
              <w:t>超量、超压充装</w:t>
            </w:r>
          </w:p>
        </w:tc>
        <w:tc>
          <w:tcPr>
            <w:tcW w:w="5229" w:type="dxa"/>
            <w:tcBorders>
              <w:top w:val="single" w:color="auto" w:sz="4" w:space="0"/>
            </w:tcBorders>
            <w:vAlign w:val="center"/>
          </w:tcPr>
          <w:p>
            <w:pPr>
              <w:keepNext w:val="0"/>
              <w:keepLines w:val="0"/>
              <w:pageBreakBefore w:val="0"/>
              <w:kinsoku/>
              <w:wordWrap/>
              <w:overflowPunct/>
              <w:topLinePunct w:val="0"/>
              <w:autoSpaceDE w:val="0"/>
              <w:autoSpaceDN w:val="0"/>
              <w:bidi w:val="0"/>
              <w:adjustRightInd/>
              <w:snapToGrid/>
              <w:spacing w:before="69" w:line="320" w:lineRule="exact"/>
              <w:ind w:left="28" w:firstLine="0" w:firstLineChars="0"/>
              <w:jc w:val="left"/>
              <w:textAlignment w:val="auto"/>
              <w:rPr>
                <w:rFonts w:hint="eastAsia" w:asciiTheme="minorEastAsia" w:hAnsiTheme="minorEastAsia" w:eastAsiaTheme="minorEastAsia" w:cstheme="minorEastAsia"/>
                <w:bCs/>
                <w:color w:val="000000"/>
                <w:kern w:val="0"/>
                <w:sz w:val="24"/>
                <w:szCs w:val="24"/>
              </w:rPr>
            </w:pPr>
            <w:r>
              <w:rPr>
                <w:rFonts w:hint="eastAsia" w:asciiTheme="minorEastAsia" w:hAnsiTheme="minorEastAsia" w:eastAsiaTheme="minorEastAsia" w:cstheme="minorEastAsia"/>
                <w:bCs/>
                <w:color w:val="000000"/>
                <w:kern w:val="0"/>
                <w:sz w:val="24"/>
                <w:szCs w:val="24"/>
              </w:rPr>
              <w:t>严格按规定要求充装</w:t>
            </w:r>
          </w:p>
        </w:tc>
        <w:tc>
          <w:tcPr>
            <w:tcW w:w="1714"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sz w:val="24"/>
                <w:szCs w:val="24"/>
              </w:rPr>
              <w:t>日管控</w:t>
            </w:r>
          </w:p>
        </w:tc>
        <w:tc>
          <w:tcPr>
            <w:tcW w:w="1763"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sz w:val="24"/>
                <w:szCs w:val="24"/>
              </w:rPr>
              <w:t>安全员</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7" w:hRule="atLeast"/>
        </w:trPr>
        <w:tc>
          <w:tcPr>
            <w:tcW w:w="82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9</w:t>
            </w:r>
          </w:p>
        </w:tc>
        <w:tc>
          <w:tcPr>
            <w:tcW w:w="152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kern w:val="0"/>
                <w:sz w:val="24"/>
                <w:szCs w:val="24"/>
              </w:rPr>
            </w:pPr>
          </w:p>
        </w:tc>
        <w:tc>
          <w:tcPr>
            <w:tcW w:w="245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color w:val="000000"/>
                <w:spacing w:val="6"/>
                <w:sz w:val="24"/>
                <w:szCs w:val="24"/>
              </w:rPr>
            </w:pPr>
            <w:r>
              <w:rPr>
                <w:rFonts w:hint="eastAsia" w:asciiTheme="minorEastAsia" w:hAnsiTheme="minorEastAsia" w:eastAsiaTheme="minorEastAsia" w:cstheme="minorEastAsia"/>
                <w:color w:val="000000"/>
                <w:spacing w:val="6"/>
                <w:sz w:val="24"/>
                <w:szCs w:val="24"/>
              </w:rPr>
              <w:t>移动式压力容器未严格执行卸载前后检查、卸载过程控制，装卸记录不规范</w:t>
            </w:r>
          </w:p>
        </w:tc>
        <w:tc>
          <w:tcPr>
            <w:tcW w:w="5229"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color w:val="000000"/>
                <w:sz w:val="24"/>
                <w:szCs w:val="24"/>
                <w:lang w:eastAsia="zh-CN"/>
              </w:rPr>
            </w:pPr>
            <w:r>
              <w:rPr>
                <w:rFonts w:hint="eastAsia" w:asciiTheme="minorEastAsia" w:hAnsiTheme="minorEastAsia" w:eastAsiaTheme="minorEastAsia" w:cstheme="minorEastAsia"/>
                <w:color w:val="000000"/>
                <w:sz w:val="24"/>
                <w:szCs w:val="24"/>
              </w:rPr>
              <w:t>1.根据安全技术规范与企业实际情况编制卸载检查记录表并实施；</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2.编制卸载作业规程并严格实施</w:t>
            </w:r>
          </w:p>
        </w:tc>
        <w:tc>
          <w:tcPr>
            <w:tcW w:w="1714"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bCs/>
                <w:color w:val="000000"/>
                <w:sz w:val="24"/>
                <w:szCs w:val="24"/>
              </w:rPr>
              <w:t>日管控</w:t>
            </w:r>
          </w:p>
        </w:tc>
        <w:tc>
          <w:tcPr>
            <w:tcW w:w="1763"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sz w:val="24"/>
                <w:szCs w:val="24"/>
              </w:rPr>
              <w:t>安全员</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8" w:hRule="atLeast"/>
        </w:trPr>
        <w:tc>
          <w:tcPr>
            <w:tcW w:w="82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10</w:t>
            </w:r>
          </w:p>
        </w:tc>
        <w:tc>
          <w:tcPr>
            <w:tcW w:w="152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color w:val="000000"/>
                <w:sz w:val="24"/>
                <w:szCs w:val="24"/>
              </w:rPr>
            </w:pPr>
          </w:p>
        </w:tc>
        <w:tc>
          <w:tcPr>
            <w:tcW w:w="2455" w:type="dxa"/>
            <w:vAlign w:val="center"/>
          </w:tcPr>
          <w:p>
            <w:pPr>
              <w:keepNext w:val="0"/>
              <w:keepLines w:val="0"/>
              <w:pageBreakBefore w:val="0"/>
              <w:tabs>
                <w:tab w:val="left" w:pos="1011"/>
              </w:tabs>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000000"/>
                <w:kern w:val="0"/>
                <w:sz w:val="24"/>
                <w:szCs w:val="24"/>
              </w:rPr>
            </w:pPr>
            <w:r>
              <w:rPr>
                <w:rFonts w:hint="eastAsia" w:asciiTheme="minorEastAsia" w:hAnsiTheme="minorEastAsia" w:eastAsiaTheme="minorEastAsia" w:cstheme="minorEastAsia"/>
                <w:bCs/>
                <w:color w:val="000000"/>
                <w:kern w:val="0"/>
                <w:sz w:val="24"/>
                <w:szCs w:val="24"/>
              </w:rPr>
              <w:t>未建立气瓶充装质量追溯信息系统</w:t>
            </w:r>
          </w:p>
        </w:tc>
        <w:tc>
          <w:tcPr>
            <w:tcW w:w="5229" w:type="dxa"/>
            <w:vAlign w:val="center"/>
          </w:tcPr>
          <w:p>
            <w:pPr>
              <w:keepNext w:val="0"/>
              <w:keepLines w:val="0"/>
              <w:pageBreakBefore w:val="0"/>
              <w:kinsoku/>
              <w:wordWrap/>
              <w:overflowPunct/>
              <w:topLinePunct w:val="0"/>
              <w:autoSpaceDE w:val="0"/>
              <w:autoSpaceDN w:val="0"/>
              <w:bidi w:val="0"/>
              <w:adjustRightInd/>
              <w:snapToGrid/>
              <w:spacing w:before="69" w:line="320" w:lineRule="exact"/>
              <w:ind w:left="28" w:firstLine="0" w:firstLineChars="0"/>
              <w:jc w:val="left"/>
              <w:textAlignment w:val="auto"/>
              <w:rPr>
                <w:rFonts w:hint="eastAsia" w:asciiTheme="minorEastAsia" w:hAnsiTheme="minorEastAsia" w:eastAsiaTheme="minorEastAsia" w:cstheme="minorEastAsia"/>
                <w:bCs/>
                <w:color w:val="000000"/>
                <w:kern w:val="0"/>
                <w:sz w:val="24"/>
                <w:szCs w:val="24"/>
                <w:lang w:eastAsia="zh-CN"/>
              </w:rPr>
            </w:pPr>
            <w:r>
              <w:rPr>
                <w:rFonts w:hint="eastAsia" w:asciiTheme="minorEastAsia" w:hAnsiTheme="minorEastAsia" w:eastAsiaTheme="minorEastAsia" w:cstheme="minorEastAsia"/>
                <w:bCs/>
                <w:color w:val="000000"/>
                <w:kern w:val="0"/>
                <w:sz w:val="24"/>
                <w:szCs w:val="24"/>
              </w:rPr>
              <w:t>1.按安全技术规范要求建立并使用气瓶充装质量追溯信息系统及气瓶充装电子档案；</w:t>
            </w:r>
          </w:p>
          <w:p>
            <w:pPr>
              <w:keepNext w:val="0"/>
              <w:keepLines w:val="0"/>
              <w:pageBreakBefore w:val="0"/>
              <w:kinsoku/>
              <w:wordWrap/>
              <w:overflowPunct/>
              <w:topLinePunct w:val="0"/>
              <w:autoSpaceDE w:val="0"/>
              <w:autoSpaceDN w:val="0"/>
              <w:bidi w:val="0"/>
              <w:adjustRightInd/>
              <w:snapToGrid/>
              <w:spacing w:before="69" w:line="320" w:lineRule="exact"/>
              <w:ind w:left="28" w:firstLine="0" w:firstLineChars="0"/>
              <w:jc w:val="left"/>
              <w:textAlignment w:val="auto"/>
              <w:rPr>
                <w:rFonts w:hint="eastAsia" w:asciiTheme="minorEastAsia" w:hAnsiTheme="minorEastAsia" w:eastAsiaTheme="minorEastAsia" w:cstheme="minorEastAsia"/>
                <w:bCs/>
                <w:color w:val="000000"/>
                <w:kern w:val="0"/>
                <w:sz w:val="24"/>
                <w:szCs w:val="24"/>
              </w:rPr>
            </w:pPr>
            <w:r>
              <w:rPr>
                <w:rFonts w:hint="eastAsia" w:asciiTheme="minorEastAsia" w:hAnsiTheme="minorEastAsia" w:eastAsiaTheme="minorEastAsia" w:cstheme="minorEastAsia"/>
                <w:bCs/>
                <w:color w:val="000000"/>
                <w:kern w:val="0"/>
                <w:sz w:val="24"/>
                <w:szCs w:val="24"/>
              </w:rPr>
              <w:t>2.气瓶充装及检查的相关信息应上传到气瓶信息平台上保存</w:t>
            </w:r>
          </w:p>
        </w:tc>
        <w:tc>
          <w:tcPr>
            <w:tcW w:w="1714" w:type="dxa"/>
            <w:tcBorders>
              <w:top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sz w:val="24"/>
                <w:szCs w:val="24"/>
              </w:rPr>
              <w:t>日管控</w:t>
            </w:r>
          </w:p>
        </w:tc>
        <w:tc>
          <w:tcPr>
            <w:tcW w:w="1763" w:type="dxa"/>
            <w:tcBorders>
              <w:top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sz w:val="24"/>
                <w:szCs w:val="24"/>
              </w:rPr>
              <w:t>安全员</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824" w:type="dxa"/>
            <w:tcBorders>
              <w:bottom w:val="single" w:color="auto" w:sz="4" w:space="0"/>
            </w:tcBorders>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11</w:t>
            </w:r>
          </w:p>
        </w:tc>
        <w:tc>
          <w:tcPr>
            <w:tcW w:w="152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color w:val="000000"/>
                <w:sz w:val="24"/>
                <w:szCs w:val="24"/>
              </w:rPr>
            </w:pPr>
          </w:p>
        </w:tc>
        <w:tc>
          <w:tcPr>
            <w:tcW w:w="2455"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sz w:val="24"/>
                <w:szCs w:val="24"/>
              </w:rPr>
              <w:t>未建立、健全安全技术档案</w:t>
            </w:r>
          </w:p>
        </w:tc>
        <w:tc>
          <w:tcPr>
            <w:tcW w:w="5229"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sz w:val="24"/>
                <w:szCs w:val="24"/>
              </w:rPr>
              <w:t>建立健全安全技术档案</w:t>
            </w:r>
          </w:p>
        </w:tc>
        <w:tc>
          <w:tcPr>
            <w:tcW w:w="1714" w:type="dxa"/>
            <w:tcBorders>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sz w:val="24"/>
                <w:szCs w:val="24"/>
              </w:rPr>
              <w:t>周排查</w:t>
            </w:r>
          </w:p>
        </w:tc>
        <w:tc>
          <w:tcPr>
            <w:tcW w:w="1763" w:type="dxa"/>
            <w:tcBorders>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sz w:val="24"/>
                <w:szCs w:val="24"/>
              </w:rPr>
              <w:t>安全总监</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83" w:hRule="exact"/>
        </w:trPr>
        <w:tc>
          <w:tcPr>
            <w:tcW w:w="824" w:type="dxa"/>
            <w:tcBorders>
              <w:top w:val="single" w:color="auto" w:sz="4" w:space="0"/>
              <w:bottom w:val="single" w:color="auto" w:sz="4" w:space="0"/>
            </w:tcBorders>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12</w:t>
            </w:r>
          </w:p>
        </w:tc>
        <w:tc>
          <w:tcPr>
            <w:tcW w:w="1523" w:type="dxa"/>
            <w:vMerge w:val="continue"/>
            <w:vAlign w:val="center"/>
          </w:tcPr>
          <w:p>
            <w:pPr>
              <w:keepNext w:val="0"/>
              <w:keepLines w:val="0"/>
              <w:pageBreakBefore w:val="0"/>
              <w:kinsoku/>
              <w:wordWrap/>
              <w:overflowPunct/>
              <w:topLinePunct w:val="0"/>
              <w:autoSpaceDE w:val="0"/>
              <w:autoSpaceDN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lang w:eastAsia="en-US"/>
              </w:rPr>
            </w:pPr>
          </w:p>
        </w:tc>
        <w:tc>
          <w:tcPr>
            <w:tcW w:w="2455" w:type="dxa"/>
            <w:vAlign w:val="center"/>
          </w:tcPr>
          <w:p>
            <w:pPr>
              <w:keepNext w:val="0"/>
              <w:keepLines w:val="0"/>
              <w:pageBreakBefore w:val="0"/>
              <w:kinsoku/>
              <w:wordWrap/>
              <w:overflowPunct/>
              <w:topLinePunct w:val="0"/>
              <w:autoSpaceDE w:val="0"/>
              <w:autoSpaceDN w:val="0"/>
              <w:bidi w:val="0"/>
              <w:adjustRightInd/>
              <w:snapToGrid/>
              <w:spacing w:before="4" w:line="320" w:lineRule="exact"/>
              <w:ind w:left="39" w:right="142" w:firstLine="0" w:firstLineChars="0"/>
              <w:jc w:val="left"/>
              <w:textAlignment w:val="auto"/>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sz w:val="24"/>
                <w:szCs w:val="24"/>
              </w:rPr>
              <w:t>未设置气瓶待检区、不合格瓶区、待充装区和充装合格区，无明显隔离措施，且不符合安全技术要求</w:t>
            </w:r>
          </w:p>
        </w:tc>
        <w:tc>
          <w:tcPr>
            <w:tcW w:w="5229" w:type="dxa"/>
            <w:tcBorders>
              <w:bottom w:val="single" w:color="auto" w:sz="4" w:space="0"/>
            </w:tcBorders>
            <w:vAlign w:val="center"/>
          </w:tcPr>
          <w:p>
            <w:pPr>
              <w:keepNext w:val="0"/>
              <w:keepLines w:val="0"/>
              <w:pageBreakBefore w:val="0"/>
              <w:kinsoku/>
              <w:wordWrap/>
              <w:overflowPunct/>
              <w:topLinePunct w:val="0"/>
              <w:autoSpaceDE w:val="0"/>
              <w:autoSpaceDN w:val="0"/>
              <w:bidi w:val="0"/>
              <w:adjustRightInd/>
              <w:snapToGrid/>
              <w:spacing w:before="4" w:line="320" w:lineRule="exact"/>
              <w:ind w:left="39" w:right="142" w:firstLine="0" w:firstLineChars="0"/>
              <w:jc w:val="left"/>
              <w:textAlignment w:val="auto"/>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sz w:val="24"/>
                <w:szCs w:val="24"/>
              </w:rPr>
              <w:t>按安全技术要求合理设置气瓶待检区、不合格瓶区、待充装区和充装合格区等明显隔离措施</w:t>
            </w:r>
          </w:p>
        </w:tc>
        <w:tc>
          <w:tcPr>
            <w:tcW w:w="1714"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sz w:val="24"/>
                <w:szCs w:val="24"/>
              </w:rPr>
              <w:t>周排查</w:t>
            </w:r>
          </w:p>
        </w:tc>
        <w:tc>
          <w:tcPr>
            <w:tcW w:w="1763"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sz w:val="24"/>
                <w:szCs w:val="24"/>
              </w:rPr>
              <w:t>安全总监</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7" w:hRule="atLeast"/>
        </w:trPr>
        <w:tc>
          <w:tcPr>
            <w:tcW w:w="824" w:type="dxa"/>
            <w:tcBorders>
              <w:top w:val="single" w:color="auto" w:sz="4" w:space="0"/>
            </w:tcBorders>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13</w:t>
            </w:r>
          </w:p>
        </w:tc>
        <w:tc>
          <w:tcPr>
            <w:tcW w:w="1523" w:type="dxa"/>
            <w:vMerge w:val="continue"/>
            <w:vAlign w:val="center"/>
          </w:tcPr>
          <w:p>
            <w:pPr>
              <w:keepNext w:val="0"/>
              <w:keepLines w:val="0"/>
              <w:pageBreakBefore w:val="0"/>
              <w:kinsoku/>
              <w:wordWrap/>
              <w:overflowPunct/>
              <w:topLinePunct w:val="0"/>
              <w:autoSpaceDE w:val="0"/>
              <w:autoSpaceDN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kern w:val="0"/>
                <w:sz w:val="24"/>
                <w:szCs w:val="24"/>
                <w:lang w:eastAsia="en-US"/>
              </w:rPr>
            </w:pPr>
          </w:p>
        </w:tc>
        <w:tc>
          <w:tcPr>
            <w:tcW w:w="2455" w:type="dxa"/>
            <w:tcBorders>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color w:val="000000"/>
                <w:spacing w:val="6"/>
                <w:sz w:val="24"/>
                <w:szCs w:val="24"/>
              </w:rPr>
            </w:pPr>
            <w:r>
              <w:rPr>
                <w:rFonts w:hint="eastAsia" w:asciiTheme="minorEastAsia" w:hAnsiTheme="minorEastAsia" w:eastAsiaTheme="minorEastAsia" w:cstheme="minorEastAsia"/>
                <w:color w:val="000000"/>
                <w:spacing w:val="6"/>
                <w:sz w:val="24"/>
                <w:szCs w:val="24"/>
              </w:rPr>
              <w:t>发现异常情况未按规定采取应急措施，隐患未及时整改</w:t>
            </w:r>
          </w:p>
        </w:tc>
        <w:tc>
          <w:tcPr>
            <w:tcW w:w="5229" w:type="dxa"/>
            <w:tcBorders>
              <w:top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color w:val="000000"/>
                <w:sz w:val="24"/>
                <w:szCs w:val="24"/>
                <w:lang w:eastAsia="zh-CN"/>
              </w:rPr>
            </w:pPr>
            <w:r>
              <w:rPr>
                <w:rFonts w:hint="eastAsia" w:asciiTheme="minorEastAsia" w:hAnsiTheme="minorEastAsia" w:eastAsiaTheme="minorEastAsia" w:cstheme="minorEastAsia"/>
                <w:color w:val="000000"/>
                <w:sz w:val="24"/>
                <w:szCs w:val="24"/>
              </w:rPr>
              <w:t>1.查明异常发生原因，及时采取应急措施和消除隐患；</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sz w:val="24"/>
                <w:szCs w:val="24"/>
              </w:rPr>
              <w:t>2.制定整改计划，明确整改措施及责任人</w:t>
            </w:r>
          </w:p>
        </w:tc>
        <w:tc>
          <w:tcPr>
            <w:tcW w:w="1714" w:type="dxa"/>
            <w:tcBorders>
              <w:top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sz w:val="24"/>
                <w:szCs w:val="24"/>
              </w:rPr>
              <w:t>周排查</w:t>
            </w:r>
          </w:p>
        </w:tc>
        <w:tc>
          <w:tcPr>
            <w:tcW w:w="1763" w:type="dxa"/>
            <w:tcBorders>
              <w:top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sz w:val="24"/>
                <w:szCs w:val="24"/>
              </w:rPr>
              <w:t>安全总监</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7" w:hRule="atLeast"/>
        </w:trPr>
        <w:tc>
          <w:tcPr>
            <w:tcW w:w="82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14</w:t>
            </w:r>
          </w:p>
        </w:tc>
        <w:tc>
          <w:tcPr>
            <w:tcW w:w="1523" w:type="dxa"/>
            <w:vMerge w:val="continue"/>
            <w:vAlign w:val="center"/>
          </w:tcPr>
          <w:p>
            <w:pPr>
              <w:keepNext w:val="0"/>
              <w:keepLines w:val="0"/>
              <w:pageBreakBefore w:val="0"/>
              <w:kinsoku/>
              <w:wordWrap/>
              <w:overflowPunct/>
              <w:topLinePunct w:val="0"/>
              <w:autoSpaceDE w:val="0"/>
              <w:autoSpaceDN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lang w:eastAsia="en-US"/>
              </w:rPr>
            </w:pPr>
          </w:p>
        </w:tc>
        <w:tc>
          <w:tcPr>
            <w:tcW w:w="2455" w:type="dxa"/>
            <w:tcBorders>
              <w:top w:val="single" w:color="auto" w:sz="4" w:space="0"/>
            </w:tcBorders>
            <w:vAlign w:val="center"/>
          </w:tcPr>
          <w:p>
            <w:pPr>
              <w:keepNext w:val="0"/>
              <w:keepLines w:val="0"/>
              <w:pageBreakBefore w:val="0"/>
              <w:widowControl/>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无充装许可资质、许可证超期的，未及时办理变更手续。</w:t>
            </w:r>
          </w:p>
        </w:tc>
        <w:tc>
          <w:tcPr>
            <w:tcW w:w="5229"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1、立即停止充装，并严格按照规定取得许可；</w:t>
            </w:r>
          </w:p>
          <w:p>
            <w:pPr>
              <w:keepNext w:val="0"/>
              <w:keepLines w:val="0"/>
              <w:pageBreakBefore w:val="0"/>
              <w:widowControl/>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2、加强许可管理，及时变更</w:t>
            </w:r>
          </w:p>
        </w:tc>
        <w:tc>
          <w:tcPr>
            <w:tcW w:w="1714" w:type="dxa"/>
            <w:tcBorders>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月调度</w:t>
            </w:r>
          </w:p>
        </w:tc>
        <w:tc>
          <w:tcPr>
            <w:tcW w:w="1763" w:type="dxa"/>
            <w:tcBorders>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主要负责人</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1" w:hRule="exact"/>
        </w:trPr>
        <w:tc>
          <w:tcPr>
            <w:tcW w:w="82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15</w:t>
            </w:r>
          </w:p>
        </w:tc>
        <w:tc>
          <w:tcPr>
            <w:tcW w:w="1523" w:type="dxa"/>
            <w:vMerge w:val="continue"/>
            <w:vAlign w:val="center"/>
          </w:tcPr>
          <w:p>
            <w:pPr>
              <w:keepNext w:val="0"/>
              <w:keepLines w:val="0"/>
              <w:pageBreakBefore w:val="0"/>
              <w:kinsoku/>
              <w:wordWrap/>
              <w:overflowPunct/>
              <w:topLinePunct w:val="0"/>
              <w:autoSpaceDE w:val="0"/>
              <w:autoSpaceDN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lang w:eastAsia="en-US"/>
              </w:rPr>
            </w:pPr>
          </w:p>
        </w:tc>
        <w:tc>
          <w:tcPr>
            <w:tcW w:w="2455"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未建立、健全或有效实施相关安全管理制度，未及时修订质保手册、更新相关法律法规标准</w:t>
            </w:r>
          </w:p>
        </w:tc>
        <w:tc>
          <w:tcPr>
            <w:tcW w:w="5229"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lang w:eastAsia="zh-CN"/>
              </w:rPr>
            </w:pPr>
            <w:r>
              <w:rPr>
                <w:rFonts w:hint="eastAsia" w:asciiTheme="minorEastAsia" w:hAnsiTheme="minorEastAsia" w:eastAsiaTheme="minorEastAsia" w:cstheme="minorEastAsia"/>
                <w:bCs/>
                <w:sz w:val="24"/>
                <w:szCs w:val="24"/>
              </w:rPr>
              <w:t>1.建立健全并有效实施相关安全管理制度；</w:t>
            </w:r>
          </w:p>
          <w:p>
            <w:pPr>
              <w:keepNext w:val="0"/>
              <w:keepLines w:val="0"/>
              <w:pageBreakBefore w:val="0"/>
              <w:widowControl/>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2.根据资源条件变化及时修订质保手册、更新相关法律法规标准</w:t>
            </w:r>
          </w:p>
        </w:tc>
        <w:tc>
          <w:tcPr>
            <w:tcW w:w="1714"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月调度</w:t>
            </w:r>
          </w:p>
        </w:tc>
        <w:tc>
          <w:tcPr>
            <w:tcW w:w="1763"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主要负责人</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2" w:hRule="exact"/>
        </w:trPr>
        <w:tc>
          <w:tcPr>
            <w:tcW w:w="82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16</w:t>
            </w:r>
          </w:p>
        </w:tc>
        <w:tc>
          <w:tcPr>
            <w:tcW w:w="1523" w:type="dxa"/>
            <w:vMerge w:val="continue"/>
            <w:vAlign w:val="center"/>
          </w:tcPr>
          <w:p>
            <w:pPr>
              <w:keepNext w:val="0"/>
              <w:keepLines w:val="0"/>
              <w:pageBreakBefore w:val="0"/>
              <w:kinsoku/>
              <w:wordWrap/>
              <w:overflowPunct/>
              <w:topLinePunct w:val="0"/>
              <w:autoSpaceDE w:val="0"/>
              <w:autoSpaceDN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lang w:eastAsia="en-US"/>
              </w:rPr>
            </w:pPr>
          </w:p>
        </w:tc>
        <w:tc>
          <w:tcPr>
            <w:tcW w:w="2455"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未建立、健全操作规程</w:t>
            </w:r>
          </w:p>
        </w:tc>
        <w:tc>
          <w:tcPr>
            <w:tcW w:w="5229" w:type="dxa"/>
            <w:tcBorders>
              <w:bottom w:val="single" w:color="auto" w:sz="4" w:space="0"/>
            </w:tcBorders>
            <w:vAlign w:val="center"/>
          </w:tcPr>
          <w:p>
            <w:pPr>
              <w:keepNext w:val="0"/>
              <w:keepLines w:val="0"/>
              <w:pageBreakBefore w:val="0"/>
              <w:widowControl/>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建立健全操作规程</w:t>
            </w:r>
          </w:p>
        </w:tc>
        <w:tc>
          <w:tcPr>
            <w:tcW w:w="1714"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月调度</w:t>
            </w:r>
          </w:p>
        </w:tc>
        <w:tc>
          <w:tcPr>
            <w:tcW w:w="1763"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主要负责人</w:t>
            </w:r>
          </w:p>
        </w:tc>
        <w:tc>
          <w:tcPr>
            <w:tcW w:w="1234" w:type="dxa"/>
            <w:tcBorders>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trPr>
        <w:tc>
          <w:tcPr>
            <w:tcW w:w="82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17</w:t>
            </w:r>
          </w:p>
        </w:tc>
        <w:tc>
          <w:tcPr>
            <w:tcW w:w="1523" w:type="dxa"/>
            <w:vMerge w:val="continue"/>
            <w:vAlign w:val="center"/>
          </w:tcPr>
          <w:p>
            <w:pPr>
              <w:keepNext w:val="0"/>
              <w:keepLines w:val="0"/>
              <w:pageBreakBefore w:val="0"/>
              <w:kinsoku/>
              <w:wordWrap/>
              <w:overflowPunct/>
              <w:topLinePunct w:val="0"/>
              <w:autoSpaceDE w:val="0"/>
              <w:autoSpaceDN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lang w:eastAsia="en-US"/>
              </w:rPr>
            </w:pPr>
          </w:p>
        </w:tc>
        <w:tc>
          <w:tcPr>
            <w:tcW w:w="2455" w:type="dxa"/>
            <w:vAlign w:val="center"/>
          </w:tcPr>
          <w:p>
            <w:pPr>
              <w:keepNext w:val="0"/>
              <w:keepLines w:val="0"/>
              <w:pageBreakBefore w:val="0"/>
              <w:kinsoku/>
              <w:wordWrap/>
              <w:overflowPunct/>
              <w:topLinePunct w:val="0"/>
              <w:autoSpaceDE w:val="0"/>
              <w:autoSpaceDN w:val="0"/>
              <w:bidi w:val="0"/>
              <w:adjustRightInd/>
              <w:snapToGrid/>
              <w:spacing w:before="113" w:line="320" w:lineRule="exact"/>
              <w:ind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未及时办理使用登记，每年未及时报送气瓶基本信息汇总表和年度安全状况</w:t>
            </w:r>
          </w:p>
        </w:tc>
        <w:tc>
          <w:tcPr>
            <w:tcW w:w="5229" w:type="dxa"/>
            <w:tcBorders>
              <w:top w:val="single" w:color="auto" w:sz="4" w:space="0"/>
            </w:tcBorders>
            <w:vAlign w:val="center"/>
          </w:tcPr>
          <w:p>
            <w:pPr>
              <w:keepNext w:val="0"/>
              <w:keepLines w:val="0"/>
              <w:pageBreakBefore w:val="0"/>
              <w:kinsoku/>
              <w:wordWrap/>
              <w:overflowPunct/>
              <w:topLinePunct w:val="0"/>
              <w:autoSpaceDE w:val="0"/>
              <w:autoSpaceDN w:val="0"/>
              <w:bidi w:val="0"/>
              <w:adjustRightInd/>
              <w:snapToGrid/>
              <w:spacing w:before="69" w:line="320" w:lineRule="exact"/>
              <w:ind w:left="28"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1.及时办理使用登记，对气瓶台账进行动态维护；</w:t>
            </w:r>
          </w:p>
          <w:p>
            <w:pPr>
              <w:keepNext w:val="0"/>
              <w:keepLines w:val="0"/>
              <w:pageBreakBefore w:val="0"/>
              <w:kinsoku/>
              <w:wordWrap/>
              <w:overflowPunct/>
              <w:topLinePunct w:val="0"/>
              <w:autoSpaceDE w:val="0"/>
              <w:autoSpaceDN w:val="0"/>
              <w:bidi w:val="0"/>
              <w:adjustRightInd/>
              <w:snapToGrid/>
              <w:spacing w:before="69" w:line="320" w:lineRule="exact"/>
              <w:ind w:left="28"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2.每年及时报送气瓶基本信息汇总表和年度安全状况</w:t>
            </w:r>
          </w:p>
        </w:tc>
        <w:tc>
          <w:tcPr>
            <w:tcW w:w="1714"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月调度</w:t>
            </w:r>
          </w:p>
        </w:tc>
        <w:tc>
          <w:tcPr>
            <w:tcW w:w="1763"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主要负责人</w:t>
            </w:r>
          </w:p>
        </w:tc>
        <w:tc>
          <w:tcPr>
            <w:tcW w:w="1234"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82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18</w:t>
            </w:r>
          </w:p>
        </w:tc>
        <w:tc>
          <w:tcPr>
            <w:tcW w:w="1523" w:type="dxa"/>
            <w:vMerge w:val="continue"/>
            <w:vAlign w:val="center"/>
          </w:tcPr>
          <w:p>
            <w:pPr>
              <w:keepNext w:val="0"/>
              <w:keepLines w:val="0"/>
              <w:pageBreakBefore w:val="0"/>
              <w:kinsoku/>
              <w:wordWrap/>
              <w:overflowPunct/>
              <w:topLinePunct w:val="0"/>
              <w:autoSpaceDE w:val="0"/>
              <w:autoSpaceDN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lang w:eastAsia="en-US"/>
              </w:rPr>
            </w:pPr>
          </w:p>
        </w:tc>
        <w:tc>
          <w:tcPr>
            <w:tcW w:w="245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气瓶检验</w:t>
            </w:r>
            <w:r>
              <w:rPr>
                <w:rFonts w:hint="eastAsia" w:asciiTheme="minorEastAsia" w:hAnsiTheme="minorEastAsia" w:eastAsiaTheme="minorEastAsia" w:cstheme="minorEastAsia"/>
                <w:bCs/>
                <w:color w:val="000000"/>
                <w:sz w:val="24"/>
                <w:szCs w:val="24"/>
                <w:lang w:val="zh-TW" w:eastAsia="zh-TW" w:bidi="zh-TW"/>
              </w:rPr>
              <w:t>有效期届满前一个月</w:t>
            </w:r>
            <w:r>
              <w:rPr>
                <w:rFonts w:hint="eastAsia" w:asciiTheme="minorEastAsia" w:hAnsiTheme="minorEastAsia" w:eastAsiaTheme="minorEastAsia" w:cstheme="minorEastAsia"/>
                <w:bCs/>
                <w:color w:val="000000"/>
                <w:sz w:val="24"/>
                <w:szCs w:val="24"/>
                <w:lang w:val="zh-TW" w:bidi="zh-TW"/>
              </w:rPr>
              <w:t>，</w:t>
            </w:r>
            <w:r>
              <w:rPr>
                <w:rFonts w:hint="eastAsia" w:asciiTheme="minorEastAsia" w:hAnsiTheme="minorEastAsia" w:eastAsiaTheme="minorEastAsia" w:cstheme="minorEastAsia"/>
                <w:bCs/>
                <w:color w:val="000000"/>
                <w:sz w:val="24"/>
                <w:szCs w:val="24"/>
                <w:lang w:bidi="zh-TW"/>
              </w:rPr>
              <w:t>未</w:t>
            </w:r>
            <w:r>
              <w:rPr>
                <w:rFonts w:hint="eastAsia" w:asciiTheme="minorEastAsia" w:hAnsiTheme="minorEastAsia" w:eastAsiaTheme="minorEastAsia" w:cstheme="minorEastAsia"/>
                <w:bCs/>
                <w:color w:val="000000"/>
                <w:sz w:val="24"/>
                <w:szCs w:val="24"/>
                <w:lang w:val="zh-TW" w:eastAsia="zh-TW" w:bidi="zh-TW"/>
              </w:rPr>
              <w:t>向气瓶定期检验机构提出定期检验申请，并且送检气瓶。</w:t>
            </w:r>
          </w:p>
        </w:tc>
        <w:tc>
          <w:tcPr>
            <w:tcW w:w="5229" w:type="dxa"/>
            <w:tcBorders>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sz w:val="24"/>
                <w:szCs w:val="24"/>
              </w:rPr>
              <w:t>气瓶检验</w:t>
            </w:r>
            <w:r>
              <w:rPr>
                <w:rFonts w:hint="eastAsia" w:asciiTheme="minorEastAsia" w:hAnsiTheme="minorEastAsia" w:eastAsiaTheme="minorEastAsia" w:cstheme="minorEastAsia"/>
                <w:bCs/>
                <w:color w:val="000000"/>
                <w:sz w:val="24"/>
                <w:szCs w:val="24"/>
                <w:lang w:val="zh-TW" w:eastAsia="zh-TW" w:bidi="zh-TW"/>
              </w:rPr>
              <w:t>有效期届满前一个月</w:t>
            </w:r>
            <w:r>
              <w:rPr>
                <w:rFonts w:hint="eastAsia" w:asciiTheme="minorEastAsia" w:hAnsiTheme="minorEastAsia" w:eastAsiaTheme="minorEastAsia" w:cstheme="minorEastAsia"/>
                <w:bCs/>
                <w:color w:val="000000"/>
                <w:sz w:val="24"/>
                <w:szCs w:val="24"/>
                <w:lang w:val="zh-TW" w:bidi="zh-TW"/>
              </w:rPr>
              <w:t>，</w:t>
            </w:r>
            <w:r>
              <w:rPr>
                <w:rFonts w:hint="eastAsia" w:asciiTheme="minorEastAsia" w:hAnsiTheme="minorEastAsia" w:eastAsiaTheme="minorEastAsia" w:cstheme="minorEastAsia"/>
                <w:bCs/>
                <w:color w:val="000000"/>
                <w:sz w:val="24"/>
                <w:szCs w:val="24"/>
                <w:lang w:val="zh-TW" w:eastAsia="zh-TW" w:bidi="zh-TW"/>
              </w:rPr>
              <w:t>向气瓶定期检验机构提出定期检验申请，并且送检气瓶</w:t>
            </w:r>
          </w:p>
        </w:tc>
        <w:tc>
          <w:tcPr>
            <w:tcW w:w="1714"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月调度</w:t>
            </w:r>
          </w:p>
        </w:tc>
        <w:tc>
          <w:tcPr>
            <w:tcW w:w="1763"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主要负责人</w:t>
            </w:r>
          </w:p>
        </w:tc>
        <w:tc>
          <w:tcPr>
            <w:tcW w:w="1234" w:type="dxa"/>
            <w:tcBorders>
              <w:top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exact"/>
        </w:trPr>
        <w:tc>
          <w:tcPr>
            <w:tcW w:w="82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19</w:t>
            </w:r>
          </w:p>
        </w:tc>
        <w:tc>
          <w:tcPr>
            <w:tcW w:w="1523" w:type="dxa"/>
            <w:vMerge w:val="continue"/>
            <w:vAlign w:val="center"/>
          </w:tcPr>
          <w:p>
            <w:pPr>
              <w:keepNext w:val="0"/>
              <w:keepLines w:val="0"/>
              <w:pageBreakBefore w:val="0"/>
              <w:kinsoku/>
              <w:wordWrap/>
              <w:overflowPunct/>
              <w:topLinePunct w:val="0"/>
              <w:autoSpaceDE w:val="0"/>
              <w:autoSpaceDN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lang w:eastAsia="en-US"/>
              </w:rPr>
            </w:pPr>
          </w:p>
        </w:tc>
        <w:tc>
          <w:tcPr>
            <w:tcW w:w="2455" w:type="dxa"/>
            <w:vAlign w:val="center"/>
          </w:tcPr>
          <w:p>
            <w:pPr>
              <w:keepNext w:val="0"/>
              <w:keepLines w:val="0"/>
              <w:pageBreakBefore w:val="0"/>
              <w:kinsoku/>
              <w:wordWrap/>
              <w:overflowPunct/>
              <w:topLinePunct w:val="0"/>
              <w:autoSpaceDE w:val="0"/>
              <w:autoSpaceDN w:val="0"/>
              <w:bidi w:val="0"/>
              <w:adjustRightInd/>
              <w:snapToGrid/>
              <w:spacing w:before="165" w:line="320" w:lineRule="exact"/>
              <w:ind w:right="193" w:firstLine="0" w:firstLineChars="0"/>
              <w:jc w:val="left"/>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未制定应急预案或进行演练</w:t>
            </w:r>
          </w:p>
        </w:tc>
        <w:tc>
          <w:tcPr>
            <w:tcW w:w="5229" w:type="dxa"/>
            <w:tcBorders>
              <w:top w:val="single" w:color="auto" w:sz="4" w:space="0"/>
            </w:tcBorders>
            <w:vAlign w:val="center"/>
          </w:tcPr>
          <w:p>
            <w:pPr>
              <w:keepNext w:val="0"/>
              <w:keepLines w:val="0"/>
              <w:pageBreakBefore w:val="0"/>
              <w:kinsoku/>
              <w:wordWrap/>
              <w:overflowPunct/>
              <w:topLinePunct w:val="0"/>
              <w:autoSpaceDE w:val="0"/>
              <w:autoSpaceDN w:val="0"/>
              <w:bidi w:val="0"/>
              <w:adjustRightInd/>
              <w:snapToGrid/>
              <w:spacing w:before="59" w:line="320" w:lineRule="exact"/>
              <w:ind w:left="28" w:firstLine="0" w:firstLineChars="0"/>
              <w:jc w:val="left"/>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应建立应急预案，按要求定期开展演练</w:t>
            </w:r>
          </w:p>
        </w:tc>
        <w:tc>
          <w:tcPr>
            <w:tcW w:w="1714"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月调度</w:t>
            </w:r>
          </w:p>
        </w:tc>
        <w:tc>
          <w:tcPr>
            <w:tcW w:w="1763"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主要负责人</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0" w:hRule="atLeast"/>
        </w:trPr>
        <w:tc>
          <w:tcPr>
            <w:tcW w:w="82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20</w:t>
            </w:r>
          </w:p>
        </w:tc>
        <w:tc>
          <w:tcPr>
            <w:tcW w:w="1523" w:type="dxa"/>
            <w:vMerge w:val="continue"/>
            <w:vAlign w:val="center"/>
          </w:tcPr>
          <w:p>
            <w:pPr>
              <w:keepNext w:val="0"/>
              <w:keepLines w:val="0"/>
              <w:pageBreakBefore w:val="0"/>
              <w:kinsoku/>
              <w:wordWrap/>
              <w:overflowPunct/>
              <w:topLinePunct w:val="0"/>
              <w:autoSpaceDE w:val="0"/>
              <w:autoSpaceDN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lang w:eastAsia="en-US"/>
              </w:rPr>
            </w:pPr>
          </w:p>
        </w:tc>
        <w:tc>
          <w:tcPr>
            <w:tcW w:w="245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未落实安全事故报告义务，未采取有效措施防止事故扩大</w:t>
            </w:r>
          </w:p>
        </w:tc>
        <w:tc>
          <w:tcPr>
            <w:tcW w:w="5229"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1.落实气瓶安全事故报告制度；</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2.及时采取有效措施防止事故扩大</w:t>
            </w:r>
          </w:p>
        </w:tc>
        <w:tc>
          <w:tcPr>
            <w:tcW w:w="1714" w:type="dxa"/>
            <w:tcBorders>
              <w:top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Cs/>
                <w:sz w:val="24"/>
                <w:szCs w:val="24"/>
              </w:rPr>
              <w:t>月调度</w:t>
            </w:r>
          </w:p>
        </w:tc>
        <w:tc>
          <w:tcPr>
            <w:tcW w:w="1763" w:type="dxa"/>
            <w:tcBorders>
              <w:top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bCs/>
                <w:sz w:val="24"/>
                <w:szCs w:val="24"/>
              </w:rPr>
              <w:t>主要负责人</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33" w:hRule="atLeast"/>
        </w:trPr>
        <w:tc>
          <w:tcPr>
            <w:tcW w:w="82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21</w:t>
            </w:r>
          </w:p>
        </w:tc>
        <w:tc>
          <w:tcPr>
            <w:tcW w:w="1523" w:type="dxa"/>
            <w:vMerge w:val="restart"/>
            <w:vAlign w:val="center"/>
          </w:tcPr>
          <w:p>
            <w:pPr>
              <w:keepNext w:val="0"/>
              <w:keepLines w:val="0"/>
              <w:pageBreakBefore w:val="0"/>
              <w:tabs>
                <w:tab w:val="left" w:pos="1016"/>
              </w:tabs>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color w:val="000000"/>
                <w:sz w:val="24"/>
                <w:szCs w:val="24"/>
                <w:lang w:bidi="zh-TW"/>
              </w:rPr>
            </w:pPr>
            <w:r>
              <w:rPr>
                <w:rFonts w:hint="eastAsia" w:asciiTheme="minorEastAsia" w:hAnsiTheme="minorEastAsia" w:eastAsiaTheme="minorEastAsia" w:cstheme="minorEastAsia"/>
                <w:bCs/>
                <w:color w:val="000000"/>
                <w:sz w:val="24"/>
                <w:szCs w:val="24"/>
                <w:lang w:bidi="zh-TW"/>
              </w:rPr>
              <w:t>设备</w:t>
            </w:r>
          </w:p>
        </w:tc>
        <w:tc>
          <w:tcPr>
            <w:tcW w:w="2455" w:type="dxa"/>
            <w:vAlign w:val="center"/>
          </w:tcPr>
          <w:p>
            <w:pPr>
              <w:keepNext w:val="0"/>
              <w:keepLines w:val="0"/>
              <w:pageBreakBefore w:val="0"/>
              <w:kinsoku/>
              <w:wordWrap/>
              <w:overflowPunct/>
              <w:topLinePunct w:val="0"/>
              <w:autoSpaceDE w:val="0"/>
              <w:autoSpaceDN w:val="0"/>
              <w:bidi w:val="0"/>
              <w:adjustRightInd/>
              <w:snapToGrid/>
              <w:spacing w:before="113" w:line="320" w:lineRule="exact"/>
              <w:ind w:left="76"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color w:val="000000"/>
                <w:kern w:val="0"/>
                <w:sz w:val="24"/>
                <w:szCs w:val="24"/>
              </w:rPr>
              <w:t>信息标志、警示标签、</w:t>
            </w:r>
            <w:r>
              <w:rPr>
                <w:rFonts w:hint="eastAsia" w:asciiTheme="minorEastAsia" w:hAnsiTheme="minorEastAsia" w:eastAsiaTheme="minorEastAsia" w:cstheme="minorEastAsia"/>
                <w:bCs/>
                <w:kern w:val="0"/>
                <w:sz w:val="24"/>
                <w:szCs w:val="24"/>
              </w:rPr>
              <w:t>漆色</w:t>
            </w:r>
            <w:r>
              <w:rPr>
                <w:rFonts w:hint="eastAsia" w:asciiTheme="minorEastAsia" w:hAnsiTheme="minorEastAsia" w:eastAsiaTheme="minorEastAsia" w:cstheme="minorEastAsia"/>
                <w:bCs/>
                <w:color w:val="000000"/>
                <w:kern w:val="0"/>
                <w:sz w:val="24"/>
                <w:szCs w:val="24"/>
              </w:rPr>
              <w:t>不符合要求</w:t>
            </w:r>
          </w:p>
        </w:tc>
        <w:tc>
          <w:tcPr>
            <w:tcW w:w="5229" w:type="dxa"/>
            <w:vAlign w:val="center"/>
          </w:tcPr>
          <w:p>
            <w:pPr>
              <w:keepNext w:val="0"/>
              <w:keepLines w:val="0"/>
              <w:pageBreakBefore w:val="0"/>
              <w:tabs>
                <w:tab w:val="left" w:pos="1011"/>
              </w:tabs>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lang w:val="zh-TW" w:bidi="zh-TW"/>
              </w:rPr>
            </w:pPr>
            <w:r>
              <w:rPr>
                <w:rFonts w:hint="eastAsia" w:asciiTheme="minorEastAsia" w:hAnsiTheme="minorEastAsia" w:eastAsiaTheme="minorEastAsia" w:cstheme="minorEastAsia"/>
                <w:bCs/>
                <w:color w:val="000000"/>
                <w:sz w:val="24"/>
                <w:szCs w:val="24"/>
                <w:lang w:bidi="zh-TW"/>
              </w:rPr>
              <w:t>1、</w:t>
            </w:r>
            <w:r>
              <w:rPr>
                <w:rFonts w:hint="eastAsia" w:asciiTheme="minorEastAsia" w:hAnsiTheme="minorEastAsia" w:eastAsiaTheme="minorEastAsia" w:cstheme="minorEastAsia"/>
                <w:bCs/>
                <w:color w:val="000000"/>
                <w:sz w:val="24"/>
                <w:szCs w:val="24"/>
                <w:lang w:val="zh-TW" w:eastAsia="zh-TW" w:bidi="zh-TW"/>
              </w:rPr>
              <w:t>在充装检查合格的气瓶上，牢固粘贴充装产品合格标签，标签上</w:t>
            </w:r>
            <w:r>
              <w:rPr>
                <w:rFonts w:hint="eastAsia" w:asciiTheme="minorEastAsia" w:hAnsiTheme="minorEastAsia" w:eastAsiaTheme="minorEastAsia" w:cstheme="minorEastAsia"/>
                <w:bCs/>
                <w:color w:val="000000"/>
                <w:sz w:val="24"/>
                <w:szCs w:val="24"/>
                <w:lang w:bidi="zh-TW"/>
              </w:rPr>
              <w:t>的内容应符合相应规定；</w:t>
            </w:r>
          </w:p>
          <w:p>
            <w:pPr>
              <w:keepNext w:val="0"/>
              <w:keepLines w:val="0"/>
              <w:pageBreakBefore w:val="0"/>
              <w:tabs>
                <w:tab w:val="left" w:pos="1002"/>
              </w:tabs>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000000"/>
                <w:sz w:val="24"/>
                <w:szCs w:val="24"/>
                <w:lang w:val="zh-TW" w:eastAsia="zh-CN" w:bidi="zh-TW"/>
              </w:rPr>
            </w:pPr>
            <w:bookmarkStart w:id="265" w:name="bookmark490"/>
            <w:bookmarkEnd w:id="265"/>
            <w:r>
              <w:rPr>
                <w:rFonts w:hint="eastAsia" w:asciiTheme="minorEastAsia" w:hAnsiTheme="minorEastAsia" w:eastAsiaTheme="minorEastAsia" w:cstheme="minorEastAsia"/>
                <w:bCs/>
                <w:color w:val="000000"/>
                <w:sz w:val="24"/>
                <w:szCs w:val="24"/>
                <w:lang w:bidi="zh-TW"/>
              </w:rPr>
              <w:t>2、</w:t>
            </w:r>
            <w:r>
              <w:rPr>
                <w:rFonts w:hint="eastAsia" w:asciiTheme="minorEastAsia" w:hAnsiTheme="minorEastAsia" w:eastAsiaTheme="minorEastAsia" w:cstheme="minorEastAsia"/>
                <w:bCs/>
                <w:color w:val="000000"/>
                <w:sz w:val="24"/>
                <w:szCs w:val="24"/>
                <w:lang w:val="zh-TW" w:eastAsia="zh-TW" w:bidi="zh-TW"/>
              </w:rPr>
              <w:t>在充装气瓶上标示警示标签，式样、制作方法和使用应当符合</w:t>
            </w:r>
            <w:r>
              <w:rPr>
                <w:rFonts w:hint="eastAsia" w:asciiTheme="minorEastAsia" w:hAnsiTheme="minorEastAsia" w:eastAsiaTheme="minorEastAsia" w:cstheme="minorEastAsia"/>
                <w:bCs/>
                <w:color w:val="000000"/>
                <w:sz w:val="24"/>
                <w:szCs w:val="24"/>
                <w:lang w:bidi="zh-TW"/>
              </w:rPr>
              <w:t>相关</w:t>
            </w:r>
            <w:r>
              <w:rPr>
                <w:rFonts w:hint="eastAsia" w:asciiTheme="minorEastAsia" w:hAnsiTheme="minorEastAsia" w:eastAsiaTheme="minorEastAsia" w:cstheme="minorEastAsia"/>
                <w:bCs/>
                <w:color w:val="000000"/>
                <w:sz w:val="24"/>
                <w:szCs w:val="24"/>
                <w:lang w:val="zh-TW" w:eastAsia="zh-TW" w:bidi="zh-TW"/>
              </w:rPr>
              <w:t>要求。燃气</w:t>
            </w:r>
            <w:r>
              <w:rPr>
                <w:rFonts w:hint="eastAsia" w:asciiTheme="minorEastAsia" w:hAnsiTheme="minorEastAsia" w:eastAsiaTheme="minorEastAsia" w:cstheme="minorEastAsia"/>
                <w:bCs/>
                <w:color w:val="000000"/>
                <w:sz w:val="24"/>
                <w:szCs w:val="24"/>
                <w:lang w:bidi="zh-TW"/>
              </w:rPr>
              <w:t>气瓶</w:t>
            </w:r>
            <w:r>
              <w:rPr>
                <w:rFonts w:hint="eastAsia" w:asciiTheme="minorEastAsia" w:hAnsiTheme="minorEastAsia" w:eastAsiaTheme="minorEastAsia" w:cstheme="minorEastAsia"/>
                <w:bCs/>
                <w:color w:val="000000"/>
                <w:sz w:val="24"/>
                <w:szCs w:val="24"/>
                <w:lang w:val="zh-TW" w:eastAsia="zh-TW" w:bidi="zh-TW"/>
              </w:rPr>
              <w:t>警示标签上应当注明</w:t>
            </w:r>
            <w:r>
              <w:rPr>
                <w:rFonts w:hint="eastAsia" w:asciiTheme="minorEastAsia" w:hAnsiTheme="minorEastAsia" w:eastAsiaTheme="minorEastAsia" w:cstheme="minorEastAsia"/>
                <w:bCs/>
                <w:color w:val="000000"/>
                <w:sz w:val="24"/>
                <w:szCs w:val="24"/>
                <w:lang w:val="zh-CN" w:bidi="zh-CN"/>
              </w:rPr>
              <w:t>“人</w:t>
            </w:r>
            <w:r>
              <w:rPr>
                <w:rFonts w:hint="eastAsia" w:asciiTheme="minorEastAsia" w:hAnsiTheme="minorEastAsia" w:eastAsiaTheme="minorEastAsia" w:cstheme="minorEastAsia"/>
                <w:bCs/>
                <w:color w:val="000000"/>
                <w:sz w:val="24"/>
                <w:szCs w:val="24"/>
                <w:lang w:val="zh-TW" w:eastAsia="zh-TW" w:bidi="zh-TW"/>
              </w:rPr>
              <w:t>员密集的室内禁用”字样</w:t>
            </w:r>
            <w:r>
              <w:rPr>
                <w:rFonts w:hint="eastAsia" w:asciiTheme="minorEastAsia" w:hAnsiTheme="minorEastAsia" w:eastAsiaTheme="minorEastAsia" w:cstheme="minorEastAsia"/>
                <w:bCs/>
                <w:color w:val="000000"/>
                <w:sz w:val="24"/>
                <w:szCs w:val="24"/>
                <w:lang w:val="zh-TW" w:bidi="zh-TW"/>
              </w:rPr>
              <w:t>；</w:t>
            </w:r>
          </w:p>
          <w:p>
            <w:pPr>
              <w:keepNext w:val="0"/>
              <w:keepLines w:val="0"/>
              <w:pageBreakBefore w:val="0"/>
              <w:tabs>
                <w:tab w:val="left" w:pos="1002"/>
              </w:tabs>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kern w:val="0"/>
                <w:sz w:val="24"/>
                <w:szCs w:val="24"/>
                <w:lang w:eastAsia="zh-TW"/>
              </w:rPr>
            </w:pPr>
            <w:r>
              <w:rPr>
                <w:rFonts w:hint="eastAsia" w:asciiTheme="minorEastAsia" w:hAnsiTheme="minorEastAsia" w:eastAsiaTheme="minorEastAsia" w:cstheme="minorEastAsia"/>
                <w:bCs/>
                <w:color w:val="000000"/>
                <w:sz w:val="24"/>
                <w:szCs w:val="24"/>
                <w:lang w:val="zh-TW" w:bidi="zh-TW"/>
              </w:rPr>
              <w:t>3</w:t>
            </w:r>
            <w:r>
              <w:rPr>
                <w:rFonts w:hint="eastAsia" w:asciiTheme="minorEastAsia" w:hAnsiTheme="minorEastAsia" w:eastAsiaTheme="minorEastAsia" w:cstheme="minorEastAsia"/>
                <w:bCs/>
                <w:color w:val="000000"/>
                <w:sz w:val="24"/>
                <w:szCs w:val="24"/>
                <w:lang w:val="zh-TW" w:eastAsia="zh-TW" w:bidi="zh-TW"/>
              </w:rPr>
              <w:t>.</w:t>
            </w:r>
            <w:r>
              <w:rPr>
                <w:rFonts w:hint="eastAsia" w:asciiTheme="minorEastAsia" w:hAnsiTheme="minorEastAsia" w:eastAsiaTheme="minorEastAsia" w:cstheme="minorEastAsia"/>
                <w:bCs/>
                <w:kern w:val="0"/>
                <w:sz w:val="24"/>
                <w:szCs w:val="24"/>
              </w:rPr>
              <w:t>充装气瓶的漆色应符合相关规定</w:t>
            </w:r>
          </w:p>
        </w:tc>
        <w:tc>
          <w:tcPr>
            <w:tcW w:w="1714" w:type="dxa"/>
            <w:tcBorders>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日管控</w:t>
            </w:r>
          </w:p>
        </w:tc>
        <w:tc>
          <w:tcPr>
            <w:tcW w:w="1763" w:type="dxa"/>
            <w:tcBorders>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安全员</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58" w:hRule="atLeast"/>
        </w:trPr>
        <w:tc>
          <w:tcPr>
            <w:tcW w:w="824" w:type="dxa"/>
            <w:tcBorders>
              <w:bottom w:val="single" w:color="auto" w:sz="4" w:space="0"/>
            </w:tcBorders>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22</w:t>
            </w:r>
          </w:p>
        </w:tc>
        <w:tc>
          <w:tcPr>
            <w:tcW w:w="152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color w:val="FF0000"/>
                <w:sz w:val="24"/>
                <w:szCs w:val="24"/>
              </w:rPr>
            </w:pPr>
          </w:p>
        </w:tc>
        <w:tc>
          <w:tcPr>
            <w:tcW w:w="245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sz w:val="24"/>
                <w:szCs w:val="24"/>
                <w:lang w:val="zh-TW" w:eastAsia="zh-TW" w:bidi="zh-TW"/>
              </w:rPr>
              <w:t>充装前</w:t>
            </w:r>
            <w:r>
              <w:rPr>
                <w:rFonts w:hint="eastAsia" w:asciiTheme="minorEastAsia" w:hAnsiTheme="minorEastAsia" w:eastAsiaTheme="minorEastAsia" w:cstheme="minorEastAsia"/>
                <w:bCs/>
                <w:color w:val="000000"/>
                <w:sz w:val="24"/>
                <w:szCs w:val="24"/>
                <w:lang w:val="zh-TW" w:bidi="zh-TW"/>
              </w:rPr>
              <w:t>（</w:t>
            </w:r>
            <w:r>
              <w:rPr>
                <w:rFonts w:hint="eastAsia" w:asciiTheme="minorEastAsia" w:hAnsiTheme="minorEastAsia" w:eastAsiaTheme="minorEastAsia" w:cstheme="minorEastAsia"/>
                <w:bCs/>
                <w:color w:val="000000"/>
                <w:sz w:val="24"/>
                <w:szCs w:val="24"/>
                <w:lang w:bidi="zh-TW"/>
              </w:rPr>
              <w:t>后</w:t>
            </w:r>
            <w:r>
              <w:rPr>
                <w:rFonts w:hint="eastAsia" w:asciiTheme="minorEastAsia" w:hAnsiTheme="minorEastAsia" w:eastAsiaTheme="minorEastAsia" w:cstheme="minorEastAsia"/>
                <w:bCs/>
                <w:color w:val="000000"/>
                <w:sz w:val="24"/>
                <w:szCs w:val="24"/>
                <w:lang w:val="zh-TW" w:bidi="zh-TW"/>
              </w:rPr>
              <w:t>）</w:t>
            </w:r>
            <w:r>
              <w:rPr>
                <w:rFonts w:hint="eastAsia" w:asciiTheme="minorEastAsia" w:hAnsiTheme="minorEastAsia" w:eastAsiaTheme="minorEastAsia" w:cstheme="minorEastAsia"/>
                <w:bCs/>
                <w:color w:val="000000"/>
                <w:sz w:val="24"/>
                <w:szCs w:val="24"/>
                <w:lang w:bidi="zh-TW"/>
              </w:rPr>
              <w:t>，未</w:t>
            </w:r>
            <w:r>
              <w:rPr>
                <w:rFonts w:hint="eastAsia" w:asciiTheme="minorEastAsia" w:hAnsiTheme="minorEastAsia" w:eastAsiaTheme="minorEastAsia" w:cstheme="minorEastAsia"/>
                <w:bCs/>
                <w:color w:val="000000"/>
                <w:sz w:val="24"/>
                <w:szCs w:val="24"/>
                <w:lang w:val="zh-TW" w:eastAsia="zh-TW" w:bidi="zh-TW"/>
              </w:rPr>
              <w:t>逐只对气瓶进行</w:t>
            </w:r>
            <w:r>
              <w:rPr>
                <w:rFonts w:hint="eastAsia" w:asciiTheme="minorEastAsia" w:hAnsiTheme="minorEastAsia" w:eastAsiaTheme="minorEastAsia" w:cstheme="minorEastAsia"/>
                <w:bCs/>
                <w:color w:val="000000"/>
                <w:sz w:val="24"/>
                <w:szCs w:val="24"/>
                <w:lang w:val="zh-CN" w:bidi="zh-CN"/>
              </w:rPr>
              <w:t>检</w:t>
            </w:r>
            <w:r>
              <w:rPr>
                <w:rFonts w:hint="eastAsia" w:asciiTheme="minorEastAsia" w:hAnsiTheme="minorEastAsia" w:eastAsiaTheme="minorEastAsia" w:cstheme="minorEastAsia"/>
                <w:bCs/>
                <w:color w:val="000000"/>
                <w:sz w:val="24"/>
                <w:szCs w:val="24"/>
                <w:lang w:bidi="zh-CN"/>
              </w:rPr>
              <w:t>查</w:t>
            </w:r>
            <w:r>
              <w:rPr>
                <w:rFonts w:hint="eastAsia" w:asciiTheme="minorEastAsia" w:hAnsiTheme="minorEastAsia" w:eastAsiaTheme="minorEastAsia" w:cstheme="minorEastAsia"/>
                <w:bCs/>
                <w:color w:val="000000"/>
                <w:sz w:val="24"/>
                <w:szCs w:val="24"/>
                <w:lang w:val="zh-CN" w:bidi="zh-CN"/>
              </w:rPr>
              <w:t>.</w:t>
            </w:r>
            <w:r>
              <w:rPr>
                <w:rFonts w:hint="eastAsia" w:asciiTheme="minorEastAsia" w:hAnsiTheme="minorEastAsia" w:eastAsiaTheme="minorEastAsia" w:cstheme="minorEastAsia"/>
                <w:bCs/>
                <w:color w:val="000000"/>
                <w:sz w:val="24"/>
                <w:szCs w:val="24"/>
                <w:lang w:bidi="zh-TW"/>
              </w:rPr>
              <w:t>并</w:t>
            </w:r>
            <w:r>
              <w:rPr>
                <w:rFonts w:hint="eastAsia" w:asciiTheme="minorEastAsia" w:hAnsiTheme="minorEastAsia" w:eastAsiaTheme="minorEastAsia" w:cstheme="minorEastAsia"/>
                <w:bCs/>
                <w:color w:val="000000"/>
                <w:sz w:val="24"/>
                <w:szCs w:val="24"/>
                <w:lang w:val="zh-TW" w:eastAsia="zh-TW" w:bidi="zh-TW"/>
              </w:rPr>
              <w:t>且填写检查记录</w:t>
            </w:r>
            <w:r>
              <w:rPr>
                <w:rFonts w:hint="eastAsia" w:asciiTheme="minorEastAsia" w:hAnsiTheme="minorEastAsia" w:eastAsiaTheme="minorEastAsia" w:cstheme="minorEastAsia"/>
                <w:bCs/>
                <w:color w:val="000000"/>
                <w:sz w:val="24"/>
                <w:szCs w:val="24"/>
                <w:lang w:bidi="zh-TW"/>
              </w:rPr>
              <w:t>的。</w:t>
            </w:r>
          </w:p>
        </w:tc>
        <w:tc>
          <w:tcPr>
            <w:tcW w:w="5229"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000000"/>
                <w:sz w:val="24"/>
                <w:szCs w:val="24"/>
                <w:lang w:bidi="zh-TW"/>
              </w:rPr>
            </w:pPr>
            <w:r>
              <w:rPr>
                <w:rFonts w:hint="eastAsia" w:asciiTheme="minorEastAsia" w:hAnsiTheme="minorEastAsia" w:eastAsiaTheme="minorEastAsia" w:cstheme="minorEastAsia"/>
                <w:bCs/>
                <w:color w:val="000000"/>
                <w:sz w:val="24"/>
                <w:szCs w:val="24"/>
                <w:lang w:val="zh-TW" w:eastAsia="zh-TW" w:bidi="zh-TW"/>
              </w:rPr>
              <w:t>充装前</w:t>
            </w:r>
            <w:r>
              <w:rPr>
                <w:rFonts w:hint="eastAsia" w:asciiTheme="minorEastAsia" w:hAnsiTheme="minorEastAsia" w:eastAsiaTheme="minorEastAsia" w:cstheme="minorEastAsia"/>
                <w:bCs/>
                <w:color w:val="000000"/>
                <w:sz w:val="24"/>
                <w:szCs w:val="24"/>
                <w:lang w:val="zh-TW" w:bidi="zh-TW"/>
              </w:rPr>
              <w:t>（</w:t>
            </w:r>
            <w:r>
              <w:rPr>
                <w:rFonts w:hint="eastAsia" w:asciiTheme="minorEastAsia" w:hAnsiTheme="minorEastAsia" w:eastAsiaTheme="minorEastAsia" w:cstheme="minorEastAsia"/>
                <w:bCs/>
                <w:color w:val="000000"/>
                <w:sz w:val="24"/>
                <w:szCs w:val="24"/>
                <w:lang w:bidi="zh-TW"/>
              </w:rPr>
              <w:t>后</w:t>
            </w:r>
            <w:r>
              <w:rPr>
                <w:rFonts w:hint="eastAsia" w:asciiTheme="minorEastAsia" w:hAnsiTheme="minorEastAsia" w:eastAsiaTheme="minorEastAsia" w:cstheme="minorEastAsia"/>
                <w:bCs/>
                <w:color w:val="000000"/>
                <w:sz w:val="24"/>
                <w:szCs w:val="24"/>
                <w:lang w:val="zh-TW" w:bidi="zh-TW"/>
              </w:rPr>
              <w:t>）</w:t>
            </w:r>
            <w:r>
              <w:rPr>
                <w:rFonts w:hint="eastAsia" w:asciiTheme="minorEastAsia" w:hAnsiTheme="minorEastAsia" w:eastAsiaTheme="minorEastAsia" w:cstheme="minorEastAsia"/>
                <w:bCs/>
                <w:color w:val="000000"/>
                <w:sz w:val="24"/>
                <w:szCs w:val="24"/>
                <w:lang w:bidi="zh-TW"/>
              </w:rPr>
              <w:t>，</w:t>
            </w:r>
            <w:r>
              <w:rPr>
                <w:rFonts w:hint="eastAsia" w:asciiTheme="minorEastAsia" w:hAnsiTheme="minorEastAsia" w:eastAsiaTheme="minorEastAsia" w:cstheme="minorEastAsia"/>
                <w:bCs/>
                <w:color w:val="000000"/>
                <w:sz w:val="24"/>
                <w:szCs w:val="24"/>
                <w:lang w:val="zh-TW" w:eastAsia="zh-TW" w:bidi="zh-TW"/>
              </w:rPr>
              <w:t>逐只对气瓶进行</w:t>
            </w:r>
            <w:r>
              <w:rPr>
                <w:rFonts w:hint="eastAsia" w:asciiTheme="minorEastAsia" w:hAnsiTheme="minorEastAsia" w:eastAsiaTheme="minorEastAsia" w:cstheme="minorEastAsia"/>
                <w:bCs/>
                <w:color w:val="000000"/>
                <w:sz w:val="24"/>
                <w:szCs w:val="24"/>
                <w:lang w:val="zh-CN" w:bidi="zh-CN"/>
              </w:rPr>
              <w:t>检</w:t>
            </w:r>
            <w:r>
              <w:rPr>
                <w:rFonts w:hint="eastAsia" w:asciiTheme="minorEastAsia" w:hAnsiTheme="minorEastAsia" w:eastAsiaTheme="minorEastAsia" w:cstheme="minorEastAsia"/>
                <w:bCs/>
                <w:color w:val="000000"/>
                <w:sz w:val="24"/>
                <w:szCs w:val="24"/>
                <w:lang w:bidi="zh-CN"/>
              </w:rPr>
              <w:t>查</w:t>
            </w:r>
            <w:r>
              <w:rPr>
                <w:rFonts w:hint="eastAsia" w:asciiTheme="minorEastAsia" w:hAnsiTheme="minorEastAsia" w:eastAsiaTheme="minorEastAsia" w:cstheme="minorEastAsia"/>
                <w:bCs/>
                <w:color w:val="000000"/>
                <w:sz w:val="24"/>
                <w:szCs w:val="24"/>
                <w:lang w:val="zh-CN" w:bidi="zh-CN"/>
              </w:rPr>
              <w:t>.</w:t>
            </w:r>
            <w:r>
              <w:rPr>
                <w:rFonts w:hint="eastAsia" w:asciiTheme="minorEastAsia" w:hAnsiTheme="minorEastAsia" w:eastAsiaTheme="minorEastAsia" w:cstheme="minorEastAsia"/>
                <w:bCs/>
                <w:color w:val="000000"/>
                <w:sz w:val="24"/>
                <w:szCs w:val="24"/>
                <w:lang w:bidi="zh-TW"/>
              </w:rPr>
              <w:t>并</w:t>
            </w:r>
            <w:r>
              <w:rPr>
                <w:rFonts w:hint="eastAsia" w:asciiTheme="minorEastAsia" w:hAnsiTheme="minorEastAsia" w:eastAsiaTheme="minorEastAsia" w:cstheme="minorEastAsia"/>
                <w:bCs/>
                <w:color w:val="000000"/>
                <w:sz w:val="24"/>
                <w:szCs w:val="24"/>
                <w:lang w:val="zh-TW" w:eastAsia="zh-TW" w:bidi="zh-TW"/>
              </w:rPr>
              <w:t>且填写检查记录</w:t>
            </w:r>
            <w:r>
              <w:rPr>
                <w:rFonts w:hint="eastAsia" w:asciiTheme="minorEastAsia" w:hAnsiTheme="minorEastAsia" w:eastAsiaTheme="minorEastAsia" w:cstheme="minorEastAsia"/>
                <w:bCs/>
                <w:color w:val="000000"/>
                <w:sz w:val="24"/>
                <w:szCs w:val="24"/>
                <w:lang w:bidi="zh-TW"/>
              </w:rPr>
              <w:t>。</w:t>
            </w:r>
          </w:p>
        </w:tc>
        <w:tc>
          <w:tcPr>
            <w:tcW w:w="1714"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color w:val="FF0000"/>
                <w:sz w:val="24"/>
                <w:szCs w:val="24"/>
              </w:rPr>
            </w:pPr>
            <w:r>
              <w:rPr>
                <w:rFonts w:hint="eastAsia" w:asciiTheme="minorEastAsia" w:hAnsiTheme="minorEastAsia" w:eastAsiaTheme="minorEastAsia" w:cstheme="minorEastAsia"/>
                <w:bCs/>
                <w:sz w:val="24"/>
                <w:szCs w:val="24"/>
              </w:rPr>
              <w:t>日管控</w:t>
            </w:r>
          </w:p>
        </w:tc>
        <w:tc>
          <w:tcPr>
            <w:tcW w:w="1763"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color w:val="FF0000"/>
                <w:sz w:val="24"/>
                <w:szCs w:val="24"/>
              </w:rPr>
            </w:pPr>
            <w:r>
              <w:rPr>
                <w:rFonts w:hint="eastAsia" w:asciiTheme="minorEastAsia" w:hAnsiTheme="minorEastAsia" w:eastAsiaTheme="minorEastAsia" w:cstheme="minorEastAsia"/>
                <w:bCs/>
                <w:sz w:val="24"/>
                <w:szCs w:val="24"/>
              </w:rPr>
              <w:t>安全员</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FF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1" w:hRule="atLeast"/>
        </w:trPr>
        <w:tc>
          <w:tcPr>
            <w:tcW w:w="824" w:type="dxa"/>
            <w:tcBorders>
              <w:top w:val="single" w:color="auto" w:sz="4" w:space="0"/>
            </w:tcBorders>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color w:val="000000"/>
                <w:kern w:val="0"/>
                <w:sz w:val="24"/>
                <w:szCs w:val="24"/>
              </w:rPr>
            </w:pPr>
            <w:r>
              <w:rPr>
                <w:rFonts w:hint="eastAsia" w:asciiTheme="minorEastAsia" w:hAnsiTheme="minorEastAsia" w:eastAsiaTheme="minorEastAsia" w:cstheme="minorEastAsia"/>
                <w:bCs/>
                <w:color w:val="000000"/>
                <w:kern w:val="0"/>
                <w:sz w:val="24"/>
                <w:szCs w:val="24"/>
              </w:rPr>
              <w:t>23</w:t>
            </w:r>
          </w:p>
        </w:tc>
        <w:tc>
          <w:tcPr>
            <w:tcW w:w="1523" w:type="dxa"/>
            <w:vMerge w:val="continue"/>
            <w:vAlign w:val="center"/>
          </w:tcPr>
          <w:p>
            <w:pPr>
              <w:keepNext w:val="0"/>
              <w:keepLines w:val="0"/>
              <w:pageBreakBefore w:val="0"/>
              <w:tabs>
                <w:tab w:val="left" w:pos="1016"/>
              </w:tabs>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color w:val="000000"/>
                <w:sz w:val="24"/>
                <w:szCs w:val="24"/>
                <w:lang w:bidi="zh-TW"/>
              </w:rPr>
            </w:pPr>
          </w:p>
        </w:tc>
        <w:tc>
          <w:tcPr>
            <w:tcW w:w="2455" w:type="dxa"/>
            <w:vAlign w:val="center"/>
          </w:tcPr>
          <w:p>
            <w:pPr>
              <w:keepNext w:val="0"/>
              <w:keepLines w:val="0"/>
              <w:pageBreakBefore w:val="0"/>
              <w:kinsoku/>
              <w:wordWrap/>
              <w:overflowPunct/>
              <w:topLinePunct w:val="0"/>
              <w:autoSpaceDE w:val="0"/>
              <w:autoSpaceDN w:val="0"/>
              <w:bidi w:val="0"/>
              <w:adjustRightInd/>
              <w:snapToGrid/>
              <w:spacing w:before="113" w:line="320" w:lineRule="exact"/>
              <w:ind w:left="76" w:firstLine="0" w:firstLineChars="0"/>
              <w:jc w:val="left"/>
              <w:textAlignment w:val="auto"/>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kern w:val="0"/>
                <w:sz w:val="24"/>
                <w:szCs w:val="24"/>
              </w:rPr>
              <w:t>充装过程中，未进行检查，并且填写充装记录的。</w:t>
            </w:r>
          </w:p>
        </w:tc>
        <w:tc>
          <w:tcPr>
            <w:tcW w:w="5229"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000000"/>
                <w:sz w:val="24"/>
                <w:szCs w:val="24"/>
                <w:lang w:bidi="zh-TW"/>
              </w:rPr>
            </w:pPr>
            <w:r>
              <w:rPr>
                <w:rFonts w:hint="eastAsia" w:asciiTheme="minorEastAsia" w:hAnsiTheme="minorEastAsia" w:eastAsiaTheme="minorEastAsia" w:cstheme="minorEastAsia"/>
                <w:bCs/>
                <w:color w:val="000000"/>
                <w:sz w:val="24"/>
                <w:szCs w:val="24"/>
                <w:lang w:bidi="zh-TW"/>
              </w:rPr>
              <w:t>充装过程中，进行检查，并且填写充装记录</w:t>
            </w:r>
          </w:p>
        </w:tc>
        <w:tc>
          <w:tcPr>
            <w:tcW w:w="1714"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color w:val="FF0000"/>
                <w:sz w:val="24"/>
                <w:szCs w:val="24"/>
              </w:rPr>
            </w:pPr>
            <w:r>
              <w:rPr>
                <w:rFonts w:hint="eastAsia" w:asciiTheme="minorEastAsia" w:hAnsiTheme="minorEastAsia" w:eastAsiaTheme="minorEastAsia" w:cstheme="minorEastAsia"/>
                <w:bCs/>
                <w:sz w:val="24"/>
                <w:szCs w:val="24"/>
              </w:rPr>
              <w:t>日管控</w:t>
            </w:r>
          </w:p>
        </w:tc>
        <w:tc>
          <w:tcPr>
            <w:tcW w:w="1763"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color w:val="FF0000"/>
                <w:sz w:val="24"/>
                <w:szCs w:val="24"/>
              </w:rPr>
            </w:pPr>
            <w:r>
              <w:rPr>
                <w:rFonts w:hint="eastAsia" w:asciiTheme="minorEastAsia" w:hAnsiTheme="minorEastAsia" w:eastAsiaTheme="minorEastAsia" w:cstheme="minorEastAsia"/>
                <w:bCs/>
                <w:sz w:val="24"/>
                <w:szCs w:val="24"/>
              </w:rPr>
              <w:t>安全员</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FF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95" w:hRule="atLeast"/>
        </w:trPr>
        <w:tc>
          <w:tcPr>
            <w:tcW w:w="82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24</w:t>
            </w:r>
          </w:p>
        </w:tc>
        <w:tc>
          <w:tcPr>
            <w:tcW w:w="1523" w:type="dxa"/>
            <w:vMerge w:val="continue"/>
            <w:vAlign w:val="center"/>
          </w:tcPr>
          <w:p>
            <w:pPr>
              <w:keepNext w:val="0"/>
              <w:keepLines w:val="0"/>
              <w:pageBreakBefore w:val="0"/>
              <w:tabs>
                <w:tab w:val="left" w:pos="1016"/>
              </w:tabs>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color w:val="000000"/>
                <w:sz w:val="24"/>
                <w:szCs w:val="24"/>
                <w:lang w:bidi="zh-TW"/>
              </w:rPr>
            </w:pPr>
          </w:p>
        </w:tc>
        <w:tc>
          <w:tcPr>
            <w:tcW w:w="245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充装改装、翻新、报废、超期未检、超过使用年限的气瓶</w:t>
            </w:r>
          </w:p>
        </w:tc>
        <w:tc>
          <w:tcPr>
            <w:tcW w:w="5229" w:type="dxa"/>
            <w:tcBorders>
              <w:bottom w:val="single" w:color="auto" w:sz="4" w:space="0"/>
            </w:tcBorders>
            <w:vAlign w:val="center"/>
          </w:tcPr>
          <w:p>
            <w:pPr>
              <w:keepNext w:val="0"/>
              <w:keepLines w:val="0"/>
              <w:pageBreakBefore w:val="0"/>
              <w:kinsoku/>
              <w:wordWrap/>
              <w:overflowPunct/>
              <w:topLinePunct w:val="0"/>
              <w:autoSpaceDE w:val="0"/>
              <w:autoSpaceDN w:val="0"/>
              <w:bidi w:val="0"/>
              <w:adjustRightInd/>
              <w:snapToGrid/>
              <w:spacing w:before="69" w:line="320" w:lineRule="exact"/>
              <w:ind w:left="28" w:firstLine="0" w:firstLineChars="0"/>
              <w:jc w:val="left"/>
              <w:textAlignment w:val="auto"/>
              <w:rPr>
                <w:rFonts w:hint="eastAsia" w:asciiTheme="minorEastAsia" w:hAnsiTheme="minorEastAsia" w:eastAsiaTheme="minorEastAsia" w:cstheme="minorEastAsia"/>
                <w:bCs/>
                <w:kern w:val="0"/>
                <w:sz w:val="24"/>
                <w:szCs w:val="24"/>
                <w:lang w:eastAsia="zh-CN"/>
              </w:rPr>
            </w:pPr>
            <w:r>
              <w:rPr>
                <w:rFonts w:hint="eastAsia" w:asciiTheme="minorEastAsia" w:hAnsiTheme="minorEastAsia" w:eastAsiaTheme="minorEastAsia" w:cstheme="minorEastAsia"/>
                <w:bCs/>
                <w:kern w:val="0"/>
                <w:sz w:val="24"/>
                <w:szCs w:val="24"/>
              </w:rPr>
              <w:t>1.加强管理，严格落实充装前检查制度；</w:t>
            </w:r>
          </w:p>
          <w:p>
            <w:pPr>
              <w:keepNext w:val="0"/>
              <w:keepLines w:val="0"/>
              <w:pageBreakBefore w:val="0"/>
              <w:kinsoku/>
              <w:wordWrap/>
              <w:overflowPunct/>
              <w:topLinePunct w:val="0"/>
              <w:autoSpaceDE w:val="0"/>
              <w:autoSpaceDN w:val="0"/>
              <w:bidi w:val="0"/>
              <w:adjustRightInd/>
              <w:snapToGrid/>
              <w:spacing w:before="69" w:line="320" w:lineRule="exact"/>
              <w:ind w:left="28" w:firstLine="0" w:firstLineChars="0"/>
              <w:jc w:val="left"/>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2.对介质进行回收处理，气瓶隔离送检、报废</w:t>
            </w:r>
          </w:p>
        </w:tc>
        <w:tc>
          <w:tcPr>
            <w:tcW w:w="1714"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color w:val="FF0000"/>
                <w:sz w:val="24"/>
                <w:szCs w:val="24"/>
                <w:highlight w:val="yellow"/>
              </w:rPr>
            </w:pPr>
            <w:r>
              <w:rPr>
                <w:rFonts w:hint="eastAsia" w:asciiTheme="minorEastAsia" w:hAnsiTheme="minorEastAsia" w:eastAsiaTheme="minorEastAsia" w:cstheme="minorEastAsia"/>
                <w:bCs/>
                <w:sz w:val="24"/>
                <w:szCs w:val="24"/>
              </w:rPr>
              <w:t>日管控</w:t>
            </w:r>
          </w:p>
        </w:tc>
        <w:tc>
          <w:tcPr>
            <w:tcW w:w="1763"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color w:val="FF0000"/>
                <w:sz w:val="24"/>
                <w:szCs w:val="24"/>
              </w:rPr>
            </w:pPr>
            <w:r>
              <w:rPr>
                <w:rFonts w:hint="eastAsia" w:asciiTheme="minorEastAsia" w:hAnsiTheme="minorEastAsia" w:eastAsiaTheme="minorEastAsia" w:cstheme="minorEastAsia"/>
                <w:bCs/>
                <w:sz w:val="24"/>
                <w:szCs w:val="24"/>
              </w:rPr>
              <w:t>安全员</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FF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12" w:hRule="atLeast"/>
        </w:trPr>
        <w:tc>
          <w:tcPr>
            <w:tcW w:w="82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25</w:t>
            </w:r>
          </w:p>
        </w:tc>
        <w:tc>
          <w:tcPr>
            <w:tcW w:w="152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p>
        </w:tc>
        <w:tc>
          <w:tcPr>
            <w:tcW w:w="2455" w:type="dxa"/>
            <w:vAlign w:val="center"/>
          </w:tcPr>
          <w:p>
            <w:pPr>
              <w:keepNext w:val="0"/>
              <w:keepLines w:val="0"/>
              <w:pageBreakBefore w:val="0"/>
              <w:kinsoku/>
              <w:wordWrap/>
              <w:overflowPunct/>
              <w:topLinePunct w:val="0"/>
              <w:autoSpaceDE w:val="0"/>
              <w:autoSpaceDN w:val="0"/>
              <w:bidi w:val="0"/>
              <w:adjustRightInd/>
              <w:snapToGrid/>
              <w:spacing w:before="113" w:line="320" w:lineRule="exact"/>
              <w:ind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充装未在本单位办理使用登记的气瓶（车用气瓶、非重复充装气瓶、呼吸用气瓶除外）</w:t>
            </w:r>
          </w:p>
        </w:tc>
        <w:tc>
          <w:tcPr>
            <w:tcW w:w="5229" w:type="dxa"/>
            <w:tcBorders>
              <w:top w:val="single" w:color="auto" w:sz="4" w:space="0"/>
              <w:bottom w:val="single" w:color="auto" w:sz="4" w:space="0"/>
            </w:tcBorders>
            <w:vAlign w:val="center"/>
          </w:tcPr>
          <w:p>
            <w:pPr>
              <w:keepNext w:val="0"/>
              <w:keepLines w:val="0"/>
              <w:pageBreakBefore w:val="0"/>
              <w:kinsoku/>
              <w:wordWrap/>
              <w:overflowPunct/>
              <w:topLinePunct w:val="0"/>
              <w:autoSpaceDE w:val="0"/>
              <w:autoSpaceDN w:val="0"/>
              <w:bidi w:val="0"/>
              <w:adjustRightInd/>
              <w:snapToGrid/>
              <w:spacing w:before="69" w:line="320" w:lineRule="exact"/>
              <w:ind w:left="28" w:firstLine="0" w:firstLineChars="0"/>
              <w:jc w:val="left"/>
              <w:textAlignment w:val="auto"/>
              <w:rPr>
                <w:rFonts w:hint="eastAsia" w:asciiTheme="minorEastAsia" w:hAnsiTheme="minorEastAsia" w:eastAsiaTheme="minorEastAsia" w:cstheme="minorEastAsia"/>
                <w:bCs/>
                <w:kern w:val="0"/>
                <w:sz w:val="24"/>
                <w:szCs w:val="24"/>
                <w:lang w:eastAsia="zh-CN"/>
              </w:rPr>
            </w:pPr>
            <w:r>
              <w:rPr>
                <w:rFonts w:hint="eastAsia" w:asciiTheme="minorEastAsia" w:hAnsiTheme="minorEastAsia" w:eastAsiaTheme="minorEastAsia" w:cstheme="minorEastAsia"/>
                <w:bCs/>
                <w:kern w:val="0"/>
                <w:sz w:val="24"/>
                <w:szCs w:val="24"/>
              </w:rPr>
              <w:t>1.加强管理，严格落实充装前检查制度；</w:t>
            </w:r>
          </w:p>
          <w:p>
            <w:pPr>
              <w:keepNext w:val="0"/>
              <w:keepLines w:val="0"/>
              <w:pageBreakBefore w:val="0"/>
              <w:kinsoku/>
              <w:wordWrap/>
              <w:overflowPunct/>
              <w:topLinePunct w:val="0"/>
              <w:autoSpaceDE w:val="0"/>
              <w:autoSpaceDN w:val="0"/>
              <w:bidi w:val="0"/>
              <w:adjustRightInd/>
              <w:snapToGrid/>
              <w:spacing w:before="69" w:line="320" w:lineRule="exact"/>
              <w:ind w:left="28"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2.严格按要求充装本单位办理使用登记的气瓶以及登记机关同意充装的气瓶</w:t>
            </w:r>
          </w:p>
        </w:tc>
        <w:tc>
          <w:tcPr>
            <w:tcW w:w="1714"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color w:val="FF0000"/>
                <w:sz w:val="24"/>
                <w:szCs w:val="24"/>
                <w:highlight w:val="yellow"/>
              </w:rPr>
            </w:pPr>
            <w:r>
              <w:rPr>
                <w:rFonts w:hint="eastAsia" w:asciiTheme="minorEastAsia" w:hAnsiTheme="minorEastAsia" w:eastAsiaTheme="minorEastAsia" w:cstheme="minorEastAsia"/>
                <w:bCs/>
                <w:sz w:val="24"/>
                <w:szCs w:val="24"/>
              </w:rPr>
              <w:t>日管控</w:t>
            </w:r>
          </w:p>
        </w:tc>
        <w:tc>
          <w:tcPr>
            <w:tcW w:w="1763"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color w:val="FF0000"/>
                <w:sz w:val="24"/>
                <w:szCs w:val="24"/>
              </w:rPr>
            </w:pPr>
            <w:r>
              <w:rPr>
                <w:rFonts w:hint="eastAsia" w:asciiTheme="minorEastAsia" w:hAnsiTheme="minorEastAsia" w:eastAsiaTheme="minorEastAsia" w:cstheme="minorEastAsia"/>
                <w:bCs/>
                <w:sz w:val="24"/>
                <w:szCs w:val="24"/>
              </w:rPr>
              <w:t>安全员</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FF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07" w:hRule="atLeast"/>
        </w:trPr>
        <w:tc>
          <w:tcPr>
            <w:tcW w:w="824" w:type="dxa"/>
            <w:tcBorders>
              <w:bottom w:val="single" w:color="auto" w:sz="4" w:space="0"/>
            </w:tcBorders>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26</w:t>
            </w:r>
          </w:p>
        </w:tc>
        <w:tc>
          <w:tcPr>
            <w:tcW w:w="152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FF0000"/>
                <w:sz w:val="24"/>
                <w:szCs w:val="24"/>
                <w:highlight w:val="yellow"/>
              </w:rPr>
            </w:pPr>
          </w:p>
        </w:tc>
        <w:tc>
          <w:tcPr>
            <w:tcW w:w="2455" w:type="dxa"/>
            <w:tcBorders>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rPr>
              <w:t>移动式压力容器直接向气瓶进行倒装或气瓶直接对其他气瓶倒装</w:t>
            </w:r>
          </w:p>
        </w:tc>
        <w:tc>
          <w:tcPr>
            <w:tcW w:w="5229" w:type="dxa"/>
            <w:tcBorders>
              <w:top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严格作业控制，除应急救援情况外，禁止移动式压力容器直接向气瓶进行倒装以及气瓶直接对其他气瓶倒装</w:t>
            </w:r>
          </w:p>
        </w:tc>
        <w:tc>
          <w:tcPr>
            <w:tcW w:w="1714"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Cs/>
                <w:sz w:val="24"/>
                <w:szCs w:val="24"/>
              </w:rPr>
              <w:t>日管控</w:t>
            </w:r>
          </w:p>
        </w:tc>
        <w:tc>
          <w:tcPr>
            <w:tcW w:w="1763"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color w:val="FF0000"/>
                <w:sz w:val="24"/>
                <w:szCs w:val="24"/>
              </w:rPr>
            </w:pPr>
            <w:r>
              <w:rPr>
                <w:rFonts w:hint="eastAsia" w:asciiTheme="minorEastAsia" w:hAnsiTheme="minorEastAsia" w:eastAsiaTheme="minorEastAsia" w:cstheme="minorEastAsia"/>
                <w:bCs/>
                <w:sz w:val="24"/>
                <w:szCs w:val="24"/>
              </w:rPr>
              <w:t>安全员</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FF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7" w:hRule="atLeast"/>
        </w:trPr>
        <w:tc>
          <w:tcPr>
            <w:tcW w:w="824" w:type="dxa"/>
            <w:tcBorders>
              <w:bottom w:val="single" w:color="auto" w:sz="4" w:space="0"/>
            </w:tcBorders>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27</w:t>
            </w:r>
          </w:p>
        </w:tc>
        <w:tc>
          <w:tcPr>
            <w:tcW w:w="152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FF0000"/>
                <w:sz w:val="24"/>
                <w:szCs w:val="24"/>
                <w:highlight w:val="yellow"/>
              </w:rPr>
            </w:pPr>
          </w:p>
        </w:tc>
        <w:tc>
          <w:tcPr>
            <w:tcW w:w="2455" w:type="dxa"/>
            <w:tcBorders>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rPr>
              <w:t>装卸用管不符合有关要求</w:t>
            </w:r>
          </w:p>
        </w:tc>
        <w:tc>
          <w:tcPr>
            <w:tcW w:w="5229"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1.装卸用管定期进行耐压试验；</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2.装卸用管材质与介质相容；</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3.加强连接部位的检查</w:t>
            </w:r>
          </w:p>
        </w:tc>
        <w:tc>
          <w:tcPr>
            <w:tcW w:w="1714"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Cs/>
                <w:sz w:val="24"/>
                <w:szCs w:val="24"/>
              </w:rPr>
              <w:t>日管控</w:t>
            </w:r>
          </w:p>
        </w:tc>
        <w:tc>
          <w:tcPr>
            <w:tcW w:w="1763"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color w:val="FF0000"/>
                <w:sz w:val="24"/>
                <w:szCs w:val="24"/>
              </w:rPr>
            </w:pPr>
            <w:r>
              <w:rPr>
                <w:rFonts w:hint="eastAsia" w:asciiTheme="minorEastAsia" w:hAnsiTheme="minorEastAsia" w:eastAsiaTheme="minorEastAsia" w:cstheme="minorEastAsia"/>
                <w:bCs/>
                <w:sz w:val="24"/>
                <w:szCs w:val="24"/>
              </w:rPr>
              <w:t>安全员</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FF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7" w:hRule="atLeast"/>
        </w:trPr>
        <w:tc>
          <w:tcPr>
            <w:tcW w:w="824" w:type="dxa"/>
            <w:tcBorders>
              <w:bottom w:val="single" w:color="auto" w:sz="4" w:space="0"/>
            </w:tcBorders>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28</w:t>
            </w:r>
          </w:p>
        </w:tc>
        <w:tc>
          <w:tcPr>
            <w:tcW w:w="1523" w:type="dxa"/>
            <w:vMerge w:val="continue"/>
            <w:vAlign w:val="center"/>
          </w:tcPr>
          <w:p>
            <w:pPr>
              <w:keepNext w:val="0"/>
              <w:keepLines w:val="0"/>
              <w:pageBreakBefore w:val="0"/>
              <w:tabs>
                <w:tab w:val="left" w:pos="1016"/>
              </w:tabs>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color w:val="000000"/>
                <w:sz w:val="24"/>
                <w:szCs w:val="24"/>
                <w:lang w:bidi="zh-TW"/>
              </w:rPr>
            </w:pPr>
          </w:p>
        </w:tc>
        <w:tc>
          <w:tcPr>
            <w:tcW w:w="2455" w:type="dxa"/>
            <w:tcBorders>
              <w:bottom w:val="single" w:color="auto" w:sz="4" w:space="0"/>
            </w:tcBorders>
            <w:vAlign w:val="center"/>
          </w:tcPr>
          <w:p>
            <w:pPr>
              <w:keepNext w:val="0"/>
              <w:keepLines w:val="0"/>
              <w:pageBreakBefore w:val="0"/>
              <w:tabs>
                <w:tab w:val="left" w:pos="1016"/>
              </w:tabs>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color w:val="FF0000"/>
                <w:spacing w:val="6"/>
                <w:sz w:val="24"/>
                <w:szCs w:val="24"/>
              </w:rPr>
            </w:pPr>
            <w:r>
              <w:rPr>
                <w:rFonts w:hint="eastAsia" w:asciiTheme="minorEastAsia" w:hAnsiTheme="minorEastAsia" w:eastAsiaTheme="minorEastAsia" w:cstheme="minorEastAsia"/>
                <w:bCs/>
                <w:color w:val="000000"/>
                <w:sz w:val="24"/>
                <w:szCs w:val="24"/>
                <w:lang w:bidi="zh-TW"/>
              </w:rPr>
              <w:t>未配备符合要求的气瓶</w:t>
            </w:r>
            <w:r>
              <w:rPr>
                <w:rFonts w:hint="eastAsia" w:asciiTheme="minorEastAsia" w:hAnsiTheme="minorEastAsia" w:eastAsiaTheme="minorEastAsia" w:cstheme="minorEastAsia"/>
                <w:bCs/>
                <w:color w:val="000000"/>
                <w:sz w:val="24"/>
                <w:szCs w:val="24"/>
                <w:lang w:val="zh-TW" w:eastAsia="zh-TW" w:bidi="zh-TW"/>
              </w:rPr>
              <w:t>充装装置</w:t>
            </w:r>
          </w:p>
        </w:tc>
        <w:tc>
          <w:tcPr>
            <w:tcW w:w="5229" w:type="dxa"/>
            <w:vAlign w:val="center"/>
          </w:tcPr>
          <w:p>
            <w:pPr>
              <w:keepNext w:val="0"/>
              <w:keepLines w:val="0"/>
              <w:pageBreakBefore w:val="0"/>
              <w:tabs>
                <w:tab w:val="left" w:pos="969"/>
              </w:tabs>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lang w:val="zh-TW" w:eastAsia="zh-TW" w:bidi="zh-TW"/>
              </w:rPr>
            </w:pPr>
            <w:r>
              <w:rPr>
                <w:rFonts w:hint="eastAsia" w:asciiTheme="minorEastAsia" w:hAnsiTheme="minorEastAsia" w:eastAsiaTheme="minorEastAsia" w:cstheme="minorEastAsia"/>
                <w:bCs/>
                <w:color w:val="000000"/>
                <w:sz w:val="24"/>
                <w:szCs w:val="24"/>
                <w:lang w:bidi="zh-TW"/>
              </w:rPr>
              <w:t>1.</w:t>
            </w:r>
            <w:r>
              <w:rPr>
                <w:rFonts w:hint="eastAsia" w:asciiTheme="minorEastAsia" w:hAnsiTheme="minorEastAsia" w:eastAsiaTheme="minorEastAsia" w:cstheme="minorEastAsia"/>
                <w:bCs/>
                <w:color w:val="000000"/>
                <w:sz w:val="24"/>
                <w:szCs w:val="24"/>
                <w:lang w:val="zh-TW" w:eastAsia="zh-TW" w:bidi="zh-TW"/>
              </w:rPr>
              <w:t>充装装置应当能够有效防止气体错装，必要时应当先抽真空再进行充装；</w:t>
            </w:r>
          </w:p>
          <w:p>
            <w:pPr>
              <w:keepNext w:val="0"/>
              <w:keepLines w:val="0"/>
              <w:pageBreakBefore w:val="0"/>
              <w:tabs>
                <w:tab w:val="left" w:pos="1016"/>
              </w:tabs>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000000"/>
                <w:sz w:val="24"/>
                <w:szCs w:val="24"/>
                <w:lang w:val="zh-TW" w:bidi="zh-TW"/>
              </w:rPr>
            </w:pPr>
            <w:r>
              <w:rPr>
                <w:rFonts w:hint="eastAsia" w:asciiTheme="minorEastAsia" w:hAnsiTheme="minorEastAsia" w:eastAsiaTheme="minorEastAsia" w:cstheme="minorEastAsia"/>
                <w:bCs/>
                <w:color w:val="000000"/>
                <w:sz w:val="24"/>
                <w:szCs w:val="24"/>
                <w:lang w:bidi="zh-TW"/>
              </w:rPr>
              <w:t>2.</w:t>
            </w:r>
            <w:r>
              <w:rPr>
                <w:rFonts w:hint="eastAsia" w:asciiTheme="minorEastAsia" w:hAnsiTheme="minorEastAsia" w:eastAsiaTheme="minorEastAsia" w:cstheme="minorEastAsia"/>
                <w:bCs/>
                <w:color w:val="000000"/>
                <w:sz w:val="24"/>
                <w:szCs w:val="24"/>
                <w:lang w:val="zh-TW" w:eastAsia="zh-TW" w:bidi="zh-TW"/>
              </w:rPr>
              <w:t>充装高</w:t>
            </w:r>
            <w:r>
              <w:rPr>
                <w:rFonts w:hint="eastAsia" w:asciiTheme="minorEastAsia" w:hAnsiTheme="minorEastAsia" w:eastAsiaTheme="minorEastAsia" w:cstheme="minorEastAsia"/>
                <w:bCs/>
                <w:color w:val="000000"/>
                <w:sz w:val="24"/>
                <w:szCs w:val="24"/>
                <w:lang w:val="zh-TW" w:bidi="zh-TW"/>
              </w:rPr>
              <w:t>（</w:t>
            </w:r>
            <w:r>
              <w:rPr>
                <w:rFonts w:hint="eastAsia" w:asciiTheme="minorEastAsia" w:hAnsiTheme="minorEastAsia" w:eastAsiaTheme="minorEastAsia" w:cstheme="minorEastAsia"/>
                <w:bCs/>
                <w:color w:val="000000"/>
                <w:sz w:val="24"/>
                <w:szCs w:val="24"/>
                <w:lang w:val="zh-TW" w:eastAsia="zh-TW" w:bidi="zh-TW"/>
              </w:rPr>
              <w:t>低</w:t>
            </w:r>
            <w:r>
              <w:rPr>
                <w:rFonts w:hint="eastAsia" w:asciiTheme="minorEastAsia" w:hAnsiTheme="minorEastAsia" w:eastAsiaTheme="minorEastAsia" w:cstheme="minorEastAsia"/>
                <w:bCs/>
                <w:color w:val="000000"/>
                <w:sz w:val="24"/>
                <w:szCs w:val="24"/>
                <w:lang w:val="zh-TW" w:bidi="zh-TW"/>
              </w:rPr>
              <w:t>）</w:t>
            </w:r>
            <w:r>
              <w:rPr>
                <w:rFonts w:hint="eastAsia" w:asciiTheme="minorEastAsia" w:hAnsiTheme="minorEastAsia" w:eastAsiaTheme="minorEastAsia" w:cstheme="minorEastAsia"/>
                <w:bCs/>
                <w:color w:val="000000"/>
                <w:sz w:val="24"/>
                <w:szCs w:val="24"/>
                <w:lang w:val="zh-TW" w:eastAsia="zh-TW" w:bidi="zh-TW"/>
              </w:rPr>
              <w:t>压液化气体、低温液化气体以及溶解</w:t>
            </w:r>
            <w:r>
              <w:rPr>
                <w:rFonts w:hint="eastAsia" w:asciiTheme="minorEastAsia" w:hAnsiTheme="minorEastAsia" w:eastAsiaTheme="minorEastAsia" w:cstheme="minorEastAsia"/>
                <w:bCs/>
                <w:color w:val="000000"/>
                <w:sz w:val="24"/>
                <w:szCs w:val="24"/>
                <w:lang w:bidi="zh-TW"/>
              </w:rPr>
              <w:t>乙炔</w:t>
            </w:r>
            <w:r>
              <w:rPr>
                <w:rFonts w:hint="eastAsia" w:asciiTheme="minorEastAsia" w:hAnsiTheme="minorEastAsia" w:eastAsiaTheme="minorEastAsia" w:cstheme="minorEastAsia"/>
                <w:bCs/>
                <w:color w:val="000000"/>
                <w:sz w:val="24"/>
                <w:szCs w:val="24"/>
                <w:lang w:val="zh-TW" w:eastAsia="zh-TW" w:bidi="zh-TW"/>
              </w:rPr>
              <w:t>气体时，所采用的称重衡器的最大称量值以及校验有效期应当符合相关计量规范或标准的要求</w:t>
            </w:r>
            <w:r>
              <w:rPr>
                <w:rFonts w:hint="eastAsia" w:asciiTheme="minorEastAsia" w:hAnsiTheme="minorEastAsia" w:eastAsiaTheme="minorEastAsia" w:cstheme="minorEastAsia"/>
                <w:bCs/>
                <w:color w:val="000000"/>
                <w:sz w:val="24"/>
                <w:szCs w:val="24"/>
                <w:lang w:val="zh-TW" w:bidi="zh-TW"/>
              </w:rPr>
              <w:t>；</w:t>
            </w:r>
          </w:p>
          <w:p>
            <w:pPr>
              <w:keepNext w:val="0"/>
              <w:keepLines w:val="0"/>
              <w:pageBreakBefore w:val="0"/>
              <w:tabs>
                <w:tab w:val="left" w:pos="1016"/>
              </w:tabs>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color w:val="FF0000"/>
                <w:sz w:val="24"/>
                <w:szCs w:val="24"/>
              </w:rPr>
            </w:pPr>
            <w:r>
              <w:rPr>
                <w:rFonts w:hint="eastAsia" w:asciiTheme="minorEastAsia" w:hAnsiTheme="minorEastAsia" w:eastAsiaTheme="minorEastAsia" w:cstheme="minorEastAsia"/>
                <w:bCs/>
                <w:color w:val="000000"/>
                <w:sz w:val="24"/>
                <w:szCs w:val="24"/>
                <w:lang w:bidi="zh-TW"/>
              </w:rPr>
              <w:t>3.充装压缩气体、混合气体的压力计量仪表</w:t>
            </w:r>
            <w:r>
              <w:rPr>
                <w:rFonts w:hint="eastAsia" w:asciiTheme="minorEastAsia" w:hAnsiTheme="minorEastAsia" w:eastAsiaTheme="minorEastAsia" w:cstheme="minorEastAsia"/>
                <w:bCs/>
                <w:color w:val="000000"/>
                <w:sz w:val="24"/>
                <w:szCs w:val="24"/>
                <w:lang w:val="zh-TW" w:eastAsia="zh-TW" w:bidi="zh-TW"/>
              </w:rPr>
              <w:t>校验有效期应当符合相关计量规范或标准的要求</w:t>
            </w:r>
          </w:p>
        </w:tc>
        <w:tc>
          <w:tcPr>
            <w:tcW w:w="1714" w:type="dxa"/>
            <w:tcBorders>
              <w:top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color w:val="FF0000"/>
                <w:sz w:val="24"/>
                <w:szCs w:val="24"/>
              </w:rPr>
            </w:pPr>
            <w:r>
              <w:rPr>
                <w:rFonts w:hint="eastAsia" w:asciiTheme="minorEastAsia" w:hAnsiTheme="minorEastAsia" w:eastAsiaTheme="minorEastAsia" w:cstheme="minorEastAsia"/>
                <w:bCs/>
                <w:sz w:val="24"/>
                <w:szCs w:val="24"/>
              </w:rPr>
              <w:t>周排查</w:t>
            </w:r>
          </w:p>
        </w:tc>
        <w:tc>
          <w:tcPr>
            <w:tcW w:w="1763" w:type="dxa"/>
            <w:tcBorders>
              <w:top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color w:val="FF0000"/>
                <w:sz w:val="24"/>
                <w:szCs w:val="24"/>
              </w:rPr>
            </w:pPr>
            <w:r>
              <w:rPr>
                <w:rFonts w:hint="eastAsia" w:asciiTheme="minorEastAsia" w:hAnsiTheme="minorEastAsia" w:eastAsiaTheme="minorEastAsia" w:cstheme="minorEastAsia"/>
                <w:bCs/>
                <w:color w:val="000000"/>
                <w:sz w:val="24"/>
                <w:szCs w:val="24"/>
              </w:rPr>
              <w:t>安全总监</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FF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9" w:hRule="atLeast"/>
        </w:trPr>
        <w:tc>
          <w:tcPr>
            <w:tcW w:w="824" w:type="dxa"/>
            <w:tcBorders>
              <w:bottom w:val="single" w:color="auto" w:sz="4" w:space="0"/>
            </w:tcBorders>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29</w:t>
            </w:r>
          </w:p>
        </w:tc>
        <w:tc>
          <w:tcPr>
            <w:tcW w:w="152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FF0000"/>
                <w:sz w:val="24"/>
                <w:szCs w:val="24"/>
              </w:rPr>
            </w:pPr>
          </w:p>
        </w:tc>
        <w:tc>
          <w:tcPr>
            <w:tcW w:w="2455" w:type="dxa"/>
            <w:tcBorders>
              <w:bottom w:val="single" w:color="auto" w:sz="4" w:space="0"/>
            </w:tcBorders>
            <w:vAlign w:val="center"/>
          </w:tcPr>
          <w:p>
            <w:pPr>
              <w:keepNext w:val="0"/>
              <w:keepLines w:val="0"/>
              <w:pageBreakBefore w:val="0"/>
              <w:widowControl/>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color w:val="FF0000"/>
                <w:spacing w:val="6"/>
                <w:sz w:val="24"/>
                <w:szCs w:val="24"/>
              </w:rPr>
            </w:pPr>
            <w:r>
              <w:rPr>
                <w:rFonts w:hint="eastAsia" w:asciiTheme="minorEastAsia" w:hAnsiTheme="minorEastAsia" w:eastAsiaTheme="minorEastAsia" w:cstheme="minorEastAsia"/>
                <w:bCs/>
                <w:kern w:val="0"/>
                <w:sz w:val="24"/>
                <w:szCs w:val="24"/>
              </w:rPr>
              <w:t>未按要求装设紧急切断系统</w:t>
            </w:r>
          </w:p>
        </w:tc>
        <w:tc>
          <w:tcPr>
            <w:tcW w:w="5229" w:type="dxa"/>
            <w:vAlign w:val="center"/>
          </w:tcPr>
          <w:p>
            <w:pPr>
              <w:keepNext w:val="0"/>
              <w:keepLines w:val="0"/>
              <w:pageBreakBefore w:val="0"/>
              <w:kinsoku/>
              <w:wordWrap/>
              <w:overflowPunct/>
              <w:topLinePunct w:val="0"/>
              <w:autoSpaceDE w:val="0"/>
              <w:autoSpaceDN w:val="0"/>
              <w:bidi w:val="0"/>
              <w:adjustRightInd/>
              <w:snapToGrid/>
              <w:spacing w:before="69" w:line="320" w:lineRule="exact"/>
              <w:ind w:left="28" w:firstLine="0" w:firstLineChars="0"/>
              <w:jc w:val="left"/>
              <w:textAlignment w:val="auto"/>
              <w:rPr>
                <w:rFonts w:hint="eastAsia" w:asciiTheme="minorEastAsia" w:hAnsiTheme="minorEastAsia" w:eastAsiaTheme="minorEastAsia" w:cstheme="minorEastAsia"/>
                <w:color w:val="FF0000"/>
                <w:sz w:val="24"/>
                <w:szCs w:val="24"/>
              </w:rPr>
            </w:pPr>
            <w:r>
              <w:rPr>
                <w:rFonts w:hint="eastAsia" w:asciiTheme="minorEastAsia" w:hAnsiTheme="minorEastAsia" w:eastAsiaTheme="minorEastAsia" w:cstheme="minorEastAsia"/>
                <w:bCs/>
                <w:kern w:val="0"/>
                <w:sz w:val="24"/>
                <w:szCs w:val="24"/>
              </w:rPr>
              <w:t>装设紧急切断系统并定期调试</w:t>
            </w:r>
          </w:p>
        </w:tc>
        <w:tc>
          <w:tcPr>
            <w:tcW w:w="1714"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color w:val="FF0000"/>
                <w:sz w:val="24"/>
                <w:szCs w:val="24"/>
              </w:rPr>
            </w:pPr>
            <w:r>
              <w:rPr>
                <w:rFonts w:hint="eastAsia" w:asciiTheme="minorEastAsia" w:hAnsiTheme="minorEastAsia" w:eastAsiaTheme="minorEastAsia" w:cstheme="minorEastAsia"/>
                <w:bCs/>
                <w:sz w:val="24"/>
                <w:szCs w:val="24"/>
              </w:rPr>
              <w:t>周排查</w:t>
            </w:r>
          </w:p>
        </w:tc>
        <w:tc>
          <w:tcPr>
            <w:tcW w:w="1763"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color w:val="FF0000"/>
                <w:sz w:val="24"/>
                <w:szCs w:val="24"/>
              </w:rPr>
            </w:pPr>
            <w:r>
              <w:rPr>
                <w:rFonts w:hint="eastAsia" w:asciiTheme="minorEastAsia" w:hAnsiTheme="minorEastAsia" w:eastAsiaTheme="minorEastAsia" w:cstheme="minorEastAsia"/>
                <w:bCs/>
                <w:color w:val="000000"/>
                <w:sz w:val="24"/>
                <w:szCs w:val="24"/>
              </w:rPr>
              <w:t>安全总监</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FF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7" w:hRule="atLeast"/>
        </w:trPr>
        <w:tc>
          <w:tcPr>
            <w:tcW w:w="824" w:type="dxa"/>
            <w:tcBorders>
              <w:bottom w:val="single" w:color="auto" w:sz="4" w:space="0"/>
            </w:tcBorders>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30</w:t>
            </w:r>
          </w:p>
        </w:tc>
        <w:tc>
          <w:tcPr>
            <w:tcW w:w="152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FF0000"/>
                <w:sz w:val="24"/>
                <w:szCs w:val="24"/>
              </w:rPr>
            </w:pPr>
          </w:p>
        </w:tc>
        <w:tc>
          <w:tcPr>
            <w:tcW w:w="2455" w:type="dxa"/>
            <w:tcBorders>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sz w:val="24"/>
                <w:szCs w:val="24"/>
              </w:rPr>
              <w:t>所使用的压力容器、压力管道等特种设备未办理使用登记的，超过使用年限的，超过检验有效期的，安全附件超过校验有效期的</w:t>
            </w:r>
          </w:p>
        </w:tc>
        <w:tc>
          <w:tcPr>
            <w:tcW w:w="5229" w:type="dxa"/>
            <w:vAlign w:val="center"/>
          </w:tcPr>
          <w:p>
            <w:pPr>
              <w:keepNext w:val="0"/>
              <w:keepLines w:val="0"/>
              <w:pageBreakBefore w:val="0"/>
              <w:kinsoku/>
              <w:wordWrap/>
              <w:overflowPunct/>
              <w:topLinePunct w:val="0"/>
              <w:autoSpaceDE w:val="0"/>
              <w:autoSpaceDN w:val="0"/>
              <w:bidi w:val="0"/>
              <w:adjustRightInd/>
              <w:snapToGrid/>
              <w:spacing w:before="69" w:line="320" w:lineRule="exact"/>
              <w:ind w:left="28" w:firstLine="0" w:firstLineChars="0"/>
              <w:jc w:val="left"/>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对所使用的压力容器、压力管道等特种设备办理使用登记证和落实定期检验、校验</w:t>
            </w:r>
          </w:p>
          <w:p>
            <w:pPr>
              <w:keepNext w:val="0"/>
              <w:keepLines w:val="0"/>
              <w:pageBreakBefore w:val="0"/>
              <w:kinsoku/>
              <w:wordWrap/>
              <w:overflowPunct/>
              <w:topLinePunct w:val="0"/>
              <w:autoSpaceDE w:val="0"/>
              <w:autoSpaceDN w:val="0"/>
              <w:bidi w:val="0"/>
              <w:adjustRightInd/>
              <w:snapToGrid/>
              <w:spacing w:before="69" w:line="320" w:lineRule="exact"/>
              <w:ind w:left="28" w:firstLine="0" w:firstLineChars="0"/>
              <w:jc w:val="left"/>
              <w:textAlignment w:val="auto"/>
              <w:rPr>
                <w:rFonts w:hint="eastAsia" w:asciiTheme="minorEastAsia" w:hAnsiTheme="minorEastAsia" w:eastAsiaTheme="minorEastAsia" w:cstheme="minorEastAsia"/>
                <w:bCs/>
                <w:kern w:val="0"/>
                <w:sz w:val="24"/>
                <w:szCs w:val="24"/>
              </w:rPr>
            </w:pPr>
          </w:p>
        </w:tc>
        <w:tc>
          <w:tcPr>
            <w:tcW w:w="1714"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月调度</w:t>
            </w:r>
          </w:p>
        </w:tc>
        <w:tc>
          <w:tcPr>
            <w:tcW w:w="1763"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sz w:val="24"/>
                <w:szCs w:val="24"/>
              </w:rPr>
              <w:t>主要负责人</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FF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59" w:hRule="atLeast"/>
        </w:trPr>
        <w:tc>
          <w:tcPr>
            <w:tcW w:w="824" w:type="dxa"/>
            <w:tcBorders>
              <w:bottom w:val="single" w:color="auto" w:sz="4" w:space="0"/>
            </w:tcBorders>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31</w:t>
            </w:r>
          </w:p>
        </w:tc>
        <w:tc>
          <w:tcPr>
            <w:tcW w:w="152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FF0000"/>
                <w:sz w:val="24"/>
                <w:szCs w:val="24"/>
              </w:rPr>
            </w:pPr>
          </w:p>
        </w:tc>
        <w:tc>
          <w:tcPr>
            <w:tcW w:w="2455" w:type="dxa"/>
            <w:tcBorders>
              <w:bottom w:val="single" w:color="auto" w:sz="4" w:space="0"/>
            </w:tcBorders>
            <w:vAlign w:val="center"/>
          </w:tcPr>
          <w:p>
            <w:pPr>
              <w:keepNext w:val="0"/>
              <w:keepLines w:val="0"/>
              <w:pageBreakBefore w:val="0"/>
              <w:widowControl/>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kern w:val="0"/>
                <w:sz w:val="24"/>
                <w:szCs w:val="24"/>
              </w:rPr>
              <w:t>易燃有毒气体充装未配备气瓶识读锁枪功能</w:t>
            </w:r>
          </w:p>
        </w:tc>
        <w:tc>
          <w:tcPr>
            <w:tcW w:w="5229" w:type="dxa"/>
            <w:vAlign w:val="center"/>
          </w:tcPr>
          <w:p>
            <w:pPr>
              <w:keepNext w:val="0"/>
              <w:keepLines w:val="0"/>
              <w:pageBreakBefore w:val="0"/>
              <w:kinsoku/>
              <w:wordWrap/>
              <w:overflowPunct/>
              <w:topLinePunct w:val="0"/>
              <w:autoSpaceDE w:val="0"/>
              <w:autoSpaceDN w:val="0"/>
              <w:bidi w:val="0"/>
              <w:adjustRightInd/>
              <w:snapToGrid/>
              <w:spacing w:before="69" w:line="320" w:lineRule="exact"/>
              <w:ind w:left="28" w:firstLine="0" w:firstLineChars="0"/>
              <w:jc w:val="left"/>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易燃有毒气体的充装设施应具备识读本单位经使用登记气瓶功能，非本单位气瓶应锁定充装枪</w:t>
            </w:r>
          </w:p>
        </w:tc>
        <w:tc>
          <w:tcPr>
            <w:tcW w:w="1714"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月调度</w:t>
            </w:r>
          </w:p>
        </w:tc>
        <w:tc>
          <w:tcPr>
            <w:tcW w:w="1763"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sz w:val="24"/>
                <w:szCs w:val="24"/>
              </w:rPr>
              <w:t>主要负责人</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FF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7" w:hRule="atLeast"/>
        </w:trPr>
        <w:tc>
          <w:tcPr>
            <w:tcW w:w="824" w:type="dxa"/>
            <w:tcBorders>
              <w:bottom w:val="single" w:color="auto" w:sz="4" w:space="0"/>
            </w:tcBorders>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32</w:t>
            </w:r>
          </w:p>
        </w:tc>
        <w:tc>
          <w:tcPr>
            <w:tcW w:w="1523"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安全泄压装置及安全附件</w:t>
            </w:r>
          </w:p>
        </w:tc>
        <w:tc>
          <w:tcPr>
            <w:tcW w:w="2455" w:type="dxa"/>
            <w:tcBorders>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rPr>
              <w:t>气瓶安全泄压装置不符合有关要求</w:t>
            </w:r>
          </w:p>
        </w:tc>
        <w:tc>
          <w:tcPr>
            <w:tcW w:w="5229" w:type="dxa"/>
            <w:vAlign w:val="center"/>
          </w:tcPr>
          <w:p>
            <w:pPr>
              <w:keepNext w:val="0"/>
              <w:keepLines w:val="0"/>
              <w:pageBreakBefore w:val="0"/>
              <w:numPr>
                <w:ilvl w:val="0"/>
                <w:numId w:val="3"/>
              </w:numPr>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及时更换安全泄压装置；</w:t>
            </w:r>
          </w:p>
          <w:p>
            <w:pPr>
              <w:keepNext w:val="0"/>
              <w:keepLines w:val="0"/>
              <w:pageBreakBefore w:val="0"/>
              <w:numPr>
                <w:ilvl w:val="0"/>
                <w:numId w:val="3"/>
              </w:numPr>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安全阀定期校验</w:t>
            </w:r>
          </w:p>
        </w:tc>
        <w:tc>
          <w:tcPr>
            <w:tcW w:w="1714"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Cs/>
                <w:sz w:val="24"/>
                <w:szCs w:val="24"/>
              </w:rPr>
              <w:t>日管控</w:t>
            </w:r>
          </w:p>
        </w:tc>
        <w:tc>
          <w:tcPr>
            <w:tcW w:w="1763"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安全员</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7" w:hRule="atLeast"/>
        </w:trPr>
        <w:tc>
          <w:tcPr>
            <w:tcW w:w="824" w:type="dxa"/>
            <w:tcBorders>
              <w:bottom w:val="single" w:color="auto" w:sz="4" w:space="0"/>
            </w:tcBorders>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33</w:t>
            </w:r>
          </w:p>
        </w:tc>
        <w:tc>
          <w:tcPr>
            <w:tcW w:w="1523" w:type="dxa"/>
            <w:vMerge w:val="continue"/>
            <w:tcBorders>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highlight w:val="yellow"/>
              </w:rPr>
            </w:pPr>
          </w:p>
        </w:tc>
        <w:tc>
          <w:tcPr>
            <w:tcW w:w="2455" w:type="dxa"/>
            <w:tcBorders>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rPr>
              <w:t>气瓶安全仪表及安全附件不符合有关要求</w:t>
            </w:r>
          </w:p>
        </w:tc>
        <w:tc>
          <w:tcPr>
            <w:tcW w:w="5229"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及时更换</w:t>
            </w:r>
            <w:r>
              <w:rPr>
                <w:rFonts w:hint="eastAsia" w:asciiTheme="minorEastAsia" w:hAnsiTheme="minorEastAsia" w:eastAsiaTheme="minorEastAsia" w:cstheme="minorEastAsia"/>
                <w:spacing w:val="6"/>
                <w:sz w:val="24"/>
                <w:szCs w:val="24"/>
              </w:rPr>
              <w:t>仪表及安全附件</w:t>
            </w:r>
          </w:p>
        </w:tc>
        <w:tc>
          <w:tcPr>
            <w:tcW w:w="1714"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p>
        </w:tc>
        <w:tc>
          <w:tcPr>
            <w:tcW w:w="176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77" w:hRule="atLeast"/>
        </w:trPr>
        <w:tc>
          <w:tcPr>
            <w:tcW w:w="82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34</w:t>
            </w:r>
          </w:p>
        </w:tc>
        <w:tc>
          <w:tcPr>
            <w:tcW w:w="1523" w:type="dxa"/>
            <w:vMerge w:val="restart"/>
            <w:tcBorders>
              <w:top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320" w:lineRule="exact"/>
              <w:ind w:left="39" w:firstLine="0" w:firstLineChars="0"/>
              <w:jc w:val="center"/>
              <w:textAlignment w:val="auto"/>
              <w:rPr>
                <w:rFonts w:hint="eastAsia" w:asciiTheme="minorEastAsia" w:hAnsiTheme="minorEastAsia" w:eastAsiaTheme="minorEastAsia" w:cstheme="minorEastAsia"/>
                <w:bCs/>
                <w:kern w:val="0"/>
                <w:sz w:val="24"/>
                <w:szCs w:val="24"/>
                <w:lang w:eastAsia="en-US"/>
              </w:rPr>
            </w:pPr>
            <w:r>
              <w:rPr>
                <w:rFonts w:hint="eastAsia" w:asciiTheme="minorEastAsia" w:hAnsiTheme="minorEastAsia" w:eastAsiaTheme="minorEastAsia" w:cstheme="minorEastAsia"/>
                <w:bCs/>
                <w:kern w:val="0"/>
                <w:sz w:val="24"/>
                <w:szCs w:val="24"/>
              </w:rPr>
              <w:t>环境</w:t>
            </w:r>
            <w:r>
              <w:rPr>
                <w:rFonts w:hint="eastAsia" w:asciiTheme="minorEastAsia" w:hAnsiTheme="minorEastAsia" w:eastAsiaTheme="minorEastAsia" w:cstheme="minorEastAsia"/>
                <w:bCs/>
                <w:kern w:val="0"/>
                <w:sz w:val="24"/>
                <w:szCs w:val="24"/>
                <w:lang w:eastAsia="en-US"/>
              </w:rPr>
              <w:t>因素</w:t>
            </w:r>
          </w:p>
        </w:tc>
        <w:tc>
          <w:tcPr>
            <w:tcW w:w="245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spacing w:val="6"/>
                <w:sz w:val="24"/>
                <w:szCs w:val="24"/>
              </w:rPr>
              <w:t>在禁止卸载作业情境下（如恶劣天气、异常工况等）继续作业</w:t>
            </w:r>
          </w:p>
        </w:tc>
        <w:tc>
          <w:tcPr>
            <w:tcW w:w="5229"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1.建立完善操作规程；</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2.加强人员培训并组织实施</w:t>
            </w:r>
          </w:p>
        </w:tc>
        <w:tc>
          <w:tcPr>
            <w:tcW w:w="1714"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日管控</w:t>
            </w:r>
          </w:p>
        </w:tc>
        <w:tc>
          <w:tcPr>
            <w:tcW w:w="1763"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安全员</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824" w:type="dxa"/>
            <w:tcBorders>
              <w:bottom w:val="single" w:color="auto" w:sz="4" w:space="0"/>
            </w:tcBorders>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35</w:t>
            </w:r>
          </w:p>
        </w:tc>
        <w:tc>
          <w:tcPr>
            <w:tcW w:w="1523" w:type="dxa"/>
            <w:vMerge w:val="continue"/>
            <w:vAlign w:val="center"/>
          </w:tcPr>
          <w:p>
            <w:pPr>
              <w:keepNext w:val="0"/>
              <w:keepLines w:val="0"/>
              <w:pageBreakBefore w:val="0"/>
              <w:kinsoku/>
              <w:wordWrap/>
              <w:overflowPunct/>
              <w:topLinePunct w:val="0"/>
              <w:autoSpaceDE w:val="0"/>
              <w:autoSpaceDN w:val="0"/>
              <w:bidi w:val="0"/>
              <w:adjustRightInd/>
              <w:snapToGrid/>
              <w:spacing w:line="320" w:lineRule="exact"/>
              <w:ind w:left="39" w:firstLine="0" w:firstLineChars="0"/>
              <w:jc w:val="center"/>
              <w:textAlignment w:val="auto"/>
              <w:rPr>
                <w:rFonts w:hint="eastAsia" w:asciiTheme="minorEastAsia" w:hAnsiTheme="minorEastAsia" w:eastAsiaTheme="minorEastAsia" w:cstheme="minorEastAsia"/>
                <w:bCs/>
                <w:kern w:val="0"/>
                <w:sz w:val="24"/>
                <w:szCs w:val="24"/>
              </w:rPr>
            </w:pPr>
          </w:p>
        </w:tc>
        <w:tc>
          <w:tcPr>
            <w:tcW w:w="245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bCs/>
                <w:sz w:val="24"/>
                <w:szCs w:val="24"/>
              </w:rPr>
              <w:t>气体浓度监测报警装置不符合相关要求；</w:t>
            </w:r>
          </w:p>
        </w:tc>
        <w:tc>
          <w:tcPr>
            <w:tcW w:w="5229"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Cs/>
                <w:sz w:val="24"/>
                <w:szCs w:val="24"/>
              </w:rPr>
              <w:t>配备符合相关要求的气体浓度监测报警装置并定期校验</w:t>
            </w:r>
          </w:p>
        </w:tc>
        <w:tc>
          <w:tcPr>
            <w:tcW w:w="1714"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Cs/>
                <w:sz w:val="24"/>
                <w:szCs w:val="24"/>
              </w:rPr>
              <w:t>周排查</w:t>
            </w:r>
          </w:p>
        </w:tc>
        <w:tc>
          <w:tcPr>
            <w:tcW w:w="1763"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7" w:hRule="exact"/>
        </w:trPr>
        <w:tc>
          <w:tcPr>
            <w:tcW w:w="824" w:type="dxa"/>
            <w:tcBorders>
              <w:top w:val="single" w:color="auto" w:sz="4" w:space="0"/>
            </w:tcBorders>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36</w:t>
            </w:r>
          </w:p>
        </w:tc>
        <w:tc>
          <w:tcPr>
            <w:tcW w:w="1523" w:type="dxa"/>
            <w:vMerge w:val="continue"/>
            <w:vAlign w:val="center"/>
          </w:tcPr>
          <w:p>
            <w:pPr>
              <w:keepNext w:val="0"/>
              <w:keepLines w:val="0"/>
              <w:pageBreakBefore w:val="0"/>
              <w:kinsoku/>
              <w:wordWrap/>
              <w:overflowPunct/>
              <w:topLinePunct w:val="0"/>
              <w:autoSpaceDE w:val="0"/>
              <w:autoSpaceDN w:val="0"/>
              <w:bidi w:val="0"/>
              <w:adjustRightInd/>
              <w:snapToGrid/>
              <w:spacing w:line="320" w:lineRule="exact"/>
              <w:ind w:left="39" w:firstLine="0" w:firstLineChars="0"/>
              <w:jc w:val="center"/>
              <w:textAlignment w:val="auto"/>
              <w:rPr>
                <w:rFonts w:hint="eastAsia" w:asciiTheme="minorEastAsia" w:hAnsiTheme="minorEastAsia" w:eastAsiaTheme="minorEastAsia" w:cstheme="minorEastAsia"/>
                <w:bCs/>
                <w:kern w:val="0"/>
                <w:sz w:val="24"/>
                <w:szCs w:val="24"/>
                <w:lang w:eastAsia="en-US"/>
              </w:rPr>
            </w:pPr>
          </w:p>
        </w:tc>
        <w:tc>
          <w:tcPr>
            <w:tcW w:w="245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充装区域通风不畅、未遮阳</w:t>
            </w:r>
          </w:p>
        </w:tc>
        <w:tc>
          <w:tcPr>
            <w:tcW w:w="5229" w:type="dxa"/>
            <w:vAlign w:val="center"/>
          </w:tcPr>
          <w:p>
            <w:pPr>
              <w:keepNext w:val="0"/>
              <w:keepLines w:val="0"/>
              <w:pageBreakBefore w:val="0"/>
              <w:kinsoku/>
              <w:wordWrap/>
              <w:overflowPunct/>
              <w:topLinePunct w:val="0"/>
              <w:autoSpaceDE w:val="0"/>
              <w:autoSpaceDN w:val="0"/>
              <w:bidi w:val="0"/>
              <w:adjustRightInd/>
              <w:snapToGrid/>
              <w:spacing w:before="129" w:line="320" w:lineRule="exact"/>
              <w:ind w:left="28"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按安全技术要求确保充装区域通风、遮阳</w:t>
            </w:r>
          </w:p>
        </w:tc>
        <w:tc>
          <w:tcPr>
            <w:tcW w:w="1714" w:type="dxa"/>
            <w:tcBorders>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月调度</w:t>
            </w:r>
          </w:p>
        </w:tc>
        <w:tc>
          <w:tcPr>
            <w:tcW w:w="1763" w:type="dxa"/>
            <w:tcBorders>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主要负责人</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atLeast"/>
        </w:trPr>
        <w:tc>
          <w:tcPr>
            <w:tcW w:w="82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37</w:t>
            </w:r>
          </w:p>
        </w:tc>
        <w:tc>
          <w:tcPr>
            <w:tcW w:w="1523" w:type="dxa"/>
            <w:vMerge w:val="continue"/>
            <w:vAlign w:val="center"/>
          </w:tcPr>
          <w:p>
            <w:pPr>
              <w:keepNext w:val="0"/>
              <w:keepLines w:val="0"/>
              <w:pageBreakBefore w:val="0"/>
              <w:kinsoku/>
              <w:wordWrap/>
              <w:overflowPunct/>
              <w:topLinePunct w:val="0"/>
              <w:autoSpaceDE w:val="0"/>
              <w:autoSpaceDN w:val="0"/>
              <w:bidi w:val="0"/>
              <w:adjustRightInd/>
              <w:snapToGrid/>
              <w:spacing w:line="320" w:lineRule="exact"/>
              <w:ind w:left="39" w:firstLine="0" w:firstLineChars="0"/>
              <w:jc w:val="center"/>
              <w:textAlignment w:val="auto"/>
              <w:rPr>
                <w:rFonts w:hint="eastAsia" w:asciiTheme="minorEastAsia" w:hAnsiTheme="minorEastAsia" w:eastAsiaTheme="minorEastAsia" w:cstheme="minorEastAsia"/>
                <w:bCs/>
                <w:sz w:val="24"/>
                <w:szCs w:val="24"/>
              </w:rPr>
            </w:pPr>
          </w:p>
        </w:tc>
        <w:tc>
          <w:tcPr>
            <w:tcW w:w="245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未配备消防设施，消防通道不明确、不通畅，安全间距不足</w:t>
            </w:r>
          </w:p>
        </w:tc>
        <w:tc>
          <w:tcPr>
            <w:tcW w:w="5229" w:type="dxa"/>
            <w:tcBorders>
              <w:bottom w:val="single" w:color="auto" w:sz="4" w:space="0"/>
            </w:tcBorders>
            <w:vAlign w:val="center"/>
          </w:tcPr>
          <w:p>
            <w:pPr>
              <w:keepNext w:val="0"/>
              <w:keepLines w:val="0"/>
              <w:pageBreakBefore w:val="0"/>
              <w:kinsoku/>
              <w:wordWrap/>
              <w:overflowPunct/>
              <w:topLinePunct w:val="0"/>
              <w:autoSpaceDE w:val="0"/>
              <w:autoSpaceDN w:val="0"/>
              <w:bidi w:val="0"/>
              <w:adjustRightInd/>
              <w:snapToGrid/>
              <w:spacing w:before="110" w:line="320" w:lineRule="exact"/>
              <w:ind w:left="28" w:right="252"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按安全技术要求配备消防设施，明确消防通道并通畅</w:t>
            </w:r>
          </w:p>
        </w:tc>
        <w:tc>
          <w:tcPr>
            <w:tcW w:w="1714"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月调度</w:t>
            </w:r>
          </w:p>
        </w:tc>
        <w:tc>
          <w:tcPr>
            <w:tcW w:w="1763"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主要负责人</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44" w:hRule="exact"/>
        </w:trPr>
        <w:tc>
          <w:tcPr>
            <w:tcW w:w="82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38</w:t>
            </w:r>
          </w:p>
        </w:tc>
        <w:tc>
          <w:tcPr>
            <w:tcW w:w="1523" w:type="dxa"/>
            <w:vMerge w:val="continue"/>
            <w:vAlign w:val="center"/>
          </w:tcPr>
          <w:p>
            <w:pPr>
              <w:keepNext w:val="0"/>
              <w:keepLines w:val="0"/>
              <w:pageBreakBefore w:val="0"/>
              <w:kinsoku/>
              <w:wordWrap/>
              <w:overflowPunct/>
              <w:topLinePunct w:val="0"/>
              <w:autoSpaceDE w:val="0"/>
              <w:autoSpaceDN w:val="0"/>
              <w:bidi w:val="0"/>
              <w:adjustRightInd/>
              <w:snapToGrid/>
              <w:spacing w:line="320" w:lineRule="exact"/>
              <w:ind w:left="39" w:firstLine="0" w:firstLineChars="0"/>
              <w:jc w:val="center"/>
              <w:textAlignment w:val="auto"/>
              <w:rPr>
                <w:rFonts w:hint="eastAsia" w:asciiTheme="minorEastAsia" w:hAnsiTheme="minorEastAsia" w:eastAsiaTheme="minorEastAsia" w:cstheme="minorEastAsia"/>
                <w:bCs/>
                <w:sz w:val="24"/>
                <w:szCs w:val="24"/>
              </w:rPr>
            </w:pPr>
          </w:p>
        </w:tc>
        <w:tc>
          <w:tcPr>
            <w:tcW w:w="2455" w:type="dxa"/>
            <w:vAlign w:val="center"/>
          </w:tcPr>
          <w:p>
            <w:pPr>
              <w:keepNext w:val="0"/>
              <w:keepLines w:val="0"/>
              <w:pageBreakBefore w:val="0"/>
              <w:kinsoku/>
              <w:wordWrap/>
              <w:overflowPunct/>
              <w:topLinePunct w:val="0"/>
              <w:autoSpaceDE w:val="0"/>
              <w:autoSpaceDN w:val="0"/>
              <w:bidi w:val="0"/>
              <w:adjustRightInd/>
              <w:snapToGrid/>
              <w:spacing w:before="4" w:line="320" w:lineRule="exact"/>
              <w:ind w:left="39" w:right="142"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易燃易爆气体充装场地、设施、电器设备未按要求配置防雷、防爆、防静电设施</w:t>
            </w:r>
          </w:p>
        </w:tc>
        <w:tc>
          <w:tcPr>
            <w:tcW w:w="5229" w:type="dxa"/>
            <w:tcBorders>
              <w:top w:val="single" w:color="auto" w:sz="4" w:space="0"/>
              <w:bottom w:val="single" w:color="auto" w:sz="4" w:space="0"/>
            </w:tcBorders>
            <w:vAlign w:val="center"/>
          </w:tcPr>
          <w:p>
            <w:pPr>
              <w:keepNext w:val="0"/>
              <w:keepLines w:val="0"/>
              <w:pageBreakBefore w:val="0"/>
              <w:kinsoku/>
              <w:wordWrap/>
              <w:overflowPunct/>
              <w:topLinePunct w:val="0"/>
              <w:autoSpaceDE w:val="0"/>
              <w:autoSpaceDN w:val="0"/>
              <w:bidi w:val="0"/>
              <w:adjustRightInd/>
              <w:snapToGrid/>
              <w:spacing w:before="4" w:line="320" w:lineRule="exact"/>
              <w:ind w:left="39" w:right="142"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易燃易爆气体充装场地、设施、电器设备按要求配置防雷、防爆、防静电设施</w:t>
            </w:r>
          </w:p>
        </w:tc>
        <w:tc>
          <w:tcPr>
            <w:tcW w:w="1714"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月调度</w:t>
            </w:r>
          </w:p>
        </w:tc>
        <w:tc>
          <w:tcPr>
            <w:tcW w:w="1763"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主要负责人</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0" w:hRule="atLeast"/>
        </w:trPr>
        <w:tc>
          <w:tcPr>
            <w:tcW w:w="82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39</w:t>
            </w:r>
          </w:p>
        </w:tc>
        <w:tc>
          <w:tcPr>
            <w:tcW w:w="1523" w:type="dxa"/>
            <w:vMerge w:val="continue"/>
            <w:vAlign w:val="center"/>
          </w:tcPr>
          <w:p>
            <w:pPr>
              <w:keepNext w:val="0"/>
              <w:keepLines w:val="0"/>
              <w:pageBreakBefore w:val="0"/>
              <w:kinsoku/>
              <w:wordWrap/>
              <w:overflowPunct/>
              <w:topLinePunct w:val="0"/>
              <w:autoSpaceDE w:val="0"/>
              <w:autoSpaceDN w:val="0"/>
              <w:bidi w:val="0"/>
              <w:adjustRightInd/>
              <w:snapToGrid/>
              <w:spacing w:line="320" w:lineRule="exact"/>
              <w:ind w:left="39" w:firstLine="0" w:firstLineChars="0"/>
              <w:jc w:val="center"/>
              <w:textAlignment w:val="auto"/>
              <w:rPr>
                <w:rFonts w:hint="eastAsia" w:asciiTheme="minorEastAsia" w:hAnsiTheme="minorEastAsia" w:eastAsiaTheme="minorEastAsia" w:cstheme="minorEastAsia"/>
                <w:bCs/>
                <w:sz w:val="24"/>
                <w:szCs w:val="24"/>
              </w:rPr>
            </w:pPr>
          </w:p>
        </w:tc>
        <w:tc>
          <w:tcPr>
            <w:tcW w:w="2455" w:type="dxa"/>
            <w:vAlign w:val="center"/>
          </w:tcPr>
          <w:p>
            <w:pPr>
              <w:keepNext w:val="0"/>
              <w:keepLines w:val="0"/>
              <w:pageBreakBefore w:val="0"/>
              <w:kinsoku/>
              <w:wordWrap/>
              <w:overflowPunct/>
              <w:topLinePunct w:val="0"/>
              <w:autoSpaceDE w:val="0"/>
              <w:autoSpaceDN w:val="0"/>
              <w:bidi w:val="0"/>
              <w:adjustRightInd/>
              <w:snapToGrid/>
              <w:spacing w:before="4" w:line="320" w:lineRule="exact"/>
              <w:ind w:left="39" w:right="142"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未按所充装介质特性配备相应的保护用具和用品</w:t>
            </w:r>
          </w:p>
        </w:tc>
        <w:tc>
          <w:tcPr>
            <w:tcW w:w="5229" w:type="dxa"/>
            <w:tcBorders>
              <w:top w:val="single" w:color="auto" w:sz="4" w:space="0"/>
              <w:bottom w:val="single" w:color="auto" w:sz="4" w:space="0"/>
            </w:tcBorders>
            <w:vAlign w:val="center"/>
          </w:tcPr>
          <w:p>
            <w:pPr>
              <w:keepNext w:val="0"/>
              <w:keepLines w:val="0"/>
              <w:pageBreakBefore w:val="0"/>
              <w:kinsoku/>
              <w:wordWrap/>
              <w:overflowPunct/>
              <w:topLinePunct w:val="0"/>
              <w:autoSpaceDE w:val="0"/>
              <w:autoSpaceDN w:val="0"/>
              <w:bidi w:val="0"/>
              <w:adjustRightInd/>
              <w:snapToGrid/>
              <w:spacing w:before="4" w:line="320" w:lineRule="exact"/>
              <w:ind w:left="39" w:right="142"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按所充装介质特性配备相应的保护用具和用品</w:t>
            </w:r>
          </w:p>
        </w:tc>
        <w:tc>
          <w:tcPr>
            <w:tcW w:w="1714"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月调度</w:t>
            </w:r>
          </w:p>
        </w:tc>
        <w:tc>
          <w:tcPr>
            <w:tcW w:w="1763"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主要负责人</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35" w:hRule="exact"/>
        </w:trPr>
        <w:tc>
          <w:tcPr>
            <w:tcW w:w="82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40</w:t>
            </w:r>
          </w:p>
        </w:tc>
        <w:tc>
          <w:tcPr>
            <w:tcW w:w="1523" w:type="dxa"/>
            <w:vMerge w:val="continue"/>
            <w:vAlign w:val="center"/>
          </w:tcPr>
          <w:p>
            <w:pPr>
              <w:keepNext w:val="0"/>
              <w:keepLines w:val="0"/>
              <w:pageBreakBefore w:val="0"/>
              <w:kinsoku/>
              <w:wordWrap/>
              <w:overflowPunct/>
              <w:topLinePunct w:val="0"/>
              <w:autoSpaceDE w:val="0"/>
              <w:autoSpaceDN w:val="0"/>
              <w:bidi w:val="0"/>
              <w:adjustRightInd/>
              <w:snapToGrid/>
              <w:spacing w:line="320" w:lineRule="exact"/>
              <w:ind w:left="39" w:firstLine="0" w:firstLineChars="0"/>
              <w:jc w:val="center"/>
              <w:textAlignment w:val="auto"/>
              <w:rPr>
                <w:rFonts w:hint="eastAsia" w:asciiTheme="minorEastAsia" w:hAnsiTheme="minorEastAsia" w:eastAsiaTheme="minorEastAsia" w:cstheme="minorEastAsia"/>
                <w:bCs/>
                <w:sz w:val="24"/>
                <w:szCs w:val="24"/>
              </w:rPr>
            </w:pPr>
          </w:p>
        </w:tc>
        <w:tc>
          <w:tcPr>
            <w:tcW w:w="2455" w:type="dxa"/>
            <w:vAlign w:val="center"/>
          </w:tcPr>
          <w:p>
            <w:pPr>
              <w:keepNext w:val="0"/>
              <w:keepLines w:val="0"/>
              <w:pageBreakBefore w:val="0"/>
              <w:kinsoku/>
              <w:wordWrap/>
              <w:overflowPunct/>
              <w:topLinePunct w:val="0"/>
              <w:autoSpaceDE w:val="0"/>
              <w:autoSpaceDN w:val="0"/>
              <w:bidi w:val="0"/>
              <w:adjustRightInd/>
              <w:snapToGrid/>
              <w:spacing w:before="4" w:line="320" w:lineRule="exact"/>
              <w:ind w:left="39" w:right="142"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未配备事故应急救援预案涉及的应急工、器具</w:t>
            </w:r>
          </w:p>
        </w:tc>
        <w:tc>
          <w:tcPr>
            <w:tcW w:w="5229" w:type="dxa"/>
            <w:tcBorders>
              <w:top w:val="single" w:color="auto" w:sz="4" w:space="0"/>
            </w:tcBorders>
            <w:vAlign w:val="center"/>
          </w:tcPr>
          <w:p>
            <w:pPr>
              <w:keepNext w:val="0"/>
              <w:keepLines w:val="0"/>
              <w:pageBreakBefore w:val="0"/>
              <w:kinsoku/>
              <w:wordWrap/>
              <w:overflowPunct/>
              <w:topLinePunct w:val="0"/>
              <w:autoSpaceDE w:val="0"/>
              <w:autoSpaceDN w:val="0"/>
              <w:bidi w:val="0"/>
              <w:adjustRightInd/>
              <w:snapToGrid/>
              <w:spacing w:before="4" w:line="320" w:lineRule="exact"/>
              <w:ind w:left="39" w:right="142"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配备事故应急救援预案涉及的应急工器具</w:t>
            </w:r>
          </w:p>
        </w:tc>
        <w:tc>
          <w:tcPr>
            <w:tcW w:w="1714"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月调度</w:t>
            </w:r>
          </w:p>
        </w:tc>
        <w:tc>
          <w:tcPr>
            <w:tcW w:w="1763"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主要负责人</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5" w:hRule="exact"/>
        </w:trPr>
        <w:tc>
          <w:tcPr>
            <w:tcW w:w="824" w:type="dxa"/>
            <w:tcBorders>
              <w:bottom w:val="single" w:color="auto" w:sz="4" w:space="0"/>
            </w:tcBorders>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41</w:t>
            </w:r>
          </w:p>
        </w:tc>
        <w:tc>
          <w:tcPr>
            <w:tcW w:w="1523" w:type="dxa"/>
            <w:vMerge w:val="continue"/>
            <w:tcBorders>
              <w:bottom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320" w:lineRule="exact"/>
              <w:ind w:left="39" w:firstLine="0" w:firstLineChars="0"/>
              <w:jc w:val="center"/>
              <w:textAlignment w:val="auto"/>
              <w:rPr>
                <w:rFonts w:hint="eastAsia" w:asciiTheme="minorEastAsia" w:hAnsiTheme="minorEastAsia" w:eastAsiaTheme="minorEastAsia" w:cstheme="minorEastAsia"/>
                <w:bCs/>
                <w:kern w:val="0"/>
                <w:sz w:val="24"/>
                <w:szCs w:val="24"/>
              </w:rPr>
            </w:pPr>
          </w:p>
        </w:tc>
        <w:tc>
          <w:tcPr>
            <w:tcW w:w="2455" w:type="dxa"/>
            <w:vAlign w:val="center"/>
          </w:tcPr>
          <w:p>
            <w:pPr>
              <w:keepNext w:val="0"/>
              <w:keepLines w:val="0"/>
              <w:pageBreakBefore w:val="0"/>
              <w:kinsoku/>
              <w:wordWrap/>
              <w:overflowPunct/>
              <w:topLinePunct w:val="0"/>
              <w:autoSpaceDE w:val="0"/>
              <w:autoSpaceDN w:val="0"/>
              <w:bidi w:val="0"/>
              <w:adjustRightInd/>
              <w:snapToGrid/>
              <w:spacing w:before="4" w:line="320" w:lineRule="exact"/>
              <w:ind w:left="39" w:right="142"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未告知进站须知、安全警示标识不全的</w:t>
            </w:r>
          </w:p>
        </w:tc>
        <w:tc>
          <w:tcPr>
            <w:tcW w:w="5229" w:type="dxa"/>
            <w:vAlign w:val="center"/>
          </w:tcPr>
          <w:p>
            <w:pPr>
              <w:keepNext w:val="0"/>
              <w:keepLines w:val="0"/>
              <w:pageBreakBefore w:val="0"/>
              <w:kinsoku/>
              <w:wordWrap/>
              <w:overflowPunct/>
              <w:topLinePunct w:val="0"/>
              <w:autoSpaceDE w:val="0"/>
              <w:autoSpaceDN w:val="0"/>
              <w:bidi w:val="0"/>
              <w:adjustRightInd/>
              <w:snapToGrid/>
              <w:spacing w:before="4" w:line="320" w:lineRule="exact"/>
              <w:ind w:left="39" w:right="142"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告知进站须知、安全警示标识应齐全</w:t>
            </w:r>
          </w:p>
        </w:tc>
        <w:tc>
          <w:tcPr>
            <w:tcW w:w="1714" w:type="dxa"/>
            <w:tcBorders>
              <w:top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月调度</w:t>
            </w:r>
          </w:p>
        </w:tc>
        <w:tc>
          <w:tcPr>
            <w:tcW w:w="1763" w:type="dxa"/>
            <w:tcBorders>
              <w:top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主要负责人</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exact"/>
        </w:trPr>
        <w:tc>
          <w:tcPr>
            <w:tcW w:w="824" w:type="dxa"/>
            <w:tcBorders>
              <w:bottom w:val="single" w:color="auto" w:sz="4" w:space="0"/>
            </w:tcBorders>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42</w:t>
            </w:r>
          </w:p>
        </w:tc>
        <w:tc>
          <w:tcPr>
            <w:tcW w:w="1523" w:type="dxa"/>
            <w:tcBorders>
              <w:bottom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320" w:lineRule="exact"/>
              <w:ind w:left="39"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政府监督、通报、预警</w:t>
            </w:r>
          </w:p>
        </w:tc>
        <w:tc>
          <w:tcPr>
            <w:tcW w:w="2455" w:type="dxa"/>
            <w:vAlign w:val="center"/>
          </w:tcPr>
          <w:p>
            <w:pPr>
              <w:keepNext w:val="0"/>
              <w:keepLines w:val="0"/>
              <w:pageBreakBefore w:val="0"/>
              <w:kinsoku/>
              <w:wordWrap/>
              <w:overflowPunct/>
              <w:topLinePunct w:val="0"/>
              <w:autoSpaceDE w:val="0"/>
              <w:autoSpaceDN w:val="0"/>
              <w:bidi w:val="0"/>
              <w:adjustRightInd/>
              <w:snapToGrid/>
              <w:spacing w:line="320" w:lineRule="exact"/>
              <w:ind w:left="39" w:firstLine="0" w:firstLineChars="0"/>
              <w:jc w:val="left"/>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发现不合格项</w:t>
            </w:r>
          </w:p>
        </w:tc>
        <w:tc>
          <w:tcPr>
            <w:tcW w:w="5229" w:type="dxa"/>
            <w:vAlign w:val="center"/>
          </w:tcPr>
          <w:p>
            <w:pPr>
              <w:keepNext w:val="0"/>
              <w:keepLines w:val="0"/>
              <w:pageBreakBefore w:val="0"/>
              <w:kinsoku/>
              <w:wordWrap/>
              <w:overflowPunct/>
              <w:topLinePunct w:val="0"/>
              <w:autoSpaceDE w:val="0"/>
              <w:autoSpaceDN w:val="0"/>
              <w:bidi w:val="0"/>
              <w:adjustRightInd/>
              <w:snapToGrid/>
              <w:spacing w:line="320" w:lineRule="exact"/>
              <w:ind w:left="39" w:firstLine="0" w:firstLineChars="0"/>
              <w:jc w:val="left"/>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记录，整改</w:t>
            </w:r>
          </w:p>
        </w:tc>
        <w:tc>
          <w:tcPr>
            <w:tcW w:w="1714" w:type="dxa"/>
            <w:vAlign w:val="center"/>
          </w:tcPr>
          <w:p>
            <w:pPr>
              <w:keepNext w:val="0"/>
              <w:keepLines w:val="0"/>
              <w:pageBreakBefore w:val="0"/>
              <w:kinsoku/>
              <w:wordWrap/>
              <w:overflowPunct/>
              <w:topLinePunct w:val="0"/>
              <w:autoSpaceDE w:val="0"/>
              <w:autoSpaceDN w:val="0"/>
              <w:bidi w:val="0"/>
              <w:adjustRightInd/>
              <w:snapToGrid/>
              <w:spacing w:line="320" w:lineRule="exact"/>
              <w:ind w:left="39"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周排查</w:t>
            </w:r>
          </w:p>
        </w:tc>
        <w:tc>
          <w:tcPr>
            <w:tcW w:w="1763" w:type="dxa"/>
            <w:vAlign w:val="center"/>
          </w:tcPr>
          <w:p>
            <w:pPr>
              <w:keepNext w:val="0"/>
              <w:keepLines w:val="0"/>
              <w:pageBreakBefore w:val="0"/>
              <w:kinsoku/>
              <w:wordWrap/>
              <w:overflowPunct/>
              <w:topLinePunct w:val="0"/>
              <w:autoSpaceDE w:val="0"/>
              <w:autoSpaceDN w:val="0"/>
              <w:bidi w:val="0"/>
              <w:adjustRightInd/>
              <w:snapToGrid/>
              <w:spacing w:line="320" w:lineRule="exact"/>
              <w:ind w:left="39"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安全总监</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exact"/>
        </w:trPr>
        <w:tc>
          <w:tcPr>
            <w:tcW w:w="824" w:type="dxa"/>
            <w:tcBorders>
              <w:bottom w:val="single" w:color="auto" w:sz="4" w:space="0"/>
            </w:tcBorders>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43</w:t>
            </w:r>
          </w:p>
        </w:tc>
        <w:tc>
          <w:tcPr>
            <w:tcW w:w="1523" w:type="dxa"/>
            <w:tcBorders>
              <w:bottom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320" w:lineRule="exact"/>
              <w:ind w:left="39"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投诉举报</w:t>
            </w:r>
          </w:p>
        </w:tc>
        <w:tc>
          <w:tcPr>
            <w:tcW w:w="2455" w:type="dxa"/>
            <w:vAlign w:val="center"/>
          </w:tcPr>
          <w:p>
            <w:pPr>
              <w:keepNext w:val="0"/>
              <w:keepLines w:val="0"/>
              <w:pageBreakBefore w:val="0"/>
              <w:kinsoku/>
              <w:wordWrap/>
              <w:overflowPunct/>
              <w:topLinePunct w:val="0"/>
              <w:autoSpaceDE w:val="0"/>
              <w:autoSpaceDN w:val="0"/>
              <w:bidi w:val="0"/>
              <w:adjustRightInd/>
              <w:snapToGrid/>
              <w:spacing w:line="320" w:lineRule="exact"/>
              <w:ind w:left="39" w:firstLine="0" w:firstLineChars="0"/>
              <w:jc w:val="left"/>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发现不合格项</w:t>
            </w:r>
          </w:p>
        </w:tc>
        <w:tc>
          <w:tcPr>
            <w:tcW w:w="5229" w:type="dxa"/>
            <w:vAlign w:val="center"/>
          </w:tcPr>
          <w:p>
            <w:pPr>
              <w:keepNext w:val="0"/>
              <w:keepLines w:val="0"/>
              <w:pageBreakBefore w:val="0"/>
              <w:kinsoku/>
              <w:wordWrap/>
              <w:overflowPunct/>
              <w:topLinePunct w:val="0"/>
              <w:autoSpaceDE w:val="0"/>
              <w:autoSpaceDN w:val="0"/>
              <w:bidi w:val="0"/>
              <w:adjustRightInd/>
              <w:snapToGrid/>
              <w:spacing w:line="320" w:lineRule="exact"/>
              <w:ind w:left="39" w:firstLine="0" w:firstLineChars="0"/>
              <w:jc w:val="left"/>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记录，整改，消除安全隐患</w:t>
            </w:r>
          </w:p>
        </w:tc>
        <w:tc>
          <w:tcPr>
            <w:tcW w:w="1714" w:type="dxa"/>
            <w:vAlign w:val="center"/>
          </w:tcPr>
          <w:p>
            <w:pPr>
              <w:keepNext w:val="0"/>
              <w:keepLines w:val="0"/>
              <w:pageBreakBefore w:val="0"/>
              <w:kinsoku/>
              <w:wordWrap/>
              <w:overflowPunct/>
              <w:topLinePunct w:val="0"/>
              <w:autoSpaceDE w:val="0"/>
              <w:autoSpaceDN w:val="0"/>
              <w:bidi w:val="0"/>
              <w:adjustRightInd/>
              <w:snapToGrid/>
              <w:spacing w:line="320" w:lineRule="exact"/>
              <w:ind w:left="39"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日管控</w:t>
            </w:r>
          </w:p>
        </w:tc>
        <w:tc>
          <w:tcPr>
            <w:tcW w:w="1763" w:type="dxa"/>
            <w:vAlign w:val="center"/>
          </w:tcPr>
          <w:p>
            <w:pPr>
              <w:keepNext w:val="0"/>
              <w:keepLines w:val="0"/>
              <w:pageBreakBefore w:val="0"/>
              <w:kinsoku/>
              <w:wordWrap/>
              <w:overflowPunct/>
              <w:topLinePunct w:val="0"/>
              <w:autoSpaceDE w:val="0"/>
              <w:autoSpaceDN w:val="0"/>
              <w:bidi w:val="0"/>
              <w:adjustRightInd/>
              <w:snapToGrid/>
              <w:spacing w:line="320" w:lineRule="exact"/>
              <w:ind w:left="39"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安全员</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exact"/>
        </w:trPr>
        <w:tc>
          <w:tcPr>
            <w:tcW w:w="824" w:type="dxa"/>
            <w:tcBorders>
              <w:bottom w:val="single" w:color="auto" w:sz="4" w:space="0"/>
            </w:tcBorders>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44</w:t>
            </w:r>
          </w:p>
        </w:tc>
        <w:tc>
          <w:tcPr>
            <w:tcW w:w="1523" w:type="dxa"/>
            <w:tcBorders>
              <w:bottom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320" w:lineRule="exact"/>
              <w:ind w:left="39"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舆情信息</w:t>
            </w:r>
          </w:p>
        </w:tc>
        <w:tc>
          <w:tcPr>
            <w:tcW w:w="2455" w:type="dxa"/>
            <w:vAlign w:val="center"/>
          </w:tcPr>
          <w:p>
            <w:pPr>
              <w:keepNext w:val="0"/>
              <w:keepLines w:val="0"/>
              <w:pageBreakBefore w:val="0"/>
              <w:kinsoku/>
              <w:wordWrap/>
              <w:overflowPunct/>
              <w:topLinePunct w:val="0"/>
              <w:autoSpaceDE w:val="0"/>
              <w:autoSpaceDN w:val="0"/>
              <w:bidi w:val="0"/>
              <w:adjustRightInd/>
              <w:snapToGrid/>
              <w:spacing w:line="320" w:lineRule="exact"/>
              <w:ind w:left="39" w:firstLine="0" w:firstLineChars="0"/>
              <w:jc w:val="left"/>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发现不合格项</w:t>
            </w:r>
          </w:p>
        </w:tc>
        <w:tc>
          <w:tcPr>
            <w:tcW w:w="5229" w:type="dxa"/>
            <w:vAlign w:val="center"/>
          </w:tcPr>
          <w:p>
            <w:pPr>
              <w:keepNext w:val="0"/>
              <w:keepLines w:val="0"/>
              <w:pageBreakBefore w:val="0"/>
              <w:kinsoku/>
              <w:wordWrap/>
              <w:overflowPunct/>
              <w:topLinePunct w:val="0"/>
              <w:autoSpaceDE w:val="0"/>
              <w:autoSpaceDN w:val="0"/>
              <w:bidi w:val="0"/>
              <w:adjustRightInd/>
              <w:snapToGrid/>
              <w:spacing w:line="320" w:lineRule="exact"/>
              <w:ind w:left="39" w:firstLine="0" w:firstLineChars="0"/>
              <w:jc w:val="left"/>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记录，整改</w:t>
            </w:r>
          </w:p>
        </w:tc>
        <w:tc>
          <w:tcPr>
            <w:tcW w:w="1714" w:type="dxa"/>
            <w:vAlign w:val="center"/>
          </w:tcPr>
          <w:p>
            <w:pPr>
              <w:keepNext w:val="0"/>
              <w:keepLines w:val="0"/>
              <w:pageBreakBefore w:val="0"/>
              <w:kinsoku/>
              <w:wordWrap/>
              <w:overflowPunct/>
              <w:topLinePunct w:val="0"/>
              <w:autoSpaceDE w:val="0"/>
              <w:autoSpaceDN w:val="0"/>
              <w:bidi w:val="0"/>
              <w:adjustRightInd/>
              <w:snapToGrid/>
              <w:spacing w:line="320" w:lineRule="exact"/>
              <w:ind w:left="39"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日管控</w:t>
            </w:r>
          </w:p>
        </w:tc>
        <w:tc>
          <w:tcPr>
            <w:tcW w:w="1763" w:type="dxa"/>
            <w:vAlign w:val="center"/>
          </w:tcPr>
          <w:p>
            <w:pPr>
              <w:keepNext w:val="0"/>
              <w:keepLines w:val="0"/>
              <w:pageBreakBefore w:val="0"/>
              <w:kinsoku/>
              <w:wordWrap/>
              <w:overflowPunct/>
              <w:topLinePunct w:val="0"/>
              <w:autoSpaceDE w:val="0"/>
              <w:autoSpaceDN w:val="0"/>
              <w:bidi w:val="0"/>
              <w:adjustRightInd/>
              <w:snapToGrid/>
              <w:spacing w:line="320" w:lineRule="exact"/>
              <w:ind w:left="39"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安全员</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0" w:hRule="atLeast"/>
        </w:trPr>
        <w:tc>
          <w:tcPr>
            <w:tcW w:w="824" w:type="dxa"/>
            <w:tcBorders>
              <w:top w:val="single" w:color="auto" w:sz="4" w:space="0"/>
            </w:tcBorders>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45</w:t>
            </w:r>
          </w:p>
        </w:tc>
        <w:tc>
          <w:tcPr>
            <w:tcW w:w="1523" w:type="dxa"/>
            <w:vMerge w:val="restart"/>
            <w:tcBorders>
              <w:top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320" w:lineRule="exact"/>
              <w:ind w:left="39" w:firstLine="0" w:firstLineChars="0"/>
              <w:jc w:val="center"/>
              <w:textAlignment w:val="auto"/>
              <w:rPr>
                <w:rFonts w:hint="eastAsia" w:asciiTheme="minorEastAsia" w:hAnsiTheme="minorEastAsia" w:eastAsiaTheme="minorEastAsia" w:cstheme="minorEastAsia"/>
                <w:bCs/>
                <w:color w:val="0000FF"/>
                <w:kern w:val="0"/>
                <w:sz w:val="24"/>
                <w:szCs w:val="24"/>
              </w:rPr>
            </w:pPr>
            <w:r>
              <w:rPr>
                <w:rFonts w:hint="eastAsia" w:asciiTheme="minorEastAsia" w:hAnsiTheme="minorEastAsia" w:eastAsiaTheme="minorEastAsia" w:cstheme="minorEastAsia"/>
                <w:bCs/>
                <w:kern w:val="0"/>
                <w:sz w:val="24"/>
                <w:szCs w:val="24"/>
              </w:rPr>
              <w:t>压缩气体充装专项</w:t>
            </w:r>
          </w:p>
        </w:tc>
        <w:tc>
          <w:tcPr>
            <w:tcW w:w="2455" w:type="dxa"/>
            <w:vAlign w:val="center"/>
          </w:tcPr>
          <w:p>
            <w:pPr>
              <w:keepNext w:val="0"/>
              <w:keepLines w:val="0"/>
              <w:pageBreakBefore w:val="0"/>
              <w:kinsoku/>
              <w:wordWrap/>
              <w:overflowPunct/>
              <w:topLinePunct w:val="0"/>
              <w:autoSpaceDE w:val="0"/>
              <w:autoSpaceDN w:val="0"/>
              <w:bidi w:val="0"/>
              <w:adjustRightInd/>
              <w:snapToGrid/>
              <w:spacing w:before="113" w:line="320" w:lineRule="exact"/>
              <w:ind w:left="76" w:firstLine="0" w:firstLineChars="0"/>
              <w:jc w:val="left"/>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未制定充装温度与最高充装压力对照表，未按要求控制</w:t>
            </w:r>
          </w:p>
        </w:tc>
        <w:tc>
          <w:tcPr>
            <w:tcW w:w="5229" w:type="dxa"/>
            <w:tcBorders>
              <w:bottom w:val="single" w:color="auto" w:sz="4" w:space="0"/>
            </w:tcBorders>
            <w:vAlign w:val="center"/>
          </w:tcPr>
          <w:p>
            <w:pPr>
              <w:keepNext w:val="0"/>
              <w:keepLines w:val="0"/>
              <w:pageBreakBefore w:val="0"/>
              <w:kinsoku/>
              <w:wordWrap/>
              <w:overflowPunct/>
              <w:topLinePunct w:val="0"/>
              <w:autoSpaceDE w:val="0"/>
              <w:autoSpaceDN w:val="0"/>
              <w:bidi w:val="0"/>
              <w:adjustRightInd/>
              <w:snapToGrid/>
              <w:spacing w:before="69" w:line="320" w:lineRule="exact"/>
              <w:ind w:firstLine="0" w:firstLineChars="0"/>
              <w:jc w:val="left"/>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1.制定充装温度与最高充装压力对照表</w:t>
            </w:r>
          </w:p>
          <w:p>
            <w:pPr>
              <w:keepNext w:val="0"/>
              <w:keepLines w:val="0"/>
              <w:pageBreakBefore w:val="0"/>
              <w:kinsoku/>
              <w:wordWrap/>
              <w:overflowPunct/>
              <w:topLinePunct w:val="0"/>
              <w:autoSpaceDE w:val="0"/>
              <w:autoSpaceDN w:val="0"/>
              <w:bidi w:val="0"/>
              <w:adjustRightInd/>
              <w:snapToGrid/>
              <w:spacing w:before="69" w:line="320" w:lineRule="exact"/>
              <w:ind w:firstLine="0" w:firstLineChars="0"/>
              <w:jc w:val="left"/>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2.充装后的压力（换算成20℃）不得超过气瓶的公称工作压力</w:t>
            </w:r>
          </w:p>
        </w:tc>
        <w:tc>
          <w:tcPr>
            <w:tcW w:w="1714" w:type="dxa"/>
            <w:tcBorders>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日管控</w:t>
            </w:r>
          </w:p>
        </w:tc>
        <w:tc>
          <w:tcPr>
            <w:tcW w:w="1763" w:type="dxa"/>
            <w:tcBorders>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安全员</w:t>
            </w:r>
          </w:p>
        </w:tc>
        <w:tc>
          <w:tcPr>
            <w:tcW w:w="1234" w:type="dxa"/>
            <w:tcBorders>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0000FF"/>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35" w:hRule="atLeast"/>
        </w:trPr>
        <w:tc>
          <w:tcPr>
            <w:tcW w:w="82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46</w:t>
            </w:r>
          </w:p>
        </w:tc>
        <w:tc>
          <w:tcPr>
            <w:tcW w:w="1523" w:type="dxa"/>
            <w:vMerge w:val="continue"/>
            <w:vAlign w:val="center"/>
          </w:tcPr>
          <w:p>
            <w:pPr>
              <w:keepNext w:val="0"/>
              <w:keepLines w:val="0"/>
              <w:pageBreakBefore w:val="0"/>
              <w:kinsoku/>
              <w:wordWrap/>
              <w:overflowPunct/>
              <w:topLinePunct w:val="0"/>
              <w:autoSpaceDE w:val="0"/>
              <w:autoSpaceDN w:val="0"/>
              <w:bidi w:val="0"/>
              <w:adjustRightInd/>
              <w:snapToGrid/>
              <w:spacing w:line="320" w:lineRule="exact"/>
              <w:ind w:left="39" w:firstLine="0" w:firstLineChars="0"/>
              <w:jc w:val="center"/>
              <w:textAlignment w:val="auto"/>
              <w:rPr>
                <w:rFonts w:hint="eastAsia" w:asciiTheme="minorEastAsia" w:hAnsiTheme="minorEastAsia" w:eastAsiaTheme="minorEastAsia" w:cstheme="minorEastAsia"/>
                <w:bCs/>
                <w:color w:val="0000FF"/>
                <w:kern w:val="0"/>
                <w:sz w:val="24"/>
                <w:szCs w:val="24"/>
              </w:rPr>
            </w:pPr>
          </w:p>
        </w:tc>
        <w:tc>
          <w:tcPr>
            <w:tcW w:w="2455" w:type="dxa"/>
            <w:vAlign w:val="center"/>
          </w:tcPr>
          <w:p>
            <w:pPr>
              <w:keepNext w:val="0"/>
              <w:keepLines w:val="0"/>
              <w:pageBreakBefore w:val="0"/>
              <w:kinsoku/>
              <w:wordWrap/>
              <w:overflowPunct/>
              <w:topLinePunct w:val="0"/>
              <w:autoSpaceDE w:val="0"/>
              <w:autoSpaceDN w:val="0"/>
              <w:bidi w:val="0"/>
              <w:adjustRightInd/>
              <w:snapToGrid/>
              <w:spacing w:before="4" w:line="320" w:lineRule="exact"/>
              <w:ind w:left="39" w:right="142"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氧化性压缩气体阀未采用余压保持装置（充装采用先抽后充工艺的阀除外）；充装氧气或其他强氧化性气体的气瓶，其瓶体、瓶阀沾染油脂或其他可燃物</w:t>
            </w:r>
          </w:p>
        </w:tc>
        <w:tc>
          <w:tcPr>
            <w:tcW w:w="5229" w:type="dxa"/>
            <w:tcBorders>
              <w:top w:val="single" w:color="auto" w:sz="4" w:space="0"/>
            </w:tcBorders>
            <w:vAlign w:val="center"/>
          </w:tcPr>
          <w:p>
            <w:pPr>
              <w:keepNext w:val="0"/>
              <w:keepLines w:val="0"/>
              <w:pageBreakBefore w:val="0"/>
              <w:kinsoku/>
              <w:wordWrap/>
              <w:overflowPunct/>
              <w:topLinePunct w:val="0"/>
              <w:autoSpaceDE w:val="0"/>
              <w:autoSpaceDN w:val="0"/>
              <w:bidi w:val="0"/>
              <w:adjustRightInd/>
              <w:snapToGrid/>
              <w:spacing w:before="4" w:line="320" w:lineRule="exact"/>
              <w:ind w:left="39" w:right="142"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按照相应规定配备余压保持阀，氧化性气体充装瓶体、瓶阀禁油</w:t>
            </w:r>
          </w:p>
        </w:tc>
        <w:tc>
          <w:tcPr>
            <w:tcW w:w="1714"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日管控</w:t>
            </w:r>
          </w:p>
        </w:tc>
        <w:tc>
          <w:tcPr>
            <w:tcW w:w="1763"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安全员</w:t>
            </w:r>
          </w:p>
        </w:tc>
        <w:tc>
          <w:tcPr>
            <w:tcW w:w="1234"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0000FF"/>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7" w:hRule="atLeast"/>
        </w:trPr>
        <w:tc>
          <w:tcPr>
            <w:tcW w:w="82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47</w:t>
            </w:r>
          </w:p>
        </w:tc>
        <w:tc>
          <w:tcPr>
            <w:tcW w:w="1523" w:type="dxa"/>
            <w:vMerge w:val="continue"/>
            <w:vAlign w:val="center"/>
          </w:tcPr>
          <w:p>
            <w:pPr>
              <w:keepNext w:val="0"/>
              <w:keepLines w:val="0"/>
              <w:pageBreakBefore w:val="0"/>
              <w:kinsoku/>
              <w:wordWrap/>
              <w:overflowPunct/>
              <w:topLinePunct w:val="0"/>
              <w:autoSpaceDE w:val="0"/>
              <w:autoSpaceDN w:val="0"/>
              <w:bidi w:val="0"/>
              <w:adjustRightInd/>
              <w:snapToGrid/>
              <w:spacing w:line="320" w:lineRule="exact"/>
              <w:ind w:left="39" w:firstLine="0" w:firstLineChars="0"/>
              <w:jc w:val="center"/>
              <w:textAlignment w:val="auto"/>
              <w:rPr>
                <w:rFonts w:hint="eastAsia" w:asciiTheme="minorEastAsia" w:hAnsiTheme="minorEastAsia" w:eastAsiaTheme="minorEastAsia" w:cstheme="minorEastAsia"/>
                <w:bCs/>
                <w:color w:val="0000FF"/>
                <w:kern w:val="0"/>
                <w:sz w:val="24"/>
                <w:szCs w:val="24"/>
              </w:rPr>
            </w:pPr>
          </w:p>
        </w:tc>
        <w:tc>
          <w:tcPr>
            <w:tcW w:w="2455" w:type="dxa"/>
            <w:vAlign w:val="center"/>
          </w:tcPr>
          <w:p>
            <w:pPr>
              <w:keepNext w:val="0"/>
              <w:keepLines w:val="0"/>
              <w:pageBreakBefore w:val="0"/>
              <w:kinsoku/>
              <w:wordWrap/>
              <w:overflowPunct/>
              <w:topLinePunct w:val="0"/>
              <w:autoSpaceDE w:val="0"/>
              <w:autoSpaceDN w:val="0"/>
              <w:bidi w:val="0"/>
              <w:adjustRightInd/>
              <w:snapToGrid/>
              <w:spacing w:before="4" w:line="320" w:lineRule="exact"/>
              <w:ind w:left="39" w:right="142"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充装氟或者二氟化氧的气瓶，最大充装量大于5kg，充装压力大于3MPa（</w:t>
            </w:r>
            <w:r>
              <w:rPr>
                <w:rFonts w:hint="eastAsia" w:asciiTheme="minorEastAsia" w:hAnsiTheme="minorEastAsia" w:eastAsiaTheme="minorEastAsia" w:cstheme="minorEastAsia"/>
                <w:bCs/>
                <w:kern w:val="0"/>
                <w:sz w:val="24"/>
                <w:szCs w:val="24"/>
              </w:rPr>
              <w:t>20℃时）</w:t>
            </w:r>
          </w:p>
        </w:tc>
        <w:tc>
          <w:tcPr>
            <w:tcW w:w="5229" w:type="dxa"/>
            <w:vAlign w:val="center"/>
          </w:tcPr>
          <w:p>
            <w:pPr>
              <w:keepNext w:val="0"/>
              <w:keepLines w:val="0"/>
              <w:pageBreakBefore w:val="0"/>
              <w:kinsoku/>
              <w:wordWrap/>
              <w:overflowPunct/>
              <w:topLinePunct w:val="0"/>
              <w:autoSpaceDE w:val="0"/>
              <w:autoSpaceDN w:val="0"/>
              <w:bidi w:val="0"/>
              <w:adjustRightInd/>
              <w:snapToGrid/>
              <w:spacing w:before="4" w:line="320" w:lineRule="exact"/>
              <w:ind w:left="39" w:right="142"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充装氟或者二氟化氧的气瓶，最大充装量不得大于5kg，充装压力不得大于3MPa（</w:t>
            </w:r>
            <w:r>
              <w:rPr>
                <w:rFonts w:hint="eastAsia" w:asciiTheme="minorEastAsia" w:hAnsiTheme="minorEastAsia" w:eastAsiaTheme="minorEastAsia" w:cstheme="minorEastAsia"/>
                <w:bCs/>
                <w:kern w:val="0"/>
                <w:sz w:val="24"/>
                <w:szCs w:val="24"/>
              </w:rPr>
              <w:t>20℃时 ）</w:t>
            </w:r>
          </w:p>
        </w:tc>
        <w:tc>
          <w:tcPr>
            <w:tcW w:w="1714"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日管控</w:t>
            </w:r>
          </w:p>
        </w:tc>
        <w:tc>
          <w:tcPr>
            <w:tcW w:w="1763"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安全员</w:t>
            </w:r>
          </w:p>
        </w:tc>
        <w:tc>
          <w:tcPr>
            <w:tcW w:w="1234" w:type="dxa"/>
            <w:tcBorders>
              <w:top w:val="single" w:color="auto" w:sz="4" w:space="0"/>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0000FF"/>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6" w:hRule="atLeast"/>
        </w:trPr>
        <w:tc>
          <w:tcPr>
            <w:tcW w:w="82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48</w:t>
            </w:r>
          </w:p>
        </w:tc>
        <w:tc>
          <w:tcPr>
            <w:tcW w:w="1523" w:type="dxa"/>
            <w:vMerge w:val="continue"/>
            <w:vAlign w:val="center"/>
          </w:tcPr>
          <w:p>
            <w:pPr>
              <w:keepNext w:val="0"/>
              <w:keepLines w:val="0"/>
              <w:pageBreakBefore w:val="0"/>
              <w:kinsoku/>
              <w:wordWrap/>
              <w:overflowPunct/>
              <w:topLinePunct w:val="0"/>
              <w:autoSpaceDE w:val="0"/>
              <w:autoSpaceDN w:val="0"/>
              <w:bidi w:val="0"/>
              <w:adjustRightInd/>
              <w:snapToGrid/>
              <w:spacing w:line="320" w:lineRule="exact"/>
              <w:ind w:left="39" w:firstLine="0" w:firstLineChars="0"/>
              <w:jc w:val="center"/>
              <w:textAlignment w:val="auto"/>
              <w:rPr>
                <w:rFonts w:hint="eastAsia" w:asciiTheme="minorEastAsia" w:hAnsiTheme="minorEastAsia" w:eastAsiaTheme="minorEastAsia" w:cstheme="minorEastAsia"/>
                <w:bCs/>
                <w:kern w:val="0"/>
                <w:sz w:val="24"/>
                <w:szCs w:val="24"/>
              </w:rPr>
            </w:pPr>
          </w:p>
        </w:tc>
        <w:tc>
          <w:tcPr>
            <w:tcW w:w="2455" w:type="dxa"/>
            <w:vAlign w:val="center"/>
          </w:tcPr>
          <w:p>
            <w:pPr>
              <w:keepNext w:val="0"/>
              <w:keepLines w:val="0"/>
              <w:pageBreakBefore w:val="0"/>
              <w:kinsoku/>
              <w:wordWrap/>
              <w:overflowPunct/>
              <w:topLinePunct w:val="0"/>
              <w:autoSpaceDE w:val="0"/>
              <w:autoSpaceDN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采用电解法制取氢气、氧气的充装单位，未装设自动测定氢、氧纯度的化学分析仪器和超标报警装置</w:t>
            </w:r>
          </w:p>
        </w:tc>
        <w:tc>
          <w:tcPr>
            <w:tcW w:w="5229" w:type="dxa"/>
            <w:vAlign w:val="center"/>
          </w:tcPr>
          <w:p>
            <w:pPr>
              <w:keepNext w:val="0"/>
              <w:keepLines w:val="0"/>
              <w:pageBreakBefore w:val="0"/>
              <w:kinsoku/>
              <w:wordWrap/>
              <w:overflowPunct/>
              <w:topLinePunct w:val="0"/>
              <w:autoSpaceDE w:val="0"/>
              <w:autoSpaceDN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1.必须装设自动测定氢、氧纯度的化学分析仪器和超标报警装置，并定期对氢、氧浓度进行人工检测；</w:t>
            </w:r>
          </w:p>
          <w:p>
            <w:pPr>
              <w:keepNext w:val="0"/>
              <w:keepLines w:val="0"/>
              <w:pageBreakBefore w:val="0"/>
              <w:kinsoku/>
              <w:wordWrap/>
              <w:overflowPunct/>
              <w:topLinePunct w:val="0"/>
              <w:autoSpaceDE w:val="0"/>
              <w:autoSpaceDN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2.当氢气中含氧或者氧气中含氢量超过0.5%（体积比）时，须停止充装作业，并查明原因采取有效处理措施</w:t>
            </w:r>
          </w:p>
        </w:tc>
        <w:tc>
          <w:tcPr>
            <w:tcW w:w="1714" w:type="dxa"/>
            <w:tcBorders>
              <w:top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日管控</w:t>
            </w:r>
          </w:p>
        </w:tc>
        <w:tc>
          <w:tcPr>
            <w:tcW w:w="1763" w:type="dxa"/>
            <w:tcBorders>
              <w:top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安全员</w:t>
            </w:r>
          </w:p>
        </w:tc>
        <w:tc>
          <w:tcPr>
            <w:tcW w:w="1234" w:type="dxa"/>
            <w:tcBorders>
              <w:top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0000FF"/>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7" w:hRule="atLeast"/>
        </w:trPr>
        <w:tc>
          <w:tcPr>
            <w:tcW w:w="82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49</w:t>
            </w:r>
          </w:p>
        </w:tc>
        <w:tc>
          <w:tcPr>
            <w:tcW w:w="1523" w:type="dxa"/>
            <w:vMerge w:val="continue"/>
            <w:vAlign w:val="center"/>
          </w:tcPr>
          <w:p>
            <w:pPr>
              <w:keepNext w:val="0"/>
              <w:keepLines w:val="0"/>
              <w:pageBreakBefore w:val="0"/>
              <w:kinsoku/>
              <w:wordWrap/>
              <w:overflowPunct/>
              <w:topLinePunct w:val="0"/>
              <w:autoSpaceDE w:val="0"/>
              <w:autoSpaceDN w:val="0"/>
              <w:bidi w:val="0"/>
              <w:adjustRightInd/>
              <w:snapToGrid/>
              <w:spacing w:line="320" w:lineRule="exact"/>
              <w:ind w:left="39" w:firstLine="0" w:firstLineChars="0"/>
              <w:jc w:val="center"/>
              <w:textAlignment w:val="auto"/>
              <w:rPr>
                <w:rFonts w:hint="eastAsia" w:asciiTheme="minorEastAsia" w:hAnsiTheme="minorEastAsia" w:eastAsiaTheme="minorEastAsia" w:cstheme="minorEastAsia"/>
                <w:bCs/>
                <w:kern w:val="0"/>
                <w:sz w:val="24"/>
                <w:szCs w:val="24"/>
              </w:rPr>
            </w:pPr>
          </w:p>
        </w:tc>
        <w:tc>
          <w:tcPr>
            <w:tcW w:w="2455" w:type="dxa"/>
            <w:vAlign w:val="center"/>
          </w:tcPr>
          <w:p>
            <w:pPr>
              <w:keepNext w:val="0"/>
              <w:keepLines w:val="0"/>
              <w:pageBreakBefore w:val="0"/>
              <w:kinsoku/>
              <w:wordWrap/>
              <w:overflowPunct/>
              <w:topLinePunct w:val="0"/>
              <w:autoSpaceDE w:val="0"/>
              <w:autoSpaceDN w:val="0"/>
              <w:bidi w:val="0"/>
              <w:adjustRightInd/>
              <w:snapToGrid/>
              <w:spacing w:before="4" w:line="320" w:lineRule="exact"/>
              <w:ind w:left="39" w:right="142"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有抽真空工艺要求的，未设置抽真空装置或未进行抽真空</w:t>
            </w:r>
          </w:p>
        </w:tc>
        <w:tc>
          <w:tcPr>
            <w:tcW w:w="5229" w:type="dxa"/>
            <w:tcBorders>
              <w:bottom w:val="single" w:color="auto" w:sz="4" w:space="0"/>
            </w:tcBorders>
            <w:vAlign w:val="center"/>
          </w:tcPr>
          <w:p>
            <w:pPr>
              <w:keepNext w:val="0"/>
              <w:keepLines w:val="0"/>
              <w:pageBreakBefore w:val="0"/>
              <w:kinsoku/>
              <w:wordWrap/>
              <w:overflowPunct/>
              <w:topLinePunct w:val="0"/>
              <w:autoSpaceDE w:val="0"/>
              <w:autoSpaceDN w:val="0"/>
              <w:bidi w:val="0"/>
              <w:adjustRightInd/>
              <w:snapToGrid/>
              <w:spacing w:before="4" w:line="320" w:lineRule="exact"/>
              <w:ind w:left="39" w:right="142"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有抽真空工艺要求的，应设置抽真空装置或进行抽真空（氧气充装所配置的抽真空设备应当使用氧专用油脂或无油脂润滑）</w:t>
            </w:r>
          </w:p>
        </w:tc>
        <w:tc>
          <w:tcPr>
            <w:tcW w:w="1714" w:type="dxa"/>
            <w:tcBorders>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周排查</w:t>
            </w:r>
          </w:p>
        </w:tc>
        <w:tc>
          <w:tcPr>
            <w:tcW w:w="1763" w:type="dxa"/>
            <w:tcBorders>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安全总监</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0000FF"/>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exact"/>
        </w:trPr>
        <w:tc>
          <w:tcPr>
            <w:tcW w:w="82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50</w:t>
            </w:r>
          </w:p>
        </w:tc>
        <w:tc>
          <w:tcPr>
            <w:tcW w:w="1523" w:type="dxa"/>
            <w:vMerge w:val="continue"/>
            <w:vAlign w:val="center"/>
          </w:tcPr>
          <w:p>
            <w:pPr>
              <w:keepNext w:val="0"/>
              <w:keepLines w:val="0"/>
              <w:pageBreakBefore w:val="0"/>
              <w:kinsoku/>
              <w:wordWrap/>
              <w:overflowPunct/>
              <w:topLinePunct w:val="0"/>
              <w:autoSpaceDE w:val="0"/>
              <w:autoSpaceDN w:val="0"/>
              <w:bidi w:val="0"/>
              <w:adjustRightInd/>
              <w:snapToGrid/>
              <w:spacing w:line="320" w:lineRule="exact"/>
              <w:ind w:left="39" w:firstLine="0" w:firstLineChars="0"/>
              <w:jc w:val="center"/>
              <w:textAlignment w:val="auto"/>
              <w:rPr>
                <w:rFonts w:hint="eastAsia" w:asciiTheme="minorEastAsia" w:hAnsiTheme="minorEastAsia" w:eastAsiaTheme="minorEastAsia" w:cstheme="minorEastAsia"/>
                <w:bCs/>
                <w:kern w:val="0"/>
                <w:sz w:val="24"/>
                <w:szCs w:val="24"/>
              </w:rPr>
            </w:pPr>
          </w:p>
        </w:tc>
        <w:tc>
          <w:tcPr>
            <w:tcW w:w="2455" w:type="dxa"/>
            <w:vAlign w:val="center"/>
          </w:tcPr>
          <w:p>
            <w:pPr>
              <w:keepNext w:val="0"/>
              <w:keepLines w:val="0"/>
              <w:pageBreakBefore w:val="0"/>
              <w:kinsoku/>
              <w:wordWrap/>
              <w:overflowPunct/>
              <w:topLinePunct w:val="0"/>
              <w:autoSpaceDE w:val="0"/>
              <w:autoSpaceDN w:val="0"/>
              <w:bidi w:val="0"/>
              <w:adjustRightInd/>
              <w:snapToGrid/>
              <w:spacing w:before="4" w:line="320" w:lineRule="exact"/>
              <w:ind w:left="39" w:right="142"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未按照有关要求装设防错装接头</w:t>
            </w:r>
          </w:p>
        </w:tc>
        <w:tc>
          <w:tcPr>
            <w:tcW w:w="5229" w:type="dxa"/>
            <w:tcBorders>
              <w:top w:val="single" w:color="auto" w:sz="4" w:space="0"/>
            </w:tcBorders>
            <w:vAlign w:val="center"/>
          </w:tcPr>
          <w:p>
            <w:pPr>
              <w:keepNext w:val="0"/>
              <w:keepLines w:val="0"/>
              <w:pageBreakBefore w:val="0"/>
              <w:kinsoku/>
              <w:wordWrap/>
              <w:overflowPunct/>
              <w:topLinePunct w:val="0"/>
              <w:autoSpaceDE w:val="0"/>
              <w:autoSpaceDN w:val="0"/>
              <w:bidi w:val="0"/>
              <w:adjustRightInd/>
              <w:snapToGrid/>
              <w:spacing w:before="4" w:line="320" w:lineRule="exact"/>
              <w:ind w:left="39" w:right="142"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按照有关要求装设防错装接头</w:t>
            </w:r>
          </w:p>
        </w:tc>
        <w:tc>
          <w:tcPr>
            <w:tcW w:w="1714" w:type="dxa"/>
            <w:tcBorders>
              <w:top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周排查</w:t>
            </w:r>
          </w:p>
        </w:tc>
        <w:tc>
          <w:tcPr>
            <w:tcW w:w="1763" w:type="dxa"/>
            <w:tcBorders>
              <w:top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安全总监</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0000FF"/>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6" w:hRule="exact"/>
        </w:trPr>
        <w:tc>
          <w:tcPr>
            <w:tcW w:w="82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51</w:t>
            </w:r>
          </w:p>
        </w:tc>
        <w:tc>
          <w:tcPr>
            <w:tcW w:w="1523" w:type="dxa"/>
            <w:vMerge w:val="restart"/>
            <w:vAlign w:val="center"/>
          </w:tcPr>
          <w:p>
            <w:pPr>
              <w:keepNext w:val="0"/>
              <w:keepLines w:val="0"/>
              <w:pageBreakBefore w:val="0"/>
              <w:kinsoku/>
              <w:wordWrap/>
              <w:overflowPunct/>
              <w:topLinePunct w:val="0"/>
              <w:autoSpaceDE w:val="0"/>
              <w:autoSpaceDN w:val="0"/>
              <w:bidi w:val="0"/>
              <w:adjustRightInd/>
              <w:snapToGrid/>
              <w:spacing w:line="320" w:lineRule="exact"/>
              <w:ind w:left="39"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高（低）压液化气体充装专项</w:t>
            </w:r>
          </w:p>
        </w:tc>
        <w:tc>
          <w:tcPr>
            <w:tcW w:w="2455" w:type="dxa"/>
            <w:vAlign w:val="center"/>
          </w:tcPr>
          <w:p>
            <w:pPr>
              <w:keepNext w:val="0"/>
              <w:keepLines w:val="0"/>
              <w:pageBreakBefore w:val="0"/>
              <w:kinsoku/>
              <w:wordWrap/>
              <w:overflowPunct/>
              <w:topLinePunct w:val="0"/>
              <w:autoSpaceDE w:val="0"/>
              <w:autoSpaceDN w:val="0"/>
              <w:bidi w:val="0"/>
              <w:adjustRightInd/>
              <w:snapToGrid/>
              <w:spacing w:before="4" w:line="320" w:lineRule="exact"/>
              <w:ind w:left="39" w:right="-138" w:rightChars="-43"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充装前未逐瓶称重（车用气瓶除外）</w:t>
            </w:r>
          </w:p>
        </w:tc>
        <w:tc>
          <w:tcPr>
            <w:tcW w:w="5229" w:type="dxa"/>
            <w:vAlign w:val="center"/>
          </w:tcPr>
          <w:p>
            <w:pPr>
              <w:keepNext w:val="0"/>
              <w:keepLines w:val="0"/>
              <w:pageBreakBefore w:val="0"/>
              <w:kinsoku/>
              <w:wordWrap/>
              <w:overflowPunct/>
              <w:topLinePunct w:val="0"/>
              <w:autoSpaceDE w:val="0"/>
              <w:autoSpaceDN w:val="0"/>
              <w:bidi w:val="0"/>
              <w:adjustRightInd/>
              <w:snapToGrid/>
              <w:spacing w:before="4" w:line="320" w:lineRule="exact"/>
              <w:ind w:left="39" w:right="142"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充装前逐瓶称重（车用气瓶除外）</w:t>
            </w:r>
          </w:p>
        </w:tc>
        <w:tc>
          <w:tcPr>
            <w:tcW w:w="1714" w:type="dxa"/>
            <w:tcBorders>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日管控</w:t>
            </w:r>
          </w:p>
        </w:tc>
        <w:tc>
          <w:tcPr>
            <w:tcW w:w="1763" w:type="dxa"/>
            <w:tcBorders>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安全员</w:t>
            </w:r>
          </w:p>
        </w:tc>
        <w:tc>
          <w:tcPr>
            <w:tcW w:w="1234" w:type="dxa"/>
            <w:vAlign w:val="center"/>
          </w:tcPr>
          <w:p>
            <w:pPr>
              <w:keepNext w:val="0"/>
              <w:keepLines w:val="0"/>
              <w:pageBreakBefore w:val="0"/>
              <w:widowControl/>
              <w:kinsoku/>
              <w:wordWrap/>
              <w:overflowPunct/>
              <w:topLinePunct w:val="0"/>
              <w:bidi w:val="0"/>
              <w:adjustRightInd/>
              <w:snapToGrid/>
              <w:spacing w:before="100" w:beforeAutospacing="1" w:line="320" w:lineRule="exact"/>
              <w:ind w:firstLine="0" w:firstLineChars="0"/>
              <w:jc w:val="left"/>
              <w:textAlignment w:val="auto"/>
              <w:rPr>
                <w:rFonts w:hint="eastAsia" w:asciiTheme="minorEastAsia" w:hAnsiTheme="minorEastAsia" w:eastAsiaTheme="minorEastAsia" w:cstheme="minorEastAsia"/>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48" w:hRule="atLeast"/>
        </w:trPr>
        <w:tc>
          <w:tcPr>
            <w:tcW w:w="824" w:type="dxa"/>
            <w:tcBorders>
              <w:bottom w:val="single" w:color="auto" w:sz="4" w:space="0"/>
            </w:tcBorders>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52</w:t>
            </w:r>
          </w:p>
        </w:tc>
        <w:tc>
          <w:tcPr>
            <w:tcW w:w="1523" w:type="dxa"/>
            <w:vMerge w:val="continue"/>
            <w:vAlign w:val="center"/>
          </w:tcPr>
          <w:p>
            <w:pPr>
              <w:keepNext w:val="0"/>
              <w:keepLines w:val="0"/>
              <w:pageBreakBefore w:val="0"/>
              <w:kinsoku/>
              <w:wordWrap/>
              <w:overflowPunct/>
              <w:topLinePunct w:val="0"/>
              <w:autoSpaceDE w:val="0"/>
              <w:autoSpaceDN w:val="0"/>
              <w:bidi w:val="0"/>
              <w:adjustRightInd/>
              <w:snapToGrid/>
              <w:spacing w:line="320" w:lineRule="exact"/>
              <w:ind w:left="39" w:firstLine="0" w:firstLineChars="0"/>
              <w:jc w:val="left"/>
              <w:textAlignment w:val="auto"/>
              <w:rPr>
                <w:rFonts w:hint="eastAsia" w:asciiTheme="minorEastAsia" w:hAnsiTheme="minorEastAsia" w:eastAsiaTheme="minorEastAsia" w:cstheme="minorEastAsia"/>
                <w:bCs/>
                <w:kern w:val="0"/>
                <w:sz w:val="24"/>
                <w:szCs w:val="24"/>
              </w:rPr>
            </w:pPr>
          </w:p>
        </w:tc>
        <w:tc>
          <w:tcPr>
            <w:tcW w:w="2455" w:type="dxa"/>
            <w:vAlign w:val="center"/>
          </w:tcPr>
          <w:p>
            <w:pPr>
              <w:keepNext w:val="0"/>
              <w:keepLines w:val="0"/>
              <w:pageBreakBefore w:val="0"/>
              <w:kinsoku/>
              <w:wordWrap/>
              <w:overflowPunct/>
              <w:topLinePunct w:val="0"/>
              <w:autoSpaceDE w:val="0"/>
              <w:autoSpaceDN w:val="0"/>
              <w:bidi w:val="0"/>
              <w:adjustRightInd/>
              <w:snapToGrid/>
              <w:spacing w:before="4" w:line="320" w:lineRule="exact"/>
              <w:ind w:left="39" w:right="-138" w:rightChars="-43"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未设置复检衡器，对充装量逐瓶复检；自动化充装对，未按照批量抽样有关规定进行复检；充装超量对气瓶未及时采取有效措施进行处置</w:t>
            </w:r>
          </w:p>
        </w:tc>
        <w:tc>
          <w:tcPr>
            <w:tcW w:w="5229" w:type="dxa"/>
            <w:vAlign w:val="center"/>
          </w:tcPr>
          <w:p>
            <w:pPr>
              <w:keepNext w:val="0"/>
              <w:keepLines w:val="0"/>
              <w:pageBreakBefore w:val="0"/>
              <w:kinsoku/>
              <w:wordWrap/>
              <w:overflowPunct/>
              <w:topLinePunct w:val="0"/>
              <w:autoSpaceDE w:val="0"/>
              <w:autoSpaceDN w:val="0"/>
              <w:bidi w:val="0"/>
              <w:adjustRightInd/>
              <w:snapToGrid/>
              <w:spacing w:before="4" w:line="320" w:lineRule="exact"/>
              <w:ind w:right="142"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1.设置复检衡器，对充装量逐瓶复检；</w:t>
            </w:r>
          </w:p>
          <w:p>
            <w:pPr>
              <w:keepNext w:val="0"/>
              <w:keepLines w:val="0"/>
              <w:pageBreakBefore w:val="0"/>
              <w:kinsoku/>
              <w:wordWrap/>
              <w:overflowPunct/>
              <w:topLinePunct w:val="0"/>
              <w:autoSpaceDE w:val="0"/>
              <w:autoSpaceDN w:val="0"/>
              <w:bidi w:val="0"/>
              <w:adjustRightInd/>
              <w:snapToGrid/>
              <w:spacing w:before="4" w:line="320" w:lineRule="exact"/>
              <w:ind w:right="142"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2.自动化充装对，按照批量抽样有关规定进行复检；</w:t>
            </w:r>
          </w:p>
          <w:p>
            <w:pPr>
              <w:keepNext w:val="0"/>
              <w:keepLines w:val="0"/>
              <w:pageBreakBefore w:val="0"/>
              <w:kinsoku/>
              <w:wordWrap/>
              <w:overflowPunct/>
              <w:topLinePunct w:val="0"/>
              <w:autoSpaceDE w:val="0"/>
              <w:autoSpaceDN w:val="0"/>
              <w:bidi w:val="0"/>
              <w:adjustRightInd/>
              <w:snapToGrid/>
              <w:spacing w:before="4" w:line="320" w:lineRule="exact"/>
              <w:ind w:right="142"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3.充装超量对气瓶及时采取有效措施进行处置</w:t>
            </w:r>
          </w:p>
        </w:tc>
        <w:tc>
          <w:tcPr>
            <w:tcW w:w="1714" w:type="dxa"/>
            <w:tcBorders>
              <w:top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日管控</w:t>
            </w:r>
          </w:p>
        </w:tc>
        <w:tc>
          <w:tcPr>
            <w:tcW w:w="1763" w:type="dxa"/>
            <w:tcBorders>
              <w:top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安全员</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0000FF"/>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08" w:hRule="atLeast"/>
        </w:trPr>
        <w:tc>
          <w:tcPr>
            <w:tcW w:w="824" w:type="dxa"/>
            <w:tcBorders>
              <w:top w:val="single" w:color="auto" w:sz="4" w:space="0"/>
              <w:bottom w:val="single" w:color="auto" w:sz="4" w:space="0"/>
            </w:tcBorders>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53</w:t>
            </w:r>
          </w:p>
        </w:tc>
        <w:tc>
          <w:tcPr>
            <w:tcW w:w="1523" w:type="dxa"/>
            <w:vMerge w:val="continue"/>
            <w:vAlign w:val="center"/>
          </w:tcPr>
          <w:p>
            <w:pPr>
              <w:keepNext w:val="0"/>
              <w:keepLines w:val="0"/>
              <w:pageBreakBefore w:val="0"/>
              <w:kinsoku/>
              <w:wordWrap/>
              <w:overflowPunct/>
              <w:topLinePunct w:val="0"/>
              <w:autoSpaceDE w:val="0"/>
              <w:autoSpaceDN w:val="0"/>
              <w:bidi w:val="0"/>
              <w:adjustRightInd/>
              <w:snapToGrid/>
              <w:spacing w:line="320" w:lineRule="exact"/>
              <w:ind w:left="39" w:firstLine="0" w:firstLineChars="0"/>
              <w:jc w:val="left"/>
              <w:textAlignment w:val="auto"/>
              <w:rPr>
                <w:rFonts w:hint="eastAsia" w:asciiTheme="minorEastAsia" w:hAnsiTheme="minorEastAsia" w:eastAsiaTheme="minorEastAsia" w:cstheme="minorEastAsia"/>
                <w:bCs/>
                <w:kern w:val="0"/>
                <w:sz w:val="24"/>
                <w:szCs w:val="24"/>
              </w:rPr>
            </w:pPr>
          </w:p>
        </w:tc>
        <w:tc>
          <w:tcPr>
            <w:tcW w:w="2455" w:type="dxa"/>
            <w:vAlign w:val="center"/>
          </w:tcPr>
          <w:p>
            <w:pPr>
              <w:keepNext w:val="0"/>
              <w:keepLines w:val="0"/>
              <w:pageBreakBefore w:val="0"/>
              <w:kinsoku/>
              <w:wordWrap/>
              <w:overflowPunct/>
              <w:topLinePunct w:val="0"/>
              <w:autoSpaceDE w:val="0"/>
              <w:autoSpaceDN w:val="0"/>
              <w:bidi w:val="0"/>
              <w:adjustRightInd/>
              <w:snapToGrid/>
              <w:spacing w:before="4" w:line="320" w:lineRule="exact"/>
              <w:ind w:left="39" w:right="-138" w:rightChars="-43"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液氨、液氯等毒性气体充装，不具有回收或处理瓶内余气的装置，未安装在可防止充装时气体溢出的负压操作 系统上</w:t>
            </w:r>
          </w:p>
        </w:tc>
        <w:tc>
          <w:tcPr>
            <w:tcW w:w="5229" w:type="dxa"/>
            <w:vAlign w:val="center"/>
          </w:tcPr>
          <w:p>
            <w:pPr>
              <w:keepNext w:val="0"/>
              <w:keepLines w:val="0"/>
              <w:pageBreakBefore w:val="0"/>
              <w:kinsoku/>
              <w:wordWrap/>
              <w:overflowPunct/>
              <w:topLinePunct w:val="0"/>
              <w:autoSpaceDE w:val="0"/>
              <w:autoSpaceDN w:val="0"/>
              <w:bidi w:val="0"/>
              <w:adjustRightInd/>
              <w:snapToGrid/>
              <w:spacing w:before="4" w:line="320" w:lineRule="exact"/>
              <w:ind w:right="142"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1.液氨、液氯等毒性气体充装，应具有回收或处理瓶内余气的装置；</w:t>
            </w:r>
          </w:p>
          <w:p>
            <w:pPr>
              <w:keepNext w:val="0"/>
              <w:keepLines w:val="0"/>
              <w:pageBreakBefore w:val="0"/>
              <w:kinsoku/>
              <w:wordWrap/>
              <w:overflowPunct/>
              <w:topLinePunct w:val="0"/>
              <w:autoSpaceDE w:val="0"/>
              <w:autoSpaceDN w:val="0"/>
              <w:bidi w:val="0"/>
              <w:adjustRightInd/>
              <w:snapToGrid/>
              <w:spacing w:before="4" w:line="320" w:lineRule="exact"/>
              <w:ind w:right="142"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2.安装在可防止充装时气体溢出的负压操作系统上</w:t>
            </w:r>
          </w:p>
        </w:tc>
        <w:tc>
          <w:tcPr>
            <w:tcW w:w="1714" w:type="dxa"/>
            <w:tcBorders>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周排查</w:t>
            </w:r>
          </w:p>
        </w:tc>
        <w:tc>
          <w:tcPr>
            <w:tcW w:w="1763" w:type="dxa"/>
            <w:tcBorders>
              <w:bottom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安全总监</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0000FF"/>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824" w:type="dxa"/>
            <w:tcBorders>
              <w:top w:val="single" w:color="auto" w:sz="4" w:space="0"/>
            </w:tcBorders>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54</w:t>
            </w:r>
          </w:p>
        </w:tc>
        <w:tc>
          <w:tcPr>
            <w:tcW w:w="1523" w:type="dxa"/>
            <w:vMerge w:val="continue"/>
            <w:vAlign w:val="center"/>
          </w:tcPr>
          <w:p>
            <w:pPr>
              <w:keepNext w:val="0"/>
              <w:keepLines w:val="0"/>
              <w:pageBreakBefore w:val="0"/>
              <w:kinsoku/>
              <w:wordWrap/>
              <w:overflowPunct/>
              <w:topLinePunct w:val="0"/>
              <w:autoSpaceDE w:val="0"/>
              <w:autoSpaceDN w:val="0"/>
              <w:bidi w:val="0"/>
              <w:adjustRightInd/>
              <w:snapToGrid/>
              <w:spacing w:line="320" w:lineRule="exact"/>
              <w:ind w:left="39" w:firstLine="0" w:firstLineChars="0"/>
              <w:jc w:val="left"/>
              <w:textAlignment w:val="auto"/>
              <w:rPr>
                <w:rFonts w:hint="eastAsia" w:asciiTheme="minorEastAsia" w:hAnsiTheme="minorEastAsia" w:eastAsiaTheme="minorEastAsia" w:cstheme="minorEastAsia"/>
                <w:bCs/>
                <w:kern w:val="0"/>
                <w:sz w:val="24"/>
                <w:szCs w:val="24"/>
              </w:rPr>
            </w:pPr>
          </w:p>
        </w:tc>
        <w:tc>
          <w:tcPr>
            <w:tcW w:w="2455" w:type="dxa"/>
            <w:vAlign w:val="center"/>
          </w:tcPr>
          <w:p>
            <w:pPr>
              <w:keepNext w:val="0"/>
              <w:keepLines w:val="0"/>
              <w:pageBreakBefore w:val="0"/>
              <w:kinsoku/>
              <w:wordWrap/>
              <w:overflowPunct/>
              <w:topLinePunct w:val="0"/>
              <w:autoSpaceDE w:val="0"/>
              <w:autoSpaceDN w:val="0"/>
              <w:bidi w:val="0"/>
              <w:adjustRightInd/>
              <w:snapToGrid/>
              <w:spacing w:before="4" w:line="320" w:lineRule="exact"/>
              <w:ind w:left="39" w:right="-138" w:rightChars="-43"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衡器未装设超装报警或者自动切断气源的装置</w:t>
            </w:r>
          </w:p>
        </w:tc>
        <w:tc>
          <w:tcPr>
            <w:tcW w:w="5229" w:type="dxa"/>
            <w:vAlign w:val="center"/>
          </w:tcPr>
          <w:p>
            <w:pPr>
              <w:keepNext w:val="0"/>
              <w:keepLines w:val="0"/>
              <w:pageBreakBefore w:val="0"/>
              <w:kinsoku/>
              <w:wordWrap/>
              <w:overflowPunct/>
              <w:topLinePunct w:val="0"/>
              <w:autoSpaceDE w:val="0"/>
              <w:autoSpaceDN w:val="0"/>
              <w:bidi w:val="0"/>
              <w:adjustRightInd/>
              <w:snapToGrid/>
              <w:spacing w:before="4" w:line="320" w:lineRule="exact"/>
              <w:ind w:right="142"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衡器应装设超装报警或者自动切断气源的装置</w:t>
            </w:r>
          </w:p>
        </w:tc>
        <w:tc>
          <w:tcPr>
            <w:tcW w:w="1714" w:type="dxa"/>
            <w:tcBorders>
              <w:top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周排查</w:t>
            </w:r>
          </w:p>
        </w:tc>
        <w:tc>
          <w:tcPr>
            <w:tcW w:w="1763" w:type="dxa"/>
            <w:tcBorders>
              <w:top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安全总监</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0000FF"/>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7" w:hRule="atLeast"/>
        </w:trPr>
        <w:tc>
          <w:tcPr>
            <w:tcW w:w="82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55</w:t>
            </w:r>
          </w:p>
        </w:tc>
        <w:tc>
          <w:tcPr>
            <w:tcW w:w="1523" w:type="dxa"/>
            <w:vMerge w:val="continue"/>
            <w:vAlign w:val="center"/>
          </w:tcPr>
          <w:p>
            <w:pPr>
              <w:keepNext w:val="0"/>
              <w:keepLines w:val="0"/>
              <w:pageBreakBefore w:val="0"/>
              <w:kinsoku/>
              <w:wordWrap/>
              <w:overflowPunct/>
              <w:topLinePunct w:val="0"/>
              <w:autoSpaceDE w:val="0"/>
              <w:autoSpaceDN w:val="0"/>
              <w:bidi w:val="0"/>
              <w:adjustRightInd/>
              <w:snapToGrid/>
              <w:spacing w:line="320" w:lineRule="exact"/>
              <w:ind w:left="39" w:firstLine="0" w:firstLineChars="0"/>
              <w:jc w:val="left"/>
              <w:textAlignment w:val="auto"/>
              <w:rPr>
                <w:rFonts w:hint="eastAsia" w:asciiTheme="minorEastAsia" w:hAnsiTheme="minorEastAsia" w:eastAsiaTheme="minorEastAsia" w:cstheme="minorEastAsia"/>
                <w:bCs/>
                <w:kern w:val="0"/>
                <w:sz w:val="24"/>
                <w:szCs w:val="24"/>
              </w:rPr>
            </w:pPr>
          </w:p>
        </w:tc>
        <w:tc>
          <w:tcPr>
            <w:tcW w:w="2455" w:type="dxa"/>
            <w:vAlign w:val="center"/>
          </w:tcPr>
          <w:p>
            <w:pPr>
              <w:keepNext w:val="0"/>
              <w:keepLines w:val="0"/>
              <w:pageBreakBefore w:val="0"/>
              <w:kinsoku/>
              <w:wordWrap/>
              <w:overflowPunct/>
              <w:topLinePunct w:val="0"/>
              <w:autoSpaceDE w:val="0"/>
              <w:autoSpaceDN w:val="0"/>
              <w:bidi w:val="0"/>
              <w:adjustRightInd/>
              <w:snapToGrid/>
              <w:spacing w:before="4" w:line="320" w:lineRule="exact"/>
              <w:ind w:left="39" w:right="-138" w:rightChars="-43"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液化天然气充装，在用于移动式压力容器的卸液装置液相管道上未装设切断阀和止回阀，气相管道上装设切断阀</w:t>
            </w:r>
          </w:p>
        </w:tc>
        <w:tc>
          <w:tcPr>
            <w:tcW w:w="5229" w:type="dxa"/>
            <w:vAlign w:val="center"/>
          </w:tcPr>
          <w:p>
            <w:pPr>
              <w:keepNext w:val="0"/>
              <w:keepLines w:val="0"/>
              <w:pageBreakBefore w:val="0"/>
              <w:kinsoku/>
              <w:wordWrap/>
              <w:overflowPunct/>
              <w:topLinePunct w:val="0"/>
              <w:autoSpaceDE w:val="0"/>
              <w:autoSpaceDN w:val="0"/>
              <w:bidi w:val="0"/>
              <w:adjustRightInd/>
              <w:snapToGrid/>
              <w:spacing w:before="4" w:line="320" w:lineRule="exact"/>
              <w:ind w:right="142"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在用于移动式压力容器的卸液装置液相管道上应装设切断阀和止回阀，气相管道上装设切断阀</w:t>
            </w:r>
          </w:p>
        </w:tc>
        <w:tc>
          <w:tcPr>
            <w:tcW w:w="1714" w:type="dxa"/>
            <w:tcBorders>
              <w:top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周排查</w:t>
            </w:r>
          </w:p>
        </w:tc>
        <w:tc>
          <w:tcPr>
            <w:tcW w:w="1763" w:type="dxa"/>
            <w:tcBorders>
              <w:top w:val="single" w:color="auto" w:sz="4" w:space="0"/>
            </w:tcBorders>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安全总监</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0000FF"/>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7" w:hRule="atLeast"/>
        </w:trPr>
        <w:tc>
          <w:tcPr>
            <w:tcW w:w="82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56</w:t>
            </w:r>
          </w:p>
        </w:tc>
        <w:tc>
          <w:tcPr>
            <w:tcW w:w="1523" w:type="dxa"/>
            <w:vAlign w:val="center"/>
          </w:tcPr>
          <w:p>
            <w:pPr>
              <w:keepNext w:val="0"/>
              <w:keepLines w:val="0"/>
              <w:pageBreakBefore w:val="0"/>
              <w:kinsoku/>
              <w:wordWrap/>
              <w:overflowPunct/>
              <w:topLinePunct w:val="0"/>
              <w:autoSpaceDE w:val="0"/>
              <w:autoSpaceDN w:val="0"/>
              <w:bidi w:val="0"/>
              <w:adjustRightInd/>
              <w:snapToGrid/>
              <w:spacing w:line="320" w:lineRule="exact"/>
              <w:ind w:left="39"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sz w:val="24"/>
                <w:szCs w:val="24"/>
              </w:rPr>
              <w:t>低温液化气体充装</w:t>
            </w:r>
          </w:p>
        </w:tc>
        <w:tc>
          <w:tcPr>
            <w:tcW w:w="2455" w:type="dxa"/>
            <w:vAlign w:val="center"/>
          </w:tcPr>
          <w:p>
            <w:pPr>
              <w:keepNext w:val="0"/>
              <w:keepLines w:val="0"/>
              <w:pageBreakBefore w:val="0"/>
              <w:kinsoku/>
              <w:wordWrap/>
              <w:overflowPunct/>
              <w:topLinePunct w:val="0"/>
              <w:autoSpaceDE w:val="0"/>
              <w:autoSpaceDN w:val="0"/>
              <w:bidi w:val="0"/>
              <w:adjustRightInd/>
              <w:snapToGrid/>
              <w:spacing w:before="4" w:line="320" w:lineRule="exact"/>
              <w:ind w:left="39" w:right="142"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汽化器出口未装设温度、压力控制报警系统和联锁停泵装置</w:t>
            </w:r>
          </w:p>
        </w:tc>
        <w:tc>
          <w:tcPr>
            <w:tcW w:w="5229" w:type="dxa"/>
            <w:vAlign w:val="center"/>
          </w:tcPr>
          <w:p>
            <w:pPr>
              <w:keepNext w:val="0"/>
              <w:keepLines w:val="0"/>
              <w:pageBreakBefore w:val="0"/>
              <w:kinsoku/>
              <w:wordWrap/>
              <w:overflowPunct/>
              <w:topLinePunct w:val="0"/>
              <w:autoSpaceDE w:val="0"/>
              <w:autoSpaceDN w:val="0"/>
              <w:bidi w:val="0"/>
              <w:adjustRightInd/>
              <w:snapToGrid/>
              <w:spacing w:before="4" w:line="320" w:lineRule="exact"/>
              <w:ind w:right="142"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1.安装规定要求对汽化器出口装设温度、压力控制报警系统和联锁停泵装置；</w:t>
            </w:r>
          </w:p>
          <w:p>
            <w:pPr>
              <w:keepNext w:val="0"/>
              <w:keepLines w:val="0"/>
              <w:pageBreakBefore w:val="0"/>
              <w:kinsoku/>
              <w:wordWrap/>
              <w:overflowPunct/>
              <w:topLinePunct w:val="0"/>
              <w:autoSpaceDE w:val="0"/>
              <w:autoSpaceDN w:val="0"/>
              <w:bidi w:val="0"/>
              <w:adjustRightInd/>
              <w:snapToGrid/>
              <w:spacing w:before="4" w:line="320" w:lineRule="exact"/>
              <w:ind w:right="142"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2.定期对汽化器出口的温度、压力控制报警系统和联锁停泵装置进行检查和调试</w:t>
            </w:r>
          </w:p>
        </w:tc>
        <w:tc>
          <w:tcPr>
            <w:tcW w:w="1714"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周排查</w:t>
            </w:r>
          </w:p>
        </w:tc>
        <w:tc>
          <w:tcPr>
            <w:tcW w:w="1763"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安全总监</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0000FF"/>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7" w:hRule="atLeast"/>
        </w:trPr>
        <w:tc>
          <w:tcPr>
            <w:tcW w:w="82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57</w:t>
            </w:r>
          </w:p>
        </w:tc>
        <w:tc>
          <w:tcPr>
            <w:tcW w:w="1523" w:type="dxa"/>
            <w:vMerge w:val="restart"/>
            <w:vAlign w:val="center"/>
          </w:tcPr>
          <w:p>
            <w:pPr>
              <w:keepNext w:val="0"/>
              <w:keepLines w:val="0"/>
              <w:pageBreakBefore w:val="0"/>
              <w:kinsoku/>
              <w:wordWrap/>
              <w:overflowPunct/>
              <w:topLinePunct w:val="0"/>
              <w:autoSpaceDE w:val="0"/>
              <w:autoSpaceDN w:val="0"/>
              <w:bidi w:val="0"/>
              <w:adjustRightInd/>
              <w:snapToGrid/>
              <w:spacing w:line="320" w:lineRule="exact"/>
              <w:ind w:left="39"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溶解气体充装专项</w:t>
            </w:r>
          </w:p>
        </w:tc>
        <w:tc>
          <w:tcPr>
            <w:tcW w:w="2455" w:type="dxa"/>
            <w:vAlign w:val="center"/>
          </w:tcPr>
          <w:p>
            <w:pPr>
              <w:keepNext w:val="0"/>
              <w:keepLines w:val="0"/>
              <w:pageBreakBefore w:val="0"/>
              <w:kinsoku/>
              <w:wordWrap/>
              <w:overflowPunct/>
              <w:topLinePunct w:val="0"/>
              <w:autoSpaceDE w:val="0"/>
              <w:autoSpaceDN w:val="0"/>
              <w:bidi w:val="0"/>
              <w:adjustRightInd/>
              <w:snapToGrid/>
              <w:spacing w:before="4" w:line="320" w:lineRule="exact"/>
              <w:ind w:left="39" w:right="142"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超量、超温、超速充装</w:t>
            </w:r>
          </w:p>
        </w:tc>
        <w:tc>
          <w:tcPr>
            <w:tcW w:w="5229" w:type="dxa"/>
            <w:vAlign w:val="center"/>
          </w:tcPr>
          <w:p>
            <w:pPr>
              <w:keepNext w:val="0"/>
              <w:keepLines w:val="0"/>
              <w:pageBreakBefore w:val="0"/>
              <w:kinsoku/>
              <w:wordWrap/>
              <w:overflowPunct/>
              <w:topLinePunct w:val="0"/>
              <w:autoSpaceDE w:val="0"/>
              <w:autoSpaceDN w:val="0"/>
              <w:bidi w:val="0"/>
              <w:adjustRightInd/>
              <w:snapToGrid/>
              <w:spacing w:before="4" w:line="320" w:lineRule="exact"/>
              <w:ind w:right="142"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1.充装前，应当测定溶剂和气体的补加量并按照测定量补加；</w:t>
            </w:r>
          </w:p>
          <w:p>
            <w:pPr>
              <w:keepNext w:val="0"/>
              <w:keepLines w:val="0"/>
              <w:pageBreakBefore w:val="0"/>
              <w:kinsoku/>
              <w:wordWrap/>
              <w:overflowPunct/>
              <w:topLinePunct w:val="0"/>
              <w:autoSpaceDE w:val="0"/>
              <w:autoSpaceDN w:val="0"/>
              <w:bidi w:val="0"/>
              <w:adjustRightInd/>
              <w:snapToGrid/>
              <w:spacing w:before="4" w:line="320" w:lineRule="exact"/>
              <w:ind w:right="142"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2.充装时，气瓶瓶壁温度不得超过40℃，充装溶解气体的容积流速应当小于0.015m3/h.L</w:t>
            </w:r>
          </w:p>
        </w:tc>
        <w:tc>
          <w:tcPr>
            <w:tcW w:w="1714"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日管控</w:t>
            </w:r>
          </w:p>
        </w:tc>
        <w:tc>
          <w:tcPr>
            <w:tcW w:w="1763"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安全员</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0000FF"/>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7" w:hRule="atLeast"/>
        </w:trPr>
        <w:tc>
          <w:tcPr>
            <w:tcW w:w="82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58</w:t>
            </w:r>
          </w:p>
        </w:tc>
        <w:tc>
          <w:tcPr>
            <w:tcW w:w="1523" w:type="dxa"/>
            <w:vMerge w:val="continue"/>
            <w:vAlign w:val="center"/>
          </w:tcPr>
          <w:p>
            <w:pPr>
              <w:keepNext w:val="0"/>
              <w:keepLines w:val="0"/>
              <w:pageBreakBefore w:val="0"/>
              <w:kinsoku/>
              <w:wordWrap/>
              <w:overflowPunct/>
              <w:topLinePunct w:val="0"/>
              <w:autoSpaceDE w:val="0"/>
              <w:autoSpaceDN w:val="0"/>
              <w:bidi w:val="0"/>
              <w:adjustRightInd/>
              <w:snapToGrid/>
              <w:spacing w:line="320" w:lineRule="exact"/>
              <w:ind w:left="39" w:firstLine="0" w:firstLineChars="0"/>
              <w:jc w:val="center"/>
              <w:textAlignment w:val="auto"/>
              <w:rPr>
                <w:rFonts w:hint="eastAsia" w:asciiTheme="minorEastAsia" w:hAnsiTheme="minorEastAsia" w:eastAsiaTheme="minorEastAsia" w:cstheme="minorEastAsia"/>
                <w:bCs/>
                <w:color w:val="0000FF"/>
                <w:kern w:val="0"/>
                <w:sz w:val="24"/>
                <w:szCs w:val="24"/>
              </w:rPr>
            </w:pPr>
          </w:p>
        </w:tc>
        <w:tc>
          <w:tcPr>
            <w:tcW w:w="2455" w:type="dxa"/>
            <w:vAlign w:val="center"/>
          </w:tcPr>
          <w:p>
            <w:pPr>
              <w:keepNext w:val="0"/>
              <w:keepLines w:val="0"/>
              <w:pageBreakBefore w:val="0"/>
              <w:kinsoku/>
              <w:wordWrap/>
              <w:overflowPunct/>
              <w:topLinePunct w:val="0"/>
              <w:autoSpaceDE w:val="0"/>
              <w:autoSpaceDN w:val="0"/>
              <w:bidi w:val="0"/>
              <w:adjustRightInd/>
              <w:snapToGrid/>
              <w:spacing w:before="4" w:line="320" w:lineRule="exact"/>
              <w:ind w:left="39" w:right="142"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未设置抽真空、测量瓶内余压、确定剩余溶剂和吸附气体介质量的装置</w:t>
            </w:r>
          </w:p>
        </w:tc>
        <w:tc>
          <w:tcPr>
            <w:tcW w:w="5229" w:type="dxa"/>
            <w:vAlign w:val="center"/>
          </w:tcPr>
          <w:p>
            <w:pPr>
              <w:keepNext w:val="0"/>
              <w:keepLines w:val="0"/>
              <w:pageBreakBefore w:val="0"/>
              <w:kinsoku/>
              <w:wordWrap/>
              <w:overflowPunct/>
              <w:topLinePunct w:val="0"/>
              <w:autoSpaceDE w:val="0"/>
              <w:autoSpaceDN w:val="0"/>
              <w:bidi w:val="0"/>
              <w:adjustRightInd/>
              <w:snapToGrid/>
              <w:spacing w:before="4" w:line="320" w:lineRule="exact"/>
              <w:ind w:left="39" w:right="142"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1．按照技术规范要求设置抽真空、测量瓶内余压、确定剩余溶剂和吸附气体介质量、补加溶剂和吸附气体介质量的装置；</w:t>
            </w:r>
          </w:p>
          <w:p>
            <w:pPr>
              <w:keepNext w:val="0"/>
              <w:keepLines w:val="0"/>
              <w:pageBreakBefore w:val="0"/>
              <w:kinsoku/>
              <w:wordWrap/>
              <w:overflowPunct/>
              <w:topLinePunct w:val="0"/>
              <w:autoSpaceDE w:val="0"/>
              <w:autoSpaceDN w:val="0"/>
              <w:bidi w:val="0"/>
              <w:adjustRightInd/>
              <w:snapToGrid/>
              <w:spacing w:before="4" w:line="320" w:lineRule="exact"/>
              <w:ind w:right="142"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2．按照要求对计量器具进行定期检验或校准</w:t>
            </w:r>
          </w:p>
        </w:tc>
        <w:tc>
          <w:tcPr>
            <w:tcW w:w="1714" w:type="dxa"/>
            <w:vMerge w:val="restart"/>
            <w:vAlign w:val="center"/>
          </w:tcPr>
          <w:p>
            <w:pPr>
              <w:keepNext w:val="0"/>
              <w:keepLines w:val="0"/>
              <w:pageBreakBefore w:val="0"/>
              <w:kinsoku/>
              <w:wordWrap/>
              <w:overflowPunct/>
              <w:topLinePunct w:val="0"/>
              <w:autoSpaceDE w:val="0"/>
              <w:autoSpaceDN w:val="0"/>
              <w:bidi w:val="0"/>
              <w:adjustRightInd/>
              <w:snapToGrid/>
              <w:spacing w:line="320" w:lineRule="exact"/>
              <w:ind w:left="39"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月调度</w:t>
            </w:r>
          </w:p>
        </w:tc>
        <w:tc>
          <w:tcPr>
            <w:tcW w:w="1763" w:type="dxa"/>
            <w:vMerge w:val="restart"/>
            <w:vAlign w:val="center"/>
          </w:tcPr>
          <w:p>
            <w:pPr>
              <w:keepNext w:val="0"/>
              <w:keepLines w:val="0"/>
              <w:pageBreakBefore w:val="0"/>
              <w:kinsoku/>
              <w:wordWrap/>
              <w:overflowPunct/>
              <w:topLinePunct w:val="0"/>
              <w:autoSpaceDE w:val="0"/>
              <w:autoSpaceDN w:val="0"/>
              <w:bidi w:val="0"/>
              <w:adjustRightInd/>
              <w:snapToGrid/>
              <w:spacing w:line="320" w:lineRule="exact"/>
              <w:ind w:left="39"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主要负责人</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0000FF"/>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7" w:hRule="atLeast"/>
        </w:trPr>
        <w:tc>
          <w:tcPr>
            <w:tcW w:w="82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59</w:t>
            </w:r>
          </w:p>
        </w:tc>
        <w:tc>
          <w:tcPr>
            <w:tcW w:w="1523" w:type="dxa"/>
            <w:vMerge w:val="continue"/>
            <w:vAlign w:val="center"/>
          </w:tcPr>
          <w:p>
            <w:pPr>
              <w:keepNext w:val="0"/>
              <w:keepLines w:val="0"/>
              <w:pageBreakBefore w:val="0"/>
              <w:kinsoku/>
              <w:wordWrap/>
              <w:overflowPunct/>
              <w:topLinePunct w:val="0"/>
              <w:autoSpaceDE w:val="0"/>
              <w:autoSpaceDN w:val="0"/>
              <w:bidi w:val="0"/>
              <w:adjustRightInd/>
              <w:snapToGrid/>
              <w:spacing w:line="320" w:lineRule="exact"/>
              <w:ind w:left="39" w:firstLine="0" w:firstLineChars="0"/>
              <w:jc w:val="center"/>
              <w:textAlignment w:val="auto"/>
              <w:rPr>
                <w:rFonts w:hint="eastAsia" w:asciiTheme="minorEastAsia" w:hAnsiTheme="minorEastAsia" w:eastAsiaTheme="minorEastAsia" w:cstheme="minorEastAsia"/>
                <w:bCs/>
                <w:color w:val="0000FF"/>
                <w:kern w:val="0"/>
                <w:sz w:val="24"/>
                <w:szCs w:val="24"/>
              </w:rPr>
            </w:pPr>
          </w:p>
        </w:tc>
        <w:tc>
          <w:tcPr>
            <w:tcW w:w="2455" w:type="dxa"/>
            <w:vAlign w:val="center"/>
          </w:tcPr>
          <w:p>
            <w:pPr>
              <w:keepNext w:val="0"/>
              <w:keepLines w:val="0"/>
              <w:pageBreakBefore w:val="0"/>
              <w:kinsoku/>
              <w:wordWrap/>
              <w:overflowPunct/>
              <w:topLinePunct w:val="0"/>
              <w:autoSpaceDE w:val="0"/>
              <w:autoSpaceDN w:val="0"/>
              <w:bidi w:val="0"/>
              <w:adjustRightInd/>
              <w:snapToGrid/>
              <w:spacing w:before="4" w:line="320" w:lineRule="exact"/>
              <w:ind w:left="39" w:right="142"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未设置冷却喷淋和紧急喷淋装置</w:t>
            </w:r>
          </w:p>
        </w:tc>
        <w:tc>
          <w:tcPr>
            <w:tcW w:w="5229" w:type="dxa"/>
            <w:vAlign w:val="center"/>
          </w:tcPr>
          <w:p>
            <w:pPr>
              <w:keepNext w:val="0"/>
              <w:keepLines w:val="0"/>
              <w:pageBreakBefore w:val="0"/>
              <w:kinsoku/>
              <w:wordWrap/>
              <w:overflowPunct/>
              <w:topLinePunct w:val="0"/>
              <w:autoSpaceDE w:val="0"/>
              <w:autoSpaceDN w:val="0"/>
              <w:bidi w:val="0"/>
              <w:adjustRightInd/>
              <w:snapToGrid/>
              <w:spacing w:before="4" w:line="320" w:lineRule="exact"/>
              <w:ind w:left="39" w:right="142" w:firstLine="0" w:firstLineChars="0"/>
              <w:jc w:val="left"/>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按照技术规范要求设置冷却喷淋和紧急喷淋装置，并定期进行调试</w:t>
            </w:r>
          </w:p>
        </w:tc>
        <w:tc>
          <w:tcPr>
            <w:tcW w:w="1714"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0000FF"/>
                <w:sz w:val="24"/>
                <w:szCs w:val="24"/>
              </w:rPr>
            </w:pPr>
          </w:p>
        </w:tc>
        <w:tc>
          <w:tcPr>
            <w:tcW w:w="176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0000FF"/>
                <w:sz w:val="24"/>
                <w:szCs w:val="24"/>
              </w:rPr>
            </w:pP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0000FF"/>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7" w:hRule="atLeast"/>
        </w:trPr>
        <w:tc>
          <w:tcPr>
            <w:tcW w:w="82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60</w:t>
            </w:r>
          </w:p>
        </w:tc>
        <w:tc>
          <w:tcPr>
            <w:tcW w:w="1523" w:type="dxa"/>
            <w:vMerge w:val="restart"/>
            <w:vAlign w:val="center"/>
          </w:tcPr>
          <w:p>
            <w:pPr>
              <w:keepNext w:val="0"/>
              <w:keepLines w:val="0"/>
              <w:pageBreakBefore w:val="0"/>
              <w:kinsoku/>
              <w:wordWrap/>
              <w:overflowPunct/>
              <w:topLinePunct w:val="0"/>
              <w:autoSpaceDE w:val="0"/>
              <w:autoSpaceDN w:val="0"/>
              <w:bidi w:val="0"/>
              <w:adjustRightInd/>
              <w:snapToGrid/>
              <w:spacing w:line="320" w:lineRule="exact"/>
              <w:ind w:left="39"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混合气体气瓶充装专项</w:t>
            </w:r>
          </w:p>
        </w:tc>
        <w:tc>
          <w:tcPr>
            <w:tcW w:w="2455" w:type="dxa"/>
            <w:vAlign w:val="center"/>
          </w:tcPr>
          <w:p>
            <w:pPr>
              <w:keepNext w:val="0"/>
              <w:keepLines w:val="0"/>
              <w:pageBreakBefore w:val="0"/>
              <w:widowControl/>
              <w:tabs>
                <w:tab w:val="left" w:pos="851"/>
              </w:tabs>
              <w:kinsoku/>
              <w:wordWrap/>
              <w:overflowPunct/>
              <w:topLinePunct w:val="0"/>
              <w:bidi w:val="0"/>
              <w:adjustRightInd/>
              <w:snapToGrid/>
              <w:spacing w:line="320" w:lineRule="exact"/>
              <w:ind w:firstLine="0" w:firstLineChars="0"/>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未按规定确定混合气体的气体组分量以及充入顺序</w:t>
            </w:r>
          </w:p>
        </w:tc>
        <w:tc>
          <w:tcPr>
            <w:tcW w:w="5229" w:type="dxa"/>
            <w:vAlign w:val="center"/>
          </w:tcPr>
          <w:p>
            <w:pPr>
              <w:keepNext w:val="0"/>
              <w:keepLines w:val="0"/>
              <w:pageBreakBefore w:val="0"/>
              <w:widowControl/>
              <w:tabs>
                <w:tab w:val="left" w:pos="851"/>
              </w:tabs>
              <w:kinsoku/>
              <w:wordWrap/>
              <w:overflowPunct/>
              <w:topLinePunct w:val="0"/>
              <w:bidi w:val="0"/>
              <w:adjustRightInd/>
              <w:snapToGrid/>
              <w:spacing w:line="320" w:lineRule="exact"/>
              <w:ind w:firstLine="0" w:firstLineChars="0"/>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1.确定混合气体的安全性；</w:t>
            </w:r>
          </w:p>
          <w:p>
            <w:pPr>
              <w:keepNext w:val="0"/>
              <w:keepLines w:val="0"/>
              <w:pageBreakBefore w:val="0"/>
              <w:widowControl/>
              <w:tabs>
                <w:tab w:val="left" w:pos="851"/>
              </w:tabs>
              <w:kinsoku/>
              <w:wordWrap/>
              <w:overflowPunct/>
              <w:topLinePunct w:val="0"/>
              <w:bidi w:val="0"/>
              <w:adjustRightInd/>
              <w:snapToGrid/>
              <w:spacing w:line="320" w:lineRule="exact"/>
              <w:ind w:firstLine="0" w:firstLineChars="0"/>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2.确定混合气体组分与材料的相容性；</w:t>
            </w:r>
          </w:p>
          <w:p>
            <w:pPr>
              <w:keepNext w:val="0"/>
              <w:keepLines w:val="0"/>
              <w:pageBreakBefore w:val="0"/>
              <w:widowControl/>
              <w:tabs>
                <w:tab w:val="left" w:pos="851"/>
              </w:tabs>
              <w:kinsoku/>
              <w:wordWrap/>
              <w:overflowPunct/>
              <w:topLinePunct w:val="0"/>
              <w:bidi w:val="0"/>
              <w:adjustRightInd/>
              <w:snapToGrid/>
              <w:spacing w:line="320" w:lineRule="exact"/>
              <w:ind w:firstLine="0" w:firstLineChars="0"/>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3.确定要充入气瓶的气体组分量以及充入顺序</w:t>
            </w:r>
          </w:p>
        </w:tc>
        <w:tc>
          <w:tcPr>
            <w:tcW w:w="1714"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日管控</w:t>
            </w:r>
          </w:p>
        </w:tc>
        <w:tc>
          <w:tcPr>
            <w:tcW w:w="1763"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安全员</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0000FF"/>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7" w:hRule="atLeast"/>
        </w:trPr>
        <w:tc>
          <w:tcPr>
            <w:tcW w:w="82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61</w:t>
            </w:r>
          </w:p>
        </w:tc>
        <w:tc>
          <w:tcPr>
            <w:tcW w:w="1523" w:type="dxa"/>
            <w:vMerge w:val="continue"/>
            <w:vAlign w:val="center"/>
          </w:tcPr>
          <w:p>
            <w:pPr>
              <w:keepNext w:val="0"/>
              <w:keepLines w:val="0"/>
              <w:pageBreakBefore w:val="0"/>
              <w:kinsoku/>
              <w:wordWrap/>
              <w:overflowPunct/>
              <w:topLinePunct w:val="0"/>
              <w:autoSpaceDE w:val="0"/>
              <w:autoSpaceDN w:val="0"/>
              <w:bidi w:val="0"/>
              <w:adjustRightInd/>
              <w:snapToGrid/>
              <w:spacing w:line="320" w:lineRule="exact"/>
              <w:ind w:left="39" w:firstLine="0" w:firstLineChars="0"/>
              <w:textAlignment w:val="auto"/>
              <w:rPr>
                <w:rFonts w:hint="eastAsia" w:asciiTheme="minorEastAsia" w:hAnsiTheme="minorEastAsia" w:eastAsiaTheme="minorEastAsia" w:cstheme="minorEastAsia"/>
                <w:color w:val="FF0000"/>
                <w:spacing w:val="22"/>
                <w:sz w:val="24"/>
                <w:szCs w:val="24"/>
              </w:rPr>
            </w:pPr>
          </w:p>
        </w:tc>
        <w:tc>
          <w:tcPr>
            <w:tcW w:w="2455" w:type="dxa"/>
            <w:vAlign w:val="center"/>
          </w:tcPr>
          <w:p>
            <w:pPr>
              <w:keepNext w:val="0"/>
              <w:keepLines w:val="0"/>
              <w:pageBreakBefore w:val="0"/>
              <w:tabs>
                <w:tab w:val="left" w:pos="1006"/>
              </w:tabs>
              <w:kinsoku/>
              <w:wordWrap/>
              <w:overflowPunct/>
              <w:topLinePunct w:val="0"/>
              <w:bidi w:val="0"/>
              <w:adjustRightInd/>
              <w:snapToGrid/>
              <w:spacing w:line="320" w:lineRule="exact"/>
              <w:ind w:firstLine="0" w:firstLineChars="0"/>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充装每一气体组分之前，未使用待充装的气体对充装装置和管道进行置换</w:t>
            </w:r>
          </w:p>
        </w:tc>
        <w:tc>
          <w:tcPr>
            <w:tcW w:w="5229" w:type="dxa"/>
            <w:vAlign w:val="center"/>
          </w:tcPr>
          <w:p>
            <w:pPr>
              <w:keepNext w:val="0"/>
              <w:keepLines w:val="0"/>
              <w:pageBreakBefore w:val="0"/>
              <w:tabs>
                <w:tab w:val="left" w:pos="1006"/>
              </w:tabs>
              <w:kinsoku/>
              <w:wordWrap/>
              <w:overflowPunct/>
              <w:topLinePunct w:val="0"/>
              <w:bidi w:val="0"/>
              <w:adjustRightInd/>
              <w:snapToGrid/>
              <w:spacing w:line="320" w:lineRule="exact"/>
              <w:ind w:firstLine="0" w:firstLineChars="0"/>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充装每一气体组分之前，应当使用待充装的气体对充装装置和管道进行置换</w:t>
            </w:r>
          </w:p>
        </w:tc>
        <w:tc>
          <w:tcPr>
            <w:tcW w:w="1714"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FF0000"/>
                <w:sz w:val="24"/>
                <w:szCs w:val="24"/>
              </w:rPr>
            </w:pPr>
          </w:p>
        </w:tc>
        <w:tc>
          <w:tcPr>
            <w:tcW w:w="176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FF0000"/>
                <w:sz w:val="24"/>
                <w:szCs w:val="24"/>
              </w:rPr>
            </w:pP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0000FF"/>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2" w:hRule="atLeast"/>
        </w:trPr>
        <w:tc>
          <w:tcPr>
            <w:tcW w:w="82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62</w:t>
            </w:r>
          </w:p>
        </w:tc>
        <w:tc>
          <w:tcPr>
            <w:tcW w:w="1523" w:type="dxa"/>
            <w:vMerge w:val="restart"/>
            <w:vAlign w:val="center"/>
          </w:tcPr>
          <w:p>
            <w:pPr>
              <w:keepNext w:val="0"/>
              <w:keepLines w:val="0"/>
              <w:pageBreakBefore w:val="0"/>
              <w:kinsoku/>
              <w:wordWrap/>
              <w:overflowPunct/>
              <w:topLinePunct w:val="0"/>
              <w:autoSpaceDE w:val="0"/>
              <w:autoSpaceDN w:val="0"/>
              <w:bidi w:val="0"/>
              <w:adjustRightInd/>
              <w:snapToGrid/>
              <w:spacing w:line="320" w:lineRule="exact"/>
              <w:ind w:left="39"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车用气瓶充装</w:t>
            </w:r>
          </w:p>
        </w:tc>
        <w:tc>
          <w:tcPr>
            <w:tcW w:w="2455" w:type="dxa"/>
            <w:vAlign w:val="center"/>
          </w:tcPr>
          <w:p>
            <w:pPr>
              <w:keepNext w:val="0"/>
              <w:keepLines w:val="0"/>
              <w:pageBreakBefore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充装场所未严格执行禁烟禁火规定，充装时司乘人员未离车</w:t>
            </w:r>
          </w:p>
        </w:tc>
        <w:tc>
          <w:tcPr>
            <w:tcW w:w="5229" w:type="dxa"/>
            <w:vAlign w:val="center"/>
          </w:tcPr>
          <w:p>
            <w:pPr>
              <w:keepNext w:val="0"/>
              <w:keepLines w:val="0"/>
              <w:pageBreakBefore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现场设置醒目安全警示标志，加强司乘等外来人员管控，严格落实充装站区禁烟禁火防爆要求</w:t>
            </w:r>
          </w:p>
        </w:tc>
        <w:tc>
          <w:tcPr>
            <w:tcW w:w="1714" w:type="dxa"/>
            <w:vAlign w:val="center"/>
          </w:tcPr>
          <w:p>
            <w:pPr>
              <w:keepNext w:val="0"/>
              <w:keepLines w:val="0"/>
              <w:pageBreakBefore w:val="0"/>
              <w:kinsoku/>
              <w:wordWrap/>
              <w:overflowPunct/>
              <w:topLinePunct w:val="0"/>
              <w:autoSpaceDE w:val="0"/>
              <w:autoSpaceDN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日管控</w:t>
            </w:r>
          </w:p>
        </w:tc>
        <w:tc>
          <w:tcPr>
            <w:tcW w:w="1763"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安全员</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0000FF"/>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37" w:hRule="atLeast"/>
        </w:trPr>
        <w:tc>
          <w:tcPr>
            <w:tcW w:w="82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63</w:t>
            </w:r>
          </w:p>
        </w:tc>
        <w:tc>
          <w:tcPr>
            <w:tcW w:w="1523" w:type="dxa"/>
            <w:vMerge w:val="continue"/>
            <w:vAlign w:val="center"/>
          </w:tcPr>
          <w:p>
            <w:pPr>
              <w:keepNext w:val="0"/>
              <w:keepLines w:val="0"/>
              <w:pageBreakBefore w:val="0"/>
              <w:kinsoku/>
              <w:wordWrap/>
              <w:overflowPunct/>
              <w:topLinePunct w:val="0"/>
              <w:autoSpaceDE w:val="0"/>
              <w:autoSpaceDN w:val="0"/>
              <w:bidi w:val="0"/>
              <w:adjustRightInd/>
              <w:snapToGrid/>
              <w:spacing w:line="320" w:lineRule="exact"/>
              <w:ind w:left="39" w:firstLine="0" w:firstLineChars="0"/>
              <w:textAlignment w:val="auto"/>
              <w:rPr>
                <w:rFonts w:hint="eastAsia" w:asciiTheme="minorEastAsia" w:hAnsiTheme="minorEastAsia" w:eastAsiaTheme="minorEastAsia" w:cstheme="minorEastAsia"/>
                <w:bCs/>
                <w:kern w:val="0"/>
                <w:sz w:val="24"/>
                <w:szCs w:val="24"/>
              </w:rPr>
            </w:pPr>
          </w:p>
        </w:tc>
        <w:tc>
          <w:tcPr>
            <w:tcW w:w="2455" w:type="dxa"/>
            <w:vAlign w:val="center"/>
          </w:tcPr>
          <w:p>
            <w:pPr>
              <w:keepNext w:val="0"/>
              <w:keepLines w:val="0"/>
              <w:pageBreakBefore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充装装置缺少识读汽车车牌及气瓶电子标识标志的功能</w:t>
            </w:r>
          </w:p>
        </w:tc>
        <w:tc>
          <w:tcPr>
            <w:tcW w:w="5229" w:type="dxa"/>
            <w:vAlign w:val="center"/>
          </w:tcPr>
          <w:p>
            <w:pPr>
              <w:keepNext w:val="0"/>
              <w:keepLines w:val="0"/>
              <w:pageBreakBefore w:val="0"/>
              <w:kinsoku/>
              <w:wordWrap/>
              <w:overflowPunct/>
              <w:topLinePunct w:val="0"/>
              <w:autoSpaceDE w:val="0"/>
              <w:autoSpaceDN w:val="0"/>
              <w:bidi w:val="0"/>
              <w:adjustRightInd/>
              <w:snapToGrid/>
              <w:spacing w:line="320" w:lineRule="exact"/>
              <w:ind w:firstLine="0" w:firstLineChars="0"/>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配置具有识读功能、符合规定的充装装置</w:t>
            </w:r>
          </w:p>
        </w:tc>
        <w:tc>
          <w:tcPr>
            <w:tcW w:w="1714" w:type="dxa"/>
            <w:vAlign w:val="center"/>
          </w:tcPr>
          <w:p>
            <w:pPr>
              <w:keepNext w:val="0"/>
              <w:keepLines w:val="0"/>
              <w:pageBreakBefore w:val="0"/>
              <w:kinsoku/>
              <w:wordWrap/>
              <w:overflowPunct/>
              <w:topLinePunct w:val="0"/>
              <w:autoSpaceDE w:val="0"/>
              <w:autoSpaceDN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月调度</w:t>
            </w:r>
          </w:p>
        </w:tc>
        <w:tc>
          <w:tcPr>
            <w:tcW w:w="1763"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主要负责人</w:t>
            </w:r>
          </w:p>
        </w:tc>
        <w:tc>
          <w:tcPr>
            <w:tcW w:w="123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bCs/>
                <w:color w:val="0000FF"/>
                <w:sz w:val="24"/>
                <w:szCs w:val="24"/>
              </w:rPr>
            </w:pPr>
          </w:p>
        </w:tc>
      </w:tr>
    </w:tbl>
    <w:p>
      <w:pPr>
        <w:pStyle w:val="2"/>
        <w:spacing w:after="0"/>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备注：本清单为推荐性格式，仅规定了应当进行日管控、周排查、月调度的基本项目，气瓶充装单位应当结合本单位实际，细化风险管控清单，合理调整管控形式。</w:t>
      </w:r>
    </w:p>
    <w:p>
      <w:pPr>
        <w:pStyle w:val="2"/>
        <w:spacing w:after="0"/>
        <w:ind w:firstLine="562" w:firstLineChars="200"/>
        <w:rPr>
          <w:rFonts w:asciiTheme="minorEastAsia" w:hAnsiTheme="minorEastAsia" w:eastAsiaTheme="minorEastAsia" w:cstheme="minorEastAsia"/>
          <w:b/>
          <w:bCs/>
          <w:sz w:val="28"/>
          <w:szCs w:val="28"/>
        </w:rPr>
      </w:pPr>
    </w:p>
    <w:p>
      <w:pPr>
        <w:rPr>
          <w:rFonts w:hint="eastAsia" w:ascii="方正仿宋_GBK" w:hAnsi="方正仿宋_GBK" w:eastAsia="方正仿宋_GBK" w:cs="方正仿宋_GBK"/>
          <w:bCs/>
          <w:sz w:val="32"/>
          <w:szCs w:val="32"/>
        </w:rPr>
      </w:pPr>
      <w:bookmarkStart w:id="266" w:name="_Toc19536_WPSOffice_Level1"/>
      <w:r>
        <w:rPr>
          <w:rFonts w:hint="eastAsia" w:ascii="方正仿宋_GBK" w:hAnsi="方正仿宋_GBK" w:eastAsia="方正仿宋_GBK" w:cs="方正仿宋_GBK"/>
          <w:bCs/>
          <w:sz w:val="32"/>
          <w:szCs w:val="32"/>
        </w:rPr>
        <w:br w:type="page"/>
      </w:r>
    </w:p>
    <w:p>
      <w:pPr>
        <w:pStyle w:val="4"/>
        <w:bidi w:val="0"/>
        <w:jc w:val="left"/>
      </w:pPr>
      <w:bookmarkStart w:id="267" w:name="_Toc18279"/>
      <w:r>
        <w:rPr>
          <w:rFonts w:hint="eastAsia"/>
          <w:b w:val="0"/>
          <w:bCs/>
          <w:sz w:val="32"/>
          <w:szCs w:val="32"/>
        </w:rPr>
        <w:t>附录B4</w:t>
      </w:r>
      <w:r>
        <w:rPr>
          <w:rFonts w:hint="eastAsia"/>
        </w:rPr>
        <w:t xml:space="preserve">            </w:t>
      </w:r>
      <w:r>
        <w:rPr>
          <w:rFonts w:hint="eastAsia"/>
          <w:lang w:val="en-US" w:eastAsia="zh-CN"/>
        </w:rPr>
        <w:t xml:space="preserve">   </w:t>
      </w:r>
      <w:r>
        <w:rPr>
          <w:rFonts w:hint="eastAsia"/>
        </w:rPr>
        <w:t xml:space="preserve">  压力管道安全风险管控清单</w:t>
      </w:r>
      <w:bookmarkEnd w:id="266"/>
      <w:bookmarkEnd w:id="267"/>
    </w:p>
    <w:tbl>
      <w:tblPr>
        <w:tblStyle w:val="12"/>
        <w:tblW w:w="1419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05"/>
        <w:gridCol w:w="1364"/>
        <w:gridCol w:w="2904"/>
        <w:gridCol w:w="4855"/>
        <w:gridCol w:w="1623"/>
        <w:gridCol w:w="1456"/>
        <w:gridCol w:w="11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2" w:hRule="exact"/>
          <w:tblHeader/>
          <w:jc w:val="center"/>
        </w:trPr>
        <w:tc>
          <w:tcPr>
            <w:tcW w:w="805" w:type="dxa"/>
            <w:shd w:val="clear" w:color="auto" w:fill="BEBEBE" w:themeFill="background1" w:themeFillShade="BF"/>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序号</w:t>
            </w:r>
          </w:p>
        </w:tc>
        <w:tc>
          <w:tcPr>
            <w:tcW w:w="1364" w:type="dxa"/>
            <w:shd w:val="clear" w:color="auto" w:fill="BEBEBE" w:themeFill="background1" w:themeFillShade="BF"/>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风险类别</w:t>
            </w:r>
          </w:p>
        </w:tc>
        <w:tc>
          <w:tcPr>
            <w:tcW w:w="2904" w:type="dxa"/>
            <w:shd w:val="clear" w:color="auto" w:fill="BEBEBE" w:themeFill="background1" w:themeFillShade="BF"/>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bCs/>
                <w:kern w:val="0"/>
                <w:sz w:val="28"/>
                <w:szCs w:val="28"/>
              </w:rPr>
              <w:t>风险指标</w:t>
            </w:r>
          </w:p>
        </w:tc>
        <w:tc>
          <w:tcPr>
            <w:tcW w:w="4855" w:type="dxa"/>
            <w:shd w:val="clear" w:color="auto" w:fill="BEBEBE" w:themeFill="background1" w:themeFillShade="BF"/>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风险管控措施</w:t>
            </w:r>
          </w:p>
        </w:tc>
        <w:tc>
          <w:tcPr>
            <w:tcW w:w="1623" w:type="dxa"/>
            <w:shd w:val="clear" w:color="auto" w:fill="BEBEBE" w:themeFill="background1" w:themeFillShade="BF"/>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管控形式</w:t>
            </w:r>
          </w:p>
        </w:tc>
        <w:tc>
          <w:tcPr>
            <w:tcW w:w="1456" w:type="dxa"/>
            <w:shd w:val="clear" w:color="auto" w:fill="BEBEBE" w:themeFill="background1" w:themeFillShade="BF"/>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责任人</w:t>
            </w:r>
          </w:p>
        </w:tc>
        <w:tc>
          <w:tcPr>
            <w:tcW w:w="1188" w:type="dxa"/>
            <w:shd w:val="clear" w:color="auto" w:fill="BEBEBE" w:themeFill="background1" w:themeFillShade="BF"/>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7" w:hRule="exact"/>
          <w:jc w:val="center"/>
        </w:trPr>
        <w:tc>
          <w:tcPr>
            <w:tcW w:w="805"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w:t>
            </w:r>
          </w:p>
        </w:tc>
        <w:tc>
          <w:tcPr>
            <w:tcW w:w="1364"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人员</w:t>
            </w:r>
          </w:p>
        </w:tc>
        <w:tc>
          <w:tcPr>
            <w:tcW w:w="290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未按规定配置安全管理人员</w:t>
            </w:r>
          </w:p>
        </w:tc>
        <w:tc>
          <w:tcPr>
            <w:tcW w:w="485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1.建立特种设备安全管理人员管理制度；</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2.定期检查人员证件</w:t>
            </w:r>
          </w:p>
        </w:tc>
        <w:tc>
          <w:tcPr>
            <w:tcW w:w="1623"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日管控</w:t>
            </w:r>
          </w:p>
        </w:tc>
        <w:tc>
          <w:tcPr>
            <w:tcW w:w="1456"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安全员</w:t>
            </w:r>
          </w:p>
        </w:tc>
        <w:tc>
          <w:tcPr>
            <w:tcW w:w="1188"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1" w:hRule="exact"/>
          <w:jc w:val="center"/>
        </w:trPr>
        <w:tc>
          <w:tcPr>
            <w:tcW w:w="805"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w:t>
            </w:r>
          </w:p>
        </w:tc>
        <w:tc>
          <w:tcPr>
            <w:tcW w:w="1364"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p>
        </w:tc>
        <w:tc>
          <w:tcPr>
            <w:tcW w:w="290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未按规定定期开展安全培训，培训未覆盖相关人员</w:t>
            </w:r>
          </w:p>
        </w:tc>
        <w:tc>
          <w:tcPr>
            <w:tcW w:w="485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1.建立人员安全培训制度；</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2.定期对相关人员进行培训教育和考核</w:t>
            </w:r>
          </w:p>
        </w:tc>
        <w:tc>
          <w:tcPr>
            <w:tcW w:w="1623"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周排查</w:t>
            </w:r>
          </w:p>
        </w:tc>
        <w:tc>
          <w:tcPr>
            <w:tcW w:w="1456"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安全总监</w:t>
            </w:r>
          </w:p>
        </w:tc>
        <w:tc>
          <w:tcPr>
            <w:tcW w:w="1188"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4" w:hRule="exact"/>
          <w:jc w:val="center"/>
        </w:trPr>
        <w:tc>
          <w:tcPr>
            <w:tcW w:w="805"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w:t>
            </w:r>
          </w:p>
        </w:tc>
        <w:tc>
          <w:tcPr>
            <w:tcW w:w="1364"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p>
        </w:tc>
        <w:tc>
          <w:tcPr>
            <w:tcW w:w="290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未按规定配备安全总监、安全员、操作人员</w:t>
            </w:r>
          </w:p>
        </w:tc>
        <w:tc>
          <w:tcPr>
            <w:tcW w:w="485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按规定配备相关人员</w:t>
            </w:r>
          </w:p>
        </w:tc>
        <w:tc>
          <w:tcPr>
            <w:tcW w:w="1623"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月调度</w:t>
            </w:r>
          </w:p>
        </w:tc>
        <w:tc>
          <w:tcPr>
            <w:tcW w:w="1456"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主要负责人</w:t>
            </w:r>
          </w:p>
        </w:tc>
        <w:tc>
          <w:tcPr>
            <w:tcW w:w="1188"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8" w:hRule="atLeast"/>
          <w:jc w:val="center"/>
        </w:trPr>
        <w:tc>
          <w:tcPr>
            <w:tcW w:w="805"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w:t>
            </w:r>
          </w:p>
        </w:tc>
        <w:tc>
          <w:tcPr>
            <w:tcW w:w="1364" w:type="dxa"/>
            <w:vMerge w:val="continue"/>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p>
        </w:tc>
        <w:tc>
          <w:tcPr>
            <w:tcW w:w="290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使用单位压力管道安全总监、安全员安全管理能力不足</w:t>
            </w:r>
          </w:p>
        </w:tc>
        <w:tc>
          <w:tcPr>
            <w:tcW w:w="485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rPr>
              <w:t>1、定期组织宣贯压力管道有关法律法规、安全技术规范及相关标准培训；</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2、加强人员能力考核和建立人员激励约束机制</w:t>
            </w:r>
          </w:p>
        </w:tc>
        <w:tc>
          <w:tcPr>
            <w:tcW w:w="162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145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1188"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1" w:hRule="exact"/>
          <w:jc w:val="center"/>
        </w:trPr>
        <w:tc>
          <w:tcPr>
            <w:tcW w:w="805"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5</w:t>
            </w:r>
          </w:p>
        </w:tc>
        <w:tc>
          <w:tcPr>
            <w:tcW w:w="1364"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管理</w:t>
            </w:r>
          </w:p>
        </w:tc>
        <w:tc>
          <w:tcPr>
            <w:tcW w:w="290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未按规定办理使用登记</w:t>
            </w:r>
            <w:r>
              <w:rPr>
                <w:rFonts w:hint="eastAsia" w:asciiTheme="minorEastAsia" w:hAnsiTheme="minorEastAsia" w:eastAsiaTheme="minorEastAsia" w:cstheme="minorEastAsia"/>
                <w:spacing w:val="6"/>
                <w:sz w:val="24"/>
                <w:szCs w:val="24"/>
              </w:rPr>
              <w:t>和按时申报检验</w:t>
            </w:r>
          </w:p>
        </w:tc>
        <w:tc>
          <w:tcPr>
            <w:tcW w:w="485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建立并严格执行使用登记、定期检验管理制度</w:t>
            </w:r>
          </w:p>
        </w:tc>
        <w:tc>
          <w:tcPr>
            <w:tcW w:w="1623"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周排查</w:t>
            </w:r>
          </w:p>
        </w:tc>
        <w:tc>
          <w:tcPr>
            <w:tcW w:w="1456"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安全总监</w:t>
            </w:r>
          </w:p>
        </w:tc>
        <w:tc>
          <w:tcPr>
            <w:tcW w:w="1188"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8" w:hRule="atLeast"/>
          <w:jc w:val="center"/>
        </w:trPr>
        <w:tc>
          <w:tcPr>
            <w:tcW w:w="805"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6</w:t>
            </w:r>
          </w:p>
        </w:tc>
        <w:tc>
          <w:tcPr>
            <w:tcW w:w="1364"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p>
        </w:tc>
        <w:tc>
          <w:tcPr>
            <w:tcW w:w="290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未建立安全技术档案；档案文件内容和保存期限不满足相关规定</w:t>
            </w:r>
          </w:p>
        </w:tc>
        <w:tc>
          <w:tcPr>
            <w:tcW w:w="485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健全安全管理技术档案管理</w:t>
            </w:r>
          </w:p>
        </w:tc>
        <w:tc>
          <w:tcPr>
            <w:tcW w:w="162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145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1188"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7" w:hRule="exact"/>
          <w:jc w:val="center"/>
        </w:trPr>
        <w:tc>
          <w:tcPr>
            <w:tcW w:w="805"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7</w:t>
            </w:r>
          </w:p>
        </w:tc>
        <w:tc>
          <w:tcPr>
            <w:tcW w:w="1364"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p>
        </w:tc>
        <w:tc>
          <w:tcPr>
            <w:tcW w:w="290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未定期开展日常维护保养，安全检查</w:t>
            </w:r>
          </w:p>
        </w:tc>
        <w:tc>
          <w:tcPr>
            <w:tcW w:w="485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定期开展日常维护保养，安全检查</w:t>
            </w:r>
          </w:p>
        </w:tc>
        <w:tc>
          <w:tcPr>
            <w:tcW w:w="162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145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1188"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7" w:hRule="exact"/>
          <w:jc w:val="center"/>
        </w:trPr>
        <w:tc>
          <w:tcPr>
            <w:tcW w:w="805"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8</w:t>
            </w:r>
          </w:p>
        </w:tc>
        <w:tc>
          <w:tcPr>
            <w:tcW w:w="1364"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管理</w:t>
            </w:r>
          </w:p>
        </w:tc>
        <w:tc>
          <w:tcPr>
            <w:tcW w:w="290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未建立压力管道操作规程</w:t>
            </w:r>
          </w:p>
        </w:tc>
        <w:tc>
          <w:tcPr>
            <w:tcW w:w="485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rPr>
              <w:t>1.建立完善操作规程；</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2.加强人员培训并组织实施</w:t>
            </w:r>
          </w:p>
        </w:tc>
        <w:tc>
          <w:tcPr>
            <w:tcW w:w="1623"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周排查</w:t>
            </w:r>
          </w:p>
        </w:tc>
        <w:tc>
          <w:tcPr>
            <w:tcW w:w="1456"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安全总监</w:t>
            </w:r>
          </w:p>
        </w:tc>
        <w:tc>
          <w:tcPr>
            <w:tcW w:w="1188"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8" w:hRule="atLeast"/>
          <w:jc w:val="center"/>
        </w:trPr>
        <w:tc>
          <w:tcPr>
            <w:tcW w:w="805"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9</w:t>
            </w:r>
          </w:p>
        </w:tc>
        <w:tc>
          <w:tcPr>
            <w:tcW w:w="1364"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p>
        </w:tc>
        <w:tc>
          <w:tcPr>
            <w:tcW w:w="290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安全隐患未及时整改或未按规定采取监控措施使用存在隐患的压力管道</w:t>
            </w:r>
          </w:p>
        </w:tc>
        <w:tc>
          <w:tcPr>
            <w:tcW w:w="485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制定压力管道隐患整改计划，明确监控措施及责任人</w:t>
            </w:r>
          </w:p>
        </w:tc>
        <w:tc>
          <w:tcPr>
            <w:tcW w:w="162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145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1188"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52" w:hRule="atLeast"/>
          <w:jc w:val="center"/>
        </w:trPr>
        <w:tc>
          <w:tcPr>
            <w:tcW w:w="805"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10</w:t>
            </w:r>
          </w:p>
        </w:tc>
        <w:tc>
          <w:tcPr>
            <w:tcW w:w="1364"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p>
        </w:tc>
        <w:tc>
          <w:tcPr>
            <w:tcW w:w="290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spacing w:val="6"/>
                <w:sz w:val="24"/>
                <w:szCs w:val="24"/>
              </w:rPr>
              <w:t>未建立岗位责任、隐患治理、应急救援等安全管理制度，制定操作规程或相关制度不完善</w:t>
            </w:r>
          </w:p>
        </w:tc>
        <w:tc>
          <w:tcPr>
            <w:tcW w:w="485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sz w:val="24"/>
                <w:szCs w:val="24"/>
              </w:rPr>
              <w:t>根据单位实际情况，及时建立健全各类安全管理制度和操作规程</w:t>
            </w:r>
          </w:p>
        </w:tc>
        <w:tc>
          <w:tcPr>
            <w:tcW w:w="1623"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月调度</w:t>
            </w:r>
          </w:p>
        </w:tc>
        <w:tc>
          <w:tcPr>
            <w:tcW w:w="1456"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主要负责人</w:t>
            </w:r>
          </w:p>
        </w:tc>
        <w:tc>
          <w:tcPr>
            <w:tcW w:w="1188"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8" w:hRule="atLeast"/>
          <w:jc w:val="center"/>
        </w:trPr>
        <w:tc>
          <w:tcPr>
            <w:tcW w:w="805"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11</w:t>
            </w:r>
          </w:p>
        </w:tc>
        <w:tc>
          <w:tcPr>
            <w:tcW w:w="1364"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p>
        </w:tc>
        <w:tc>
          <w:tcPr>
            <w:tcW w:w="2904" w:type="dxa"/>
            <w:vAlign w:val="center"/>
          </w:tcPr>
          <w:p>
            <w:pPr>
              <w:keepNext w:val="0"/>
              <w:keepLines w:val="0"/>
              <w:pageBreakBefore w:val="0"/>
              <w:widowControl/>
              <w:kinsoku/>
              <w:wordWrap/>
              <w:overflowPunct/>
              <w:topLinePunct w:val="0"/>
              <w:autoSpaceDE w:val="0"/>
              <w:autoSpaceDN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未及时办理使用登记、变更登记、停用、报废（注销）等相关手续</w:t>
            </w:r>
          </w:p>
        </w:tc>
        <w:tc>
          <w:tcPr>
            <w:tcW w:w="485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立即办理使用登记、变更登记、停用、报废（注销）等相关手续</w:t>
            </w:r>
          </w:p>
        </w:tc>
        <w:tc>
          <w:tcPr>
            <w:tcW w:w="162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145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1188"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45" w:hRule="atLeast"/>
          <w:jc w:val="center"/>
        </w:trPr>
        <w:tc>
          <w:tcPr>
            <w:tcW w:w="805"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highlight w:val="yellow"/>
              </w:rPr>
            </w:pPr>
            <w:r>
              <w:rPr>
                <w:rFonts w:hint="eastAsia" w:asciiTheme="minorEastAsia" w:hAnsiTheme="minorEastAsia" w:eastAsiaTheme="minorEastAsia" w:cstheme="minorEastAsia"/>
                <w:color w:val="000000"/>
                <w:kern w:val="0"/>
                <w:sz w:val="24"/>
                <w:szCs w:val="24"/>
              </w:rPr>
              <w:t>12</w:t>
            </w:r>
          </w:p>
        </w:tc>
        <w:tc>
          <w:tcPr>
            <w:tcW w:w="1364"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highlight w:val="yellow"/>
              </w:rPr>
            </w:pPr>
          </w:p>
        </w:tc>
        <w:tc>
          <w:tcPr>
            <w:tcW w:w="290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未对已报废的压力管道去功能化处理，未对办理停用的压力管道采取有效的保护措施</w:t>
            </w:r>
          </w:p>
        </w:tc>
        <w:tc>
          <w:tcPr>
            <w:tcW w:w="485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1.加强对报废的压力管道管理，及时采取必要措施消除使用功能；</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2.加强停用压力管道管理，采取有效保护措施，且设置停用标志</w:t>
            </w:r>
          </w:p>
        </w:tc>
        <w:tc>
          <w:tcPr>
            <w:tcW w:w="162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145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1188"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53" w:hRule="atLeast"/>
          <w:jc w:val="center"/>
        </w:trPr>
        <w:tc>
          <w:tcPr>
            <w:tcW w:w="805"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13</w:t>
            </w:r>
          </w:p>
        </w:tc>
        <w:tc>
          <w:tcPr>
            <w:tcW w:w="1364"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p>
        </w:tc>
        <w:tc>
          <w:tcPr>
            <w:tcW w:w="2904" w:type="dxa"/>
            <w:vAlign w:val="center"/>
          </w:tcPr>
          <w:p>
            <w:pPr>
              <w:keepNext w:val="0"/>
              <w:keepLines w:val="0"/>
              <w:pageBreakBefore w:val="0"/>
              <w:widowControl/>
              <w:kinsoku/>
              <w:wordWrap/>
              <w:overflowPunct/>
              <w:topLinePunct w:val="0"/>
              <w:autoSpaceDE w:val="0"/>
              <w:autoSpaceDN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未按规定开展压力管道年度检查，定期检验，办理延期检验的未采取有效监控</w:t>
            </w:r>
          </w:p>
        </w:tc>
        <w:tc>
          <w:tcPr>
            <w:tcW w:w="485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rPr>
              <w:t>1.按规定开展压力管道年度检查，定期检验；</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2.延期检验的压力管道经检验机构确认及使用登记机构备案后采取有效措施监控使用</w:t>
            </w:r>
          </w:p>
        </w:tc>
        <w:tc>
          <w:tcPr>
            <w:tcW w:w="162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145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1188"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8" w:hRule="atLeast"/>
          <w:jc w:val="center"/>
        </w:trPr>
        <w:tc>
          <w:tcPr>
            <w:tcW w:w="805"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14</w:t>
            </w:r>
          </w:p>
        </w:tc>
        <w:tc>
          <w:tcPr>
            <w:tcW w:w="1364"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p>
        </w:tc>
        <w:tc>
          <w:tcPr>
            <w:tcW w:w="290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未落实压力管道安全事故报告义务，未采取有效措施防止事故扩大</w:t>
            </w:r>
          </w:p>
        </w:tc>
        <w:tc>
          <w:tcPr>
            <w:tcW w:w="485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rPr>
              <w:t>1.严格落实压力管道安全事故报告制度；</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2.及时采取有效措施防止事故扩大</w:t>
            </w:r>
          </w:p>
        </w:tc>
        <w:tc>
          <w:tcPr>
            <w:tcW w:w="1623"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月调度</w:t>
            </w:r>
          </w:p>
        </w:tc>
        <w:tc>
          <w:tcPr>
            <w:tcW w:w="1456"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主要负责人</w:t>
            </w:r>
          </w:p>
        </w:tc>
        <w:tc>
          <w:tcPr>
            <w:tcW w:w="1188"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02" w:hRule="exact"/>
          <w:jc w:val="center"/>
        </w:trPr>
        <w:tc>
          <w:tcPr>
            <w:tcW w:w="805"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15</w:t>
            </w:r>
          </w:p>
        </w:tc>
        <w:tc>
          <w:tcPr>
            <w:tcW w:w="1364"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p>
        </w:tc>
        <w:tc>
          <w:tcPr>
            <w:tcW w:w="290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未建立压力管道、安全附件、操作人员台账</w:t>
            </w:r>
          </w:p>
        </w:tc>
        <w:tc>
          <w:tcPr>
            <w:tcW w:w="485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建立健全压力管道、安全附件、操作人员台账，并进行动态管理</w:t>
            </w:r>
          </w:p>
        </w:tc>
        <w:tc>
          <w:tcPr>
            <w:tcW w:w="162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145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1188"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0" w:hRule="exact"/>
          <w:jc w:val="center"/>
        </w:trPr>
        <w:tc>
          <w:tcPr>
            <w:tcW w:w="805"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16</w:t>
            </w:r>
          </w:p>
        </w:tc>
        <w:tc>
          <w:tcPr>
            <w:tcW w:w="1364"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p>
        </w:tc>
        <w:tc>
          <w:tcPr>
            <w:tcW w:w="290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未建立特种设备事故应急专项预案；并定期演练</w:t>
            </w:r>
          </w:p>
        </w:tc>
        <w:tc>
          <w:tcPr>
            <w:tcW w:w="485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1．建立并完善特种设备事故应急专项预案；</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2．按技术规范要求定期开展应急演练，并留存演练记录</w:t>
            </w:r>
          </w:p>
        </w:tc>
        <w:tc>
          <w:tcPr>
            <w:tcW w:w="162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145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1188"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8" w:hRule="atLeast"/>
          <w:jc w:val="center"/>
        </w:trPr>
        <w:tc>
          <w:tcPr>
            <w:tcW w:w="805"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17</w:t>
            </w:r>
          </w:p>
        </w:tc>
        <w:tc>
          <w:tcPr>
            <w:tcW w:w="1364"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设备</w:t>
            </w:r>
          </w:p>
        </w:tc>
        <w:tc>
          <w:tcPr>
            <w:tcW w:w="290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管道组成件、焊接接头有无裂纹、过热、变形、损伤等缺陷</w:t>
            </w:r>
          </w:p>
        </w:tc>
        <w:tc>
          <w:tcPr>
            <w:tcW w:w="485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1．对管道严格验收要求；</w:t>
            </w:r>
          </w:p>
          <w:p>
            <w:pPr>
              <w:keepNext w:val="0"/>
              <w:keepLines w:val="0"/>
              <w:pageBreakBefore w:val="0"/>
              <w:widowControl/>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2．必要时采取监控、隔离、维修等安全措施，并做好预案，及时消除隐患</w:t>
            </w:r>
          </w:p>
        </w:tc>
        <w:tc>
          <w:tcPr>
            <w:tcW w:w="1623"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日管控</w:t>
            </w:r>
          </w:p>
        </w:tc>
        <w:tc>
          <w:tcPr>
            <w:tcW w:w="1456"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安全员</w:t>
            </w:r>
          </w:p>
        </w:tc>
        <w:tc>
          <w:tcPr>
            <w:tcW w:w="1188"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color w:val="00B050"/>
                <w:kern w:val="0"/>
                <w:sz w:val="24"/>
                <w:szCs w:val="24"/>
                <w:highlight w:val="yello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1" w:hRule="exact"/>
          <w:jc w:val="center"/>
        </w:trPr>
        <w:tc>
          <w:tcPr>
            <w:tcW w:w="805"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18</w:t>
            </w:r>
          </w:p>
        </w:tc>
        <w:tc>
          <w:tcPr>
            <w:tcW w:w="1364"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p>
        </w:tc>
        <w:tc>
          <w:tcPr>
            <w:tcW w:w="290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压力管道膨胀受阻，膨胀补偿装置存在缺陷</w:t>
            </w:r>
          </w:p>
        </w:tc>
        <w:tc>
          <w:tcPr>
            <w:tcW w:w="485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查明并消除受阻原因，确保自由膨胀</w:t>
            </w:r>
          </w:p>
        </w:tc>
        <w:tc>
          <w:tcPr>
            <w:tcW w:w="162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145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1188"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8" w:hRule="atLeast"/>
          <w:jc w:val="center"/>
        </w:trPr>
        <w:tc>
          <w:tcPr>
            <w:tcW w:w="805"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19</w:t>
            </w:r>
          </w:p>
        </w:tc>
        <w:tc>
          <w:tcPr>
            <w:tcW w:w="1364"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p>
        </w:tc>
        <w:tc>
          <w:tcPr>
            <w:tcW w:w="290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存在阀门表面腐蚀、阀体有裂纹、严重缩孔、连接螺栓松动等情况</w:t>
            </w:r>
          </w:p>
        </w:tc>
        <w:tc>
          <w:tcPr>
            <w:tcW w:w="485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查明原因，消除隐患</w:t>
            </w:r>
          </w:p>
        </w:tc>
        <w:tc>
          <w:tcPr>
            <w:tcW w:w="162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145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1188"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45" w:hRule="atLeast"/>
          <w:jc w:val="center"/>
        </w:trPr>
        <w:tc>
          <w:tcPr>
            <w:tcW w:w="805"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w:t>
            </w:r>
          </w:p>
        </w:tc>
        <w:tc>
          <w:tcPr>
            <w:tcW w:w="1364"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p>
        </w:tc>
        <w:tc>
          <w:tcPr>
            <w:tcW w:w="290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存在法兰偏口以及异常翘曲、变形、泄漏，紧固件不齐全、松动、腐蚀等情况</w:t>
            </w:r>
          </w:p>
        </w:tc>
        <w:tc>
          <w:tcPr>
            <w:tcW w:w="485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查明原因，消除隐患</w:t>
            </w:r>
          </w:p>
        </w:tc>
        <w:tc>
          <w:tcPr>
            <w:tcW w:w="162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145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1188"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45" w:hRule="atLeast"/>
          <w:jc w:val="center"/>
        </w:trPr>
        <w:tc>
          <w:tcPr>
            <w:tcW w:w="805"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21</w:t>
            </w:r>
          </w:p>
        </w:tc>
        <w:tc>
          <w:tcPr>
            <w:tcW w:w="1364"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p>
        </w:tc>
        <w:tc>
          <w:tcPr>
            <w:tcW w:w="290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压力管道与相邻构件异常振动、响声或者相互摩擦</w:t>
            </w:r>
          </w:p>
        </w:tc>
        <w:tc>
          <w:tcPr>
            <w:tcW w:w="485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1.查明异常发生原因，及时消除隐患；</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2.制定运行、检修规程，按规程处置；避免疲劳运行；</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3.必要时，采取监控、隔离、维修等安全措施，并做好预案</w:t>
            </w:r>
          </w:p>
        </w:tc>
        <w:tc>
          <w:tcPr>
            <w:tcW w:w="1623"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日管控</w:t>
            </w:r>
          </w:p>
        </w:tc>
        <w:tc>
          <w:tcPr>
            <w:tcW w:w="1456"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安全员</w:t>
            </w:r>
          </w:p>
        </w:tc>
        <w:tc>
          <w:tcPr>
            <w:tcW w:w="1188"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53" w:hRule="atLeast"/>
          <w:jc w:val="center"/>
        </w:trPr>
        <w:tc>
          <w:tcPr>
            <w:tcW w:w="805"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22</w:t>
            </w:r>
          </w:p>
        </w:tc>
        <w:tc>
          <w:tcPr>
            <w:tcW w:w="1364"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p>
        </w:tc>
        <w:tc>
          <w:tcPr>
            <w:tcW w:w="290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保温隔热层、防腐层破损，绝热层潮湿跑冷、结霜结露</w:t>
            </w:r>
          </w:p>
        </w:tc>
        <w:tc>
          <w:tcPr>
            <w:tcW w:w="485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1．检查破损部位压力管道是否存在损伤；</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rPr>
              <w:t>2．及时对破损部位进行恢复；</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3。查明异常发生原因，及时消除隐患</w:t>
            </w:r>
          </w:p>
        </w:tc>
        <w:tc>
          <w:tcPr>
            <w:tcW w:w="162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145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1188"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53" w:hRule="atLeast"/>
          <w:jc w:val="center"/>
        </w:trPr>
        <w:tc>
          <w:tcPr>
            <w:tcW w:w="805"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23</w:t>
            </w:r>
          </w:p>
        </w:tc>
        <w:tc>
          <w:tcPr>
            <w:tcW w:w="1364"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p>
        </w:tc>
        <w:tc>
          <w:tcPr>
            <w:tcW w:w="290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非金属衬里或非金属管损坏</w:t>
            </w:r>
          </w:p>
        </w:tc>
        <w:tc>
          <w:tcPr>
            <w:tcW w:w="485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 查明异常发生原因，及时消除隐患；</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2.必要时，采取监控、隔离、维修等安全措施，并做好预案</w:t>
            </w:r>
          </w:p>
        </w:tc>
        <w:tc>
          <w:tcPr>
            <w:tcW w:w="162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145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1188"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53" w:hRule="atLeast"/>
          <w:jc w:val="center"/>
        </w:trPr>
        <w:tc>
          <w:tcPr>
            <w:tcW w:w="805"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24</w:t>
            </w:r>
          </w:p>
        </w:tc>
        <w:tc>
          <w:tcPr>
            <w:tcW w:w="1364"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p>
        </w:tc>
        <w:tc>
          <w:tcPr>
            <w:tcW w:w="290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支吊架变形、脱落、腐蚀、损坏、失载、基础沉降等情况</w:t>
            </w:r>
          </w:p>
        </w:tc>
        <w:tc>
          <w:tcPr>
            <w:tcW w:w="485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加强日常检查监控，必要时及时进行修复</w:t>
            </w:r>
          </w:p>
        </w:tc>
        <w:tc>
          <w:tcPr>
            <w:tcW w:w="162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145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1188"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7" w:hRule="exact"/>
          <w:jc w:val="center"/>
        </w:trPr>
        <w:tc>
          <w:tcPr>
            <w:tcW w:w="805"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25</w:t>
            </w:r>
          </w:p>
        </w:tc>
        <w:tc>
          <w:tcPr>
            <w:tcW w:w="1364"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p>
        </w:tc>
        <w:tc>
          <w:tcPr>
            <w:tcW w:w="290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运行期间超压、超温等</w:t>
            </w:r>
          </w:p>
        </w:tc>
        <w:tc>
          <w:tcPr>
            <w:tcW w:w="485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1.制定运行操作规程，并严格执行；</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2.必要时进行检验、评估</w:t>
            </w:r>
          </w:p>
        </w:tc>
        <w:tc>
          <w:tcPr>
            <w:tcW w:w="162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145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1188"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7" w:hRule="exact"/>
          <w:jc w:val="center"/>
        </w:trPr>
        <w:tc>
          <w:tcPr>
            <w:tcW w:w="805"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26</w:t>
            </w:r>
          </w:p>
        </w:tc>
        <w:tc>
          <w:tcPr>
            <w:tcW w:w="1364"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p>
        </w:tc>
        <w:tc>
          <w:tcPr>
            <w:tcW w:w="290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接地装置不符合要求</w:t>
            </w:r>
          </w:p>
        </w:tc>
        <w:tc>
          <w:tcPr>
            <w:tcW w:w="485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1.查明异常原因，并及时处理；</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2.接地装置进行定期测量</w:t>
            </w:r>
          </w:p>
        </w:tc>
        <w:tc>
          <w:tcPr>
            <w:tcW w:w="162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145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1188"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7" w:hRule="exact"/>
          <w:jc w:val="center"/>
        </w:trPr>
        <w:tc>
          <w:tcPr>
            <w:tcW w:w="805"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27</w:t>
            </w:r>
          </w:p>
        </w:tc>
        <w:tc>
          <w:tcPr>
            <w:tcW w:w="1364"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p>
        </w:tc>
        <w:tc>
          <w:tcPr>
            <w:tcW w:w="290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漆色、标志等不符合要求</w:t>
            </w:r>
          </w:p>
        </w:tc>
        <w:tc>
          <w:tcPr>
            <w:tcW w:w="485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按规定完善漆色、标志等</w:t>
            </w:r>
          </w:p>
        </w:tc>
        <w:tc>
          <w:tcPr>
            <w:tcW w:w="162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145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1188"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8" w:hRule="atLeast"/>
          <w:jc w:val="center"/>
        </w:trPr>
        <w:tc>
          <w:tcPr>
            <w:tcW w:w="805"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28</w:t>
            </w:r>
          </w:p>
        </w:tc>
        <w:tc>
          <w:tcPr>
            <w:tcW w:w="1364"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安全附件和安全保护装置</w:t>
            </w:r>
          </w:p>
        </w:tc>
        <w:tc>
          <w:tcPr>
            <w:tcW w:w="290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安全阀的铅封、校验标签缺失，未在验有效期内；安全阀根部阀未常开。</w:t>
            </w:r>
          </w:p>
        </w:tc>
        <w:tc>
          <w:tcPr>
            <w:tcW w:w="485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rPr>
              <w:t>1.重新校验安全阀；</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rPr>
              <w:t>2.对安全阀铅封、校验标签采取保护措施；</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3.安全阀根部阀保持常开并锁定</w:t>
            </w:r>
          </w:p>
        </w:tc>
        <w:tc>
          <w:tcPr>
            <w:tcW w:w="1623"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日管控</w:t>
            </w:r>
          </w:p>
        </w:tc>
        <w:tc>
          <w:tcPr>
            <w:tcW w:w="1456"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安全员</w:t>
            </w:r>
          </w:p>
        </w:tc>
        <w:tc>
          <w:tcPr>
            <w:tcW w:w="1188"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53" w:hRule="atLeast"/>
          <w:jc w:val="center"/>
        </w:trPr>
        <w:tc>
          <w:tcPr>
            <w:tcW w:w="805"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29</w:t>
            </w:r>
          </w:p>
        </w:tc>
        <w:tc>
          <w:tcPr>
            <w:tcW w:w="1364"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p>
        </w:tc>
        <w:tc>
          <w:tcPr>
            <w:tcW w:w="2904" w:type="dxa"/>
            <w:vAlign w:val="center"/>
          </w:tcPr>
          <w:p>
            <w:pPr>
              <w:keepNext w:val="0"/>
              <w:keepLines w:val="0"/>
              <w:pageBreakBefore w:val="0"/>
              <w:widowControl/>
              <w:kinsoku/>
              <w:wordWrap/>
              <w:overflowPunct/>
              <w:topLinePunct w:val="0"/>
              <w:autoSpaceDE w:val="0"/>
              <w:autoSpaceDN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爆破片泄漏、反装，未定期更换</w:t>
            </w:r>
          </w:p>
        </w:tc>
        <w:tc>
          <w:tcPr>
            <w:tcW w:w="485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rPr>
              <w:t>1.查明泄漏原因并消除；</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rPr>
              <w:t>2.确认爆破片的安装方向；</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3.制定爆破片定期更换计划并实施</w:t>
            </w:r>
          </w:p>
        </w:tc>
        <w:tc>
          <w:tcPr>
            <w:tcW w:w="162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145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1188"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80" w:hRule="atLeast"/>
          <w:jc w:val="center"/>
        </w:trPr>
        <w:tc>
          <w:tcPr>
            <w:tcW w:w="805"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30</w:t>
            </w:r>
          </w:p>
        </w:tc>
        <w:tc>
          <w:tcPr>
            <w:tcW w:w="1364"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p>
        </w:tc>
        <w:tc>
          <w:tcPr>
            <w:tcW w:w="290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压力表选型错误、未在检定有效期内，刻度盘上无指示工作压力的红线，压力表损坏</w:t>
            </w:r>
          </w:p>
        </w:tc>
        <w:tc>
          <w:tcPr>
            <w:tcW w:w="485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rPr>
              <w:t>1.根据工况选取符合要求的压力表；</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rPr>
              <w:t>2.制定压力表定期检定计划并实施；</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rPr>
              <w:t>3.刻度盘上标出工作压力的红线；</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4.及时更换损坏的压力表</w:t>
            </w:r>
          </w:p>
        </w:tc>
        <w:tc>
          <w:tcPr>
            <w:tcW w:w="162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145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1188"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7" w:hRule="exact"/>
          <w:jc w:val="center"/>
        </w:trPr>
        <w:tc>
          <w:tcPr>
            <w:tcW w:w="805" w:type="dxa"/>
            <w:tcBorders>
              <w:bottom w:val="single" w:color="auto" w:sz="4" w:space="0"/>
            </w:tcBorders>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31</w:t>
            </w:r>
          </w:p>
        </w:tc>
        <w:tc>
          <w:tcPr>
            <w:tcW w:w="1364"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p>
        </w:tc>
        <w:tc>
          <w:tcPr>
            <w:tcW w:w="290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阻火器泄漏、反装及其他异常情况</w:t>
            </w:r>
          </w:p>
        </w:tc>
        <w:tc>
          <w:tcPr>
            <w:tcW w:w="485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rPr>
              <w:t>1.查明泄漏原因并消除；</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2.确认阻火器的安装方向（限单向阻火器）</w:t>
            </w:r>
          </w:p>
        </w:tc>
        <w:tc>
          <w:tcPr>
            <w:tcW w:w="162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145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1188"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5" w:hRule="exact"/>
          <w:jc w:val="center"/>
        </w:trPr>
        <w:tc>
          <w:tcPr>
            <w:tcW w:w="805" w:type="dxa"/>
            <w:tcBorders>
              <w:top w:val="single" w:color="auto" w:sz="4" w:space="0"/>
            </w:tcBorders>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32</w:t>
            </w:r>
          </w:p>
        </w:tc>
        <w:tc>
          <w:tcPr>
            <w:tcW w:w="1364"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p>
        </w:tc>
        <w:tc>
          <w:tcPr>
            <w:tcW w:w="290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紧急切断装置未定期调试，功能失效</w:t>
            </w:r>
          </w:p>
        </w:tc>
        <w:tc>
          <w:tcPr>
            <w:tcW w:w="485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rPr>
              <w:t>1.定期对紧急切断装置调试，确保功能有效；</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2.必要时对远控联锁功能进行测试</w:t>
            </w:r>
          </w:p>
        </w:tc>
        <w:tc>
          <w:tcPr>
            <w:tcW w:w="1623"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周排查</w:t>
            </w:r>
          </w:p>
        </w:tc>
        <w:tc>
          <w:tcPr>
            <w:tcW w:w="1456"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安全总监</w:t>
            </w:r>
          </w:p>
        </w:tc>
        <w:tc>
          <w:tcPr>
            <w:tcW w:w="1188"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65" w:hRule="exact"/>
          <w:jc w:val="center"/>
        </w:trPr>
        <w:tc>
          <w:tcPr>
            <w:tcW w:w="805"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33</w:t>
            </w:r>
          </w:p>
        </w:tc>
        <w:tc>
          <w:tcPr>
            <w:tcW w:w="1364"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p>
        </w:tc>
        <w:tc>
          <w:tcPr>
            <w:tcW w:w="290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蠕胀测点或蠕胀量异常</w:t>
            </w:r>
          </w:p>
        </w:tc>
        <w:tc>
          <w:tcPr>
            <w:tcW w:w="485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rPr>
              <w:t>1.修复蠕胀测点或蠕胀测量带；</w:t>
            </w:r>
          </w:p>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2.采取监控、隔离、维修等安全措施，并做好预案。</w:t>
            </w:r>
          </w:p>
        </w:tc>
        <w:tc>
          <w:tcPr>
            <w:tcW w:w="162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145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1188"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45" w:hRule="atLeast"/>
          <w:jc w:val="center"/>
        </w:trPr>
        <w:tc>
          <w:tcPr>
            <w:tcW w:w="805"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34</w:t>
            </w:r>
          </w:p>
        </w:tc>
        <w:tc>
          <w:tcPr>
            <w:tcW w:w="1364"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p>
        </w:tc>
        <w:tc>
          <w:tcPr>
            <w:tcW w:w="290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使用未取得生产许可生产或未经检验合格的压力管道（含压力管道元件）</w:t>
            </w:r>
          </w:p>
        </w:tc>
        <w:tc>
          <w:tcPr>
            <w:tcW w:w="4855"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严格采购管理，使用取得生产许可并经检验合格的压力管道（含压力管道元件）</w:t>
            </w:r>
          </w:p>
        </w:tc>
        <w:tc>
          <w:tcPr>
            <w:tcW w:w="1623"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月调度</w:t>
            </w:r>
          </w:p>
        </w:tc>
        <w:tc>
          <w:tcPr>
            <w:tcW w:w="1456"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主要负责人</w:t>
            </w:r>
          </w:p>
        </w:tc>
        <w:tc>
          <w:tcPr>
            <w:tcW w:w="1188"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5" w:hRule="exact"/>
          <w:jc w:val="center"/>
        </w:trPr>
        <w:tc>
          <w:tcPr>
            <w:tcW w:w="805"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35</w:t>
            </w:r>
          </w:p>
        </w:tc>
        <w:tc>
          <w:tcPr>
            <w:tcW w:w="1364"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p>
        </w:tc>
        <w:tc>
          <w:tcPr>
            <w:tcW w:w="290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阴极保护装置失效</w:t>
            </w:r>
          </w:p>
        </w:tc>
        <w:tc>
          <w:tcPr>
            <w:tcW w:w="485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修复或加装阴极保护装置</w:t>
            </w:r>
          </w:p>
        </w:tc>
        <w:tc>
          <w:tcPr>
            <w:tcW w:w="1623"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月调度</w:t>
            </w:r>
          </w:p>
        </w:tc>
        <w:tc>
          <w:tcPr>
            <w:tcW w:w="1456" w:type="dxa"/>
            <w:vMerge w:val="restart"/>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主要负责人</w:t>
            </w:r>
          </w:p>
        </w:tc>
        <w:tc>
          <w:tcPr>
            <w:tcW w:w="1188"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6" w:hRule="exact"/>
          <w:jc w:val="center"/>
        </w:trPr>
        <w:tc>
          <w:tcPr>
            <w:tcW w:w="805"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36</w:t>
            </w:r>
          </w:p>
        </w:tc>
        <w:tc>
          <w:tcPr>
            <w:tcW w:w="1364" w:type="dxa"/>
            <w:vMerge w:val="continue"/>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p>
        </w:tc>
        <w:tc>
          <w:tcPr>
            <w:tcW w:w="290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测温仪表未定期校验</w:t>
            </w:r>
          </w:p>
        </w:tc>
        <w:tc>
          <w:tcPr>
            <w:tcW w:w="485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制定测温仪表定期校验计划并实施</w:t>
            </w:r>
          </w:p>
        </w:tc>
        <w:tc>
          <w:tcPr>
            <w:tcW w:w="1623"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1456" w:type="dxa"/>
            <w:vMerge w:val="continue"/>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c>
          <w:tcPr>
            <w:tcW w:w="1188"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8" w:hRule="atLeast"/>
          <w:jc w:val="center"/>
        </w:trPr>
        <w:tc>
          <w:tcPr>
            <w:tcW w:w="805"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37</w:t>
            </w:r>
          </w:p>
        </w:tc>
        <w:tc>
          <w:tcPr>
            <w:tcW w:w="1364" w:type="dxa"/>
            <w:vMerge w:val="restart"/>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环境</w:t>
            </w:r>
          </w:p>
        </w:tc>
        <w:tc>
          <w:tcPr>
            <w:tcW w:w="290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放空（气）阀和排污（水）阀位置设置不合理，存在异常集气、积液等情况</w:t>
            </w:r>
          </w:p>
        </w:tc>
        <w:tc>
          <w:tcPr>
            <w:tcW w:w="485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放空（气）阀和排污（水）阀设置应符合相应规定</w:t>
            </w:r>
          </w:p>
        </w:tc>
        <w:tc>
          <w:tcPr>
            <w:tcW w:w="1623"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周排查</w:t>
            </w:r>
          </w:p>
        </w:tc>
        <w:tc>
          <w:tcPr>
            <w:tcW w:w="1456"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安全总监</w:t>
            </w:r>
          </w:p>
        </w:tc>
        <w:tc>
          <w:tcPr>
            <w:tcW w:w="1188"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2" w:hRule="exact"/>
          <w:jc w:val="center"/>
        </w:trPr>
        <w:tc>
          <w:tcPr>
            <w:tcW w:w="805"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38</w:t>
            </w:r>
          </w:p>
        </w:tc>
        <w:tc>
          <w:tcPr>
            <w:tcW w:w="1364" w:type="dxa"/>
            <w:vMerge w:val="continue"/>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p>
        </w:tc>
        <w:tc>
          <w:tcPr>
            <w:tcW w:w="2904"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压力管道的安全距离、安全防护措施不符合要求</w:t>
            </w:r>
          </w:p>
        </w:tc>
        <w:tc>
          <w:tcPr>
            <w:tcW w:w="4855"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与特种设备安全相关的建筑物、附属设施，应当符合有关法律、行政法规和标准的要求</w:t>
            </w:r>
          </w:p>
        </w:tc>
        <w:tc>
          <w:tcPr>
            <w:tcW w:w="1623"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月调度</w:t>
            </w:r>
          </w:p>
        </w:tc>
        <w:tc>
          <w:tcPr>
            <w:tcW w:w="1456"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主要负责人</w:t>
            </w:r>
          </w:p>
        </w:tc>
        <w:tc>
          <w:tcPr>
            <w:tcW w:w="1188"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8" w:hRule="exact"/>
          <w:jc w:val="center"/>
        </w:trPr>
        <w:tc>
          <w:tcPr>
            <w:tcW w:w="805"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39</w:t>
            </w:r>
          </w:p>
        </w:tc>
        <w:tc>
          <w:tcPr>
            <w:tcW w:w="136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政府监督、通报、预警</w:t>
            </w:r>
          </w:p>
        </w:tc>
        <w:tc>
          <w:tcPr>
            <w:tcW w:w="2904" w:type="dxa"/>
            <w:vAlign w:val="center"/>
          </w:tcPr>
          <w:p>
            <w:pPr>
              <w:keepNext w:val="0"/>
              <w:keepLines w:val="0"/>
              <w:pageBreakBefore w:val="0"/>
              <w:kinsoku/>
              <w:wordWrap/>
              <w:overflowPunct/>
              <w:topLinePunct w:val="0"/>
              <w:bidi w:val="0"/>
              <w:adjustRightInd/>
              <w:snapToGrid/>
              <w:spacing w:line="320" w:lineRule="exact"/>
              <w:ind w:firstLine="0" w:firstLine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发现不合格项</w:t>
            </w:r>
          </w:p>
        </w:tc>
        <w:tc>
          <w:tcPr>
            <w:tcW w:w="4855" w:type="dxa"/>
            <w:vAlign w:val="center"/>
          </w:tcPr>
          <w:p>
            <w:pPr>
              <w:keepNext w:val="0"/>
              <w:keepLines w:val="0"/>
              <w:pageBreakBefore w:val="0"/>
              <w:kinsoku/>
              <w:wordWrap/>
              <w:overflowPunct/>
              <w:topLinePunct w:val="0"/>
              <w:bidi w:val="0"/>
              <w:adjustRightInd/>
              <w:snapToGrid/>
              <w:spacing w:line="320" w:lineRule="exact"/>
              <w:ind w:firstLine="0" w:firstLine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记录，整改</w:t>
            </w:r>
          </w:p>
        </w:tc>
        <w:tc>
          <w:tcPr>
            <w:tcW w:w="1623"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周排查</w:t>
            </w:r>
          </w:p>
        </w:tc>
        <w:tc>
          <w:tcPr>
            <w:tcW w:w="1456"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安全总监</w:t>
            </w:r>
          </w:p>
        </w:tc>
        <w:tc>
          <w:tcPr>
            <w:tcW w:w="1188"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8" w:hRule="exact"/>
          <w:jc w:val="center"/>
        </w:trPr>
        <w:tc>
          <w:tcPr>
            <w:tcW w:w="805"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40</w:t>
            </w:r>
          </w:p>
        </w:tc>
        <w:tc>
          <w:tcPr>
            <w:tcW w:w="136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投诉举报</w:t>
            </w:r>
          </w:p>
        </w:tc>
        <w:tc>
          <w:tcPr>
            <w:tcW w:w="2904" w:type="dxa"/>
            <w:vAlign w:val="center"/>
          </w:tcPr>
          <w:p>
            <w:pPr>
              <w:keepNext w:val="0"/>
              <w:keepLines w:val="0"/>
              <w:pageBreakBefore w:val="0"/>
              <w:kinsoku/>
              <w:wordWrap/>
              <w:overflowPunct/>
              <w:topLinePunct w:val="0"/>
              <w:bidi w:val="0"/>
              <w:adjustRightInd/>
              <w:snapToGrid/>
              <w:spacing w:line="320" w:lineRule="exact"/>
              <w:ind w:firstLine="0" w:firstLine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发现不合格项</w:t>
            </w:r>
          </w:p>
        </w:tc>
        <w:tc>
          <w:tcPr>
            <w:tcW w:w="4855" w:type="dxa"/>
            <w:vAlign w:val="center"/>
          </w:tcPr>
          <w:p>
            <w:pPr>
              <w:keepNext w:val="0"/>
              <w:keepLines w:val="0"/>
              <w:pageBreakBefore w:val="0"/>
              <w:kinsoku/>
              <w:wordWrap/>
              <w:overflowPunct/>
              <w:topLinePunct w:val="0"/>
              <w:bidi w:val="0"/>
              <w:adjustRightInd/>
              <w:snapToGrid/>
              <w:spacing w:line="320" w:lineRule="exact"/>
              <w:ind w:firstLine="0" w:firstLine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记录，整改，消除安全隐患</w:t>
            </w:r>
          </w:p>
        </w:tc>
        <w:tc>
          <w:tcPr>
            <w:tcW w:w="1623"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日管控</w:t>
            </w:r>
          </w:p>
        </w:tc>
        <w:tc>
          <w:tcPr>
            <w:tcW w:w="1456" w:type="dxa"/>
            <w:vAlign w:val="center"/>
          </w:tcPr>
          <w:p>
            <w:pPr>
              <w:keepNext w:val="0"/>
              <w:keepLines w:val="0"/>
              <w:pageBreakBefore w:val="0"/>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安全员</w:t>
            </w:r>
          </w:p>
        </w:tc>
        <w:tc>
          <w:tcPr>
            <w:tcW w:w="1188"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7" w:hRule="exact"/>
          <w:jc w:val="center"/>
        </w:trPr>
        <w:tc>
          <w:tcPr>
            <w:tcW w:w="805"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41</w:t>
            </w:r>
          </w:p>
        </w:tc>
        <w:tc>
          <w:tcPr>
            <w:tcW w:w="1364"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舆情信息</w:t>
            </w:r>
          </w:p>
        </w:tc>
        <w:tc>
          <w:tcPr>
            <w:tcW w:w="2904" w:type="dxa"/>
            <w:vAlign w:val="center"/>
          </w:tcPr>
          <w:p>
            <w:pPr>
              <w:keepNext w:val="0"/>
              <w:keepLines w:val="0"/>
              <w:pageBreakBefore w:val="0"/>
              <w:widowControl/>
              <w:kinsoku/>
              <w:wordWrap/>
              <w:overflowPunct/>
              <w:topLinePunct w:val="0"/>
              <w:bidi w:val="0"/>
              <w:adjustRightInd/>
              <w:snapToGrid/>
              <w:spacing w:line="320" w:lineRule="exact"/>
              <w:ind w:firstLine="0" w:firstLine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发现不合格项</w:t>
            </w:r>
          </w:p>
        </w:tc>
        <w:tc>
          <w:tcPr>
            <w:tcW w:w="4855" w:type="dxa"/>
            <w:vAlign w:val="center"/>
          </w:tcPr>
          <w:p>
            <w:pPr>
              <w:keepNext w:val="0"/>
              <w:keepLines w:val="0"/>
              <w:pageBreakBefore w:val="0"/>
              <w:widowControl/>
              <w:kinsoku/>
              <w:wordWrap/>
              <w:overflowPunct/>
              <w:topLinePunct w:val="0"/>
              <w:bidi w:val="0"/>
              <w:adjustRightInd/>
              <w:snapToGrid/>
              <w:spacing w:line="320" w:lineRule="exact"/>
              <w:ind w:firstLine="0" w:firstLine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记录，整改</w:t>
            </w:r>
          </w:p>
        </w:tc>
        <w:tc>
          <w:tcPr>
            <w:tcW w:w="1623"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日管控</w:t>
            </w:r>
          </w:p>
        </w:tc>
        <w:tc>
          <w:tcPr>
            <w:tcW w:w="1456" w:type="dxa"/>
            <w:vAlign w:val="center"/>
          </w:tcPr>
          <w:p>
            <w:pPr>
              <w:keepNext w:val="0"/>
              <w:keepLines w:val="0"/>
              <w:pageBreakBefore w:val="0"/>
              <w:widowControl/>
              <w:kinsoku/>
              <w:wordWrap/>
              <w:overflowPunct/>
              <w:topLinePunct w:val="0"/>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安全员</w:t>
            </w:r>
          </w:p>
        </w:tc>
        <w:tc>
          <w:tcPr>
            <w:tcW w:w="1188" w:type="dxa"/>
            <w:vAlign w:val="center"/>
          </w:tcPr>
          <w:p>
            <w:pPr>
              <w:keepNext w:val="0"/>
              <w:keepLines w:val="0"/>
              <w:pageBreakBefore w:val="0"/>
              <w:kinsoku/>
              <w:wordWrap/>
              <w:overflowPunct/>
              <w:topLinePunct w:val="0"/>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szCs w:val="24"/>
              </w:rPr>
            </w:pPr>
          </w:p>
        </w:tc>
      </w:tr>
    </w:tbl>
    <w:p>
      <w:pP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备注：本清单为推荐性格式，仅规定了应当进行日管控、周排查、月调度的基本项目，压力管道使用单位应当结合本单位实际，细化风险管控清单，合理调整管控形式。</w:t>
      </w:r>
    </w:p>
    <w:p>
      <w:pP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br w:type="page"/>
      </w:r>
    </w:p>
    <w:p>
      <w:pPr>
        <w:pStyle w:val="4"/>
        <w:bidi w:val="0"/>
        <w:jc w:val="left"/>
      </w:pPr>
      <w:bookmarkStart w:id="268" w:name="_Toc16981"/>
      <w:bookmarkStart w:id="269" w:name="_Toc15208_WPSOffice_Level1"/>
      <w:r>
        <w:rPr>
          <w:rFonts w:hint="eastAsia"/>
          <w:b w:val="0"/>
          <w:bCs/>
          <w:sz w:val="32"/>
          <w:szCs w:val="32"/>
        </w:rPr>
        <w:t>附录B5</w:t>
      </w:r>
      <w:r>
        <w:rPr>
          <w:rFonts w:hint="eastAsia"/>
        </w:rPr>
        <w:t xml:space="preserve">           </w:t>
      </w:r>
      <w:r>
        <w:rPr>
          <w:rFonts w:hint="eastAsia"/>
          <w:lang w:val="en-US" w:eastAsia="zh-CN"/>
        </w:rPr>
        <w:t xml:space="preserve">      </w:t>
      </w:r>
      <w:r>
        <w:rPr>
          <w:rFonts w:hint="eastAsia"/>
        </w:rPr>
        <w:t>电梯安全风险管控清单</w:t>
      </w:r>
      <w:bookmarkEnd w:id="268"/>
      <w:bookmarkEnd w:id="269"/>
    </w:p>
    <w:tbl>
      <w:tblPr>
        <w:tblStyle w:val="1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79"/>
        <w:gridCol w:w="1371"/>
        <w:gridCol w:w="3705"/>
        <w:gridCol w:w="3972"/>
        <w:gridCol w:w="1555"/>
        <w:gridCol w:w="1500"/>
        <w:gridCol w:w="108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 w:hRule="exact"/>
          <w:tblHeader/>
          <w:jc w:val="center"/>
        </w:trPr>
        <w:tc>
          <w:tcPr>
            <w:tcW w:w="0" w:type="auto"/>
            <w:shd w:val="clear" w:color="auto" w:fill="BEBEBE" w:themeFill="background1" w:themeFillShade="BF"/>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序号</w:t>
            </w:r>
          </w:p>
        </w:tc>
        <w:tc>
          <w:tcPr>
            <w:tcW w:w="1371" w:type="dxa"/>
            <w:shd w:val="clear" w:color="auto" w:fill="BEBEBE" w:themeFill="background1" w:themeFillShade="BF"/>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风险类别</w:t>
            </w:r>
          </w:p>
        </w:tc>
        <w:tc>
          <w:tcPr>
            <w:tcW w:w="3705" w:type="dxa"/>
            <w:shd w:val="clear" w:color="auto" w:fill="BEBEBE" w:themeFill="background1" w:themeFillShade="BF"/>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风险指标</w:t>
            </w:r>
          </w:p>
        </w:tc>
        <w:tc>
          <w:tcPr>
            <w:tcW w:w="3972" w:type="dxa"/>
            <w:shd w:val="clear" w:color="auto" w:fill="BEBEBE" w:themeFill="background1" w:themeFillShade="BF"/>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风险管控措施</w:t>
            </w:r>
          </w:p>
        </w:tc>
        <w:tc>
          <w:tcPr>
            <w:tcW w:w="1555" w:type="dxa"/>
            <w:shd w:val="clear" w:color="auto" w:fill="BEBEBE" w:themeFill="background1" w:themeFillShade="BF"/>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管控形式</w:t>
            </w:r>
          </w:p>
        </w:tc>
        <w:tc>
          <w:tcPr>
            <w:tcW w:w="1500" w:type="dxa"/>
            <w:shd w:val="clear" w:color="auto" w:fill="BEBEBE" w:themeFill="background1" w:themeFillShade="BF"/>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责任人</w:t>
            </w:r>
          </w:p>
        </w:tc>
        <w:tc>
          <w:tcPr>
            <w:tcW w:w="1081" w:type="dxa"/>
            <w:shd w:val="clear" w:color="auto" w:fill="BEBEBE" w:themeFill="background1" w:themeFillShade="BF"/>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1" w:hRule="atLeast"/>
          <w:jc w:val="center"/>
        </w:trPr>
        <w:tc>
          <w:tcPr>
            <w:tcW w:w="0" w:type="auto"/>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w:t>
            </w:r>
          </w:p>
        </w:tc>
        <w:tc>
          <w:tcPr>
            <w:tcW w:w="1371" w:type="dxa"/>
            <w:vMerge w:val="restart"/>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人员</w:t>
            </w:r>
          </w:p>
        </w:tc>
        <w:tc>
          <w:tcPr>
            <w:tcW w:w="370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未按规定配备安全管理人员和作业人员</w:t>
            </w:r>
          </w:p>
        </w:tc>
        <w:tc>
          <w:tcPr>
            <w:tcW w:w="3972"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1.建立特种设备安全管理人员与作业人员管理制度；</w:t>
            </w:r>
          </w:p>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2.按规定配备相关人员。</w:t>
            </w:r>
          </w:p>
        </w:tc>
        <w:tc>
          <w:tcPr>
            <w:tcW w:w="155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月调度</w:t>
            </w:r>
          </w:p>
        </w:tc>
        <w:tc>
          <w:tcPr>
            <w:tcW w:w="15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主要负责人</w:t>
            </w:r>
          </w:p>
        </w:tc>
        <w:tc>
          <w:tcPr>
            <w:tcW w:w="108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jc w:val="center"/>
        </w:trPr>
        <w:tc>
          <w:tcPr>
            <w:tcW w:w="0" w:type="auto"/>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w:t>
            </w:r>
          </w:p>
        </w:tc>
        <w:tc>
          <w:tcPr>
            <w:tcW w:w="1371"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p>
        </w:tc>
        <w:tc>
          <w:tcPr>
            <w:tcW w:w="370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作业人员未持有相应资格证件</w:t>
            </w:r>
          </w:p>
        </w:tc>
        <w:tc>
          <w:tcPr>
            <w:tcW w:w="3972"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配备具有相应职责资质的作业人员，加强资格证的换证管理</w:t>
            </w:r>
          </w:p>
        </w:tc>
        <w:tc>
          <w:tcPr>
            <w:tcW w:w="155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周排查</w:t>
            </w:r>
          </w:p>
        </w:tc>
        <w:tc>
          <w:tcPr>
            <w:tcW w:w="15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108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7" w:hRule="atLeast"/>
          <w:jc w:val="center"/>
        </w:trPr>
        <w:tc>
          <w:tcPr>
            <w:tcW w:w="0" w:type="auto"/>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w:t>
            </w:r>
          </w:p>
        </w:tc>
        <w:tc>
          <w:tcPr>
            <w:tcW w:w="1371"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p>
        </w:tc>
        <w:tc>
          <w:tcPr>
            <w:tcW w:w="370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未按规定对安全管理人员和作业人员开展安全教育培训</w:t>
            </w:r>
          </w:p>
        </w:tc>
        <w:tc>
          <w:tcPr>
            <w:tcW w:w="3972"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按规定开展安全培训教育</w:t>
            </w:r>
          </w:p>
        </w:tc>
        <w:tc>
          <w:tcPr>
            <w:tcW w:w="155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周排查</w:t>
            </w:r>
          </w:p>
        </w:tc>
        <w:tc>
          <w:tcPr>
            <w:tcW w:w="15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108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5" w:hRule="atLeast"/>
          <w:jc w:val="center"/>
        </w:trPr>
        <w:tc>
          <w:tcPr>
            <w:tcW w:w="0" w:type="auto"/>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w:t>
            </w:r>
          </w:p>
        </w:tc>
        <w:tc>
          <w:tcPr>
            <w:tcW w:w="1371"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p>
        </w:tc>
        <w:tc>
          <w:tcPr>
            <w:tcW w:w="370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作业人员违章作业或到岗值守情况不符合要求</w:t>
            </w:r>
          </w:p>
        </w:tc>
        <w:tc>
          <w:tcPr>
            <w:tcW w:w="3972"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检查电梯巡检人员到岗值守情况，纠正和制止违章作业行为</w:t>
            </w:r>
          </w:p>
        </w:tc>
        <w:tc>
          <w:tcPr>
            <w:tcW w:w="155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日管控</w:t>
            </w:r>
          </w:p>
        </w:tc>
        <w:tc>
          <w:tcPr>
            <w:tcW w:w="15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安全员</w:t>
            </w:r>
          </w:p>
        </w:tc>
        <w:tc>
          <w:tcPr>
            <w:tcW w:w="108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7" w:hRule="atLeast"/>
          <w:jc w:val="center"/>
        </w:trPr>
        <w:tc>
          <w:tcPr>
            <w:tcW w:w="0" w:type="auto"/>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5</w:t>
            </w:r>
          </w:p>
        </w:tc>
        <w:tc>
          <w:tcPr>
            <w:tcW w:w="1371" w:type="dxa"/>
            <w:vMerge w:val="restart"/>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kern w:val="0"/>
                <w:sz w:val="24"/>
              </w:rPr>
              <w:t>管理</w:t>
            </w:r>
          </w:p>
        </w:tc>
        <w:tc>
          <w:tcPr>
            <w:tcW w:w="370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未按规定设置安全管理机构</w:t>
            </w:r>
          </w:p>
        </w:tc>
        <w:tc>
          <w:tcPr>
            <w:tcW w:w="3972" w:type="dxa"/>
            <w:vAlign w:val="center"/>
          </w:tcPr>
          <w:p>
            <w:pPr>
              <w:pStyle w:val="16"/>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根据使用的特种设备种类和数量，设置专门的安全管理机构。</w:t>
            </w:r>
          </w:p>
        </w:tc>
        <w:tc>
          <w:tcPr>
            <w:tcW w:w="155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月调度</w:t>
            </w:r>
          </w:p>
        </w:tc>
        <w:tc>
          <w:tcPr>
            <w:tcW w:w="15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主要负责人</w:t>
            </w:r>
          </w:p>
        </w:tc>
        <w:tc>
          <w:tcPr>
            <w:tcW w:w="108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2" w:hRule="atLeast"/>
          <w:jc w:val="center"/>
        </w:trPr>
        <w:tc>
          <w:tcPr>
            <w:tcW w:w="0" w:type="auto"/>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6</w:t>
            </w:r>
          </w:p>
        </w:tc>
        <w:tc>
          <w:tcPr>
            <w:tcW w:w="1371"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p>
        </w:tc>
        <w:tc>
          <w:tcPr>
            <w:tcW w:w="370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kern w:val="0"/>
                <w:sz w:val="24"/>
              </w:rPr>
              <w:t>未建立电梯</w:t>
            </w:r>
            <w:r>
              <w:rPr>
                <w:rFonts w:hint="eastAsia" w:asciiTheme="minorEastAsia" w:hAnsiTheme="minorEastAsia" w:eastAsiaTheme="minorEastAsia" w:cstheme="minorEastAsia"/>
                <w:sz w:val="24"/>
              </w:rPr>
              <w:t>使用安全管理制度</w:t>
            </w:r>
          </w:p>
        </w:tc>
        <w:tc>
          <w:tcPr>
            <w:tcW w:w="3972" w:type="dxa"/>
            <w:vAlign w:val="center"/>
          </w:tcPr>
          <w:p>
            <w:pPr>
              <w:keepNext w:val="0"/>
              <w:keepLines w:val="0"/>
              <w:pageBreakBefore w:val="0"/>
              <w:numPr>
                <w:ilvl w:val="0"/>
                <w:numId w:val="1"/>
              </w:numPr>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制定电梯安全管理机构和相关人员岗位职责；</w:t>
            </w:r>
          </w:p>
          <w:p>
            <w:pPr>
              <w:keepNext w:val="0"/>
              <w:keepLines w:val="0"/>
              <w:pageBreakBefore w:val="0"/>
              <w:numPr>
                <w:ilvl w:val="0"/>
                <w:numId w:val="1"/>
              </w:numPr>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制定《电梯安全总监职责》《电梯安全员守则》《电梯安全日管控、周排查、月调度管理制度》；</w:t>
            </w:r>
          </w:p>
          <w:p>
            <w:pPr>
              <w:pStyle w:val="16"/>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3.按《特种设备使用管理规则》建立电梯使用安全和节能管理制度 。</w:t>
            </w:r>
          </w:p>
        </w:tc>
        <w:tc>
          <w:tcPr>
            <w:tcW w:w="155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周排查</w:t>
            </w:r>
          </w:p>
        </w:tc>
        <w:tc>
          <w:tcPr>
            <w:tcW w:w="15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108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7" w:hRule="atLeast"/>
          <w:jc w:val="center"/>
        </w:trPr>
        <w:tc>
          <w:tcPr>
            <w:tcW w:w="0" w:type="auto"/>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7</w:t>
            </w:r>
          </w:p>
        </w:tc>
        <w:tc>
          <w:tcPr>
            <w:tcW w:w="1371"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p>
        </w:tc>
        <w:tc>
          <w:tcPr>
            <w:tcW w:w="370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未建立安全技术档案</w:t>
            </w:r>
          </w:p>
        </w:tc>
        <w:tc>
          <w:tcPr>
            <w:tcW w:w="3972" w:type="dxa"/>
            <w:vAlign w:val="center"/>
          </w:tcPr>
          <w:p>
            <w:pPr>
              <w:pStyle w:val="16"/>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1.建立电梯安全技术档案管理制度，明确档案内容及管理要求；</w:t>
            </w:r>
          </w:p>
          <w:p>
            <w:pPr>
              <w:pStyle w:val="16"/>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2.按规定逐台建立安全技术档案并及时更新安全技术档案。 </w:t>
            </w:r>
          </w:p>
        </w:tc>
        <w:tc>
          <w:tcPr>
            <w:tcW w:w="155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周排查</w:t>
            </w:r>
          </w:p>
        </w:tc>
        <w:tc>
          <w:tcPr>
            <w:tcW w:w="15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108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jc w:val="center"/>
        </w:trPr>
        <w:tc>
          <w:tcPr>
            <w:tcW w:w="0" w:type="auto"/>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8</w:t>
            </w:r>
          </w:p>
        </w:tc>
        <w:tc>
          <w:tcPr>
            <w:tcW w:w="1371"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p>
        </w:tc>
        <w:tc>
          <w:tcPr>
            <w:tcW w:w="370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未按规定办理使用登记、变更登记及停用、报废等手续</w:t>
            </w:r>
          </w:p>
        </w:tc>
        <w:tc>
          <w:tcPr>
            <w:tcW w:w="3972" w:type="dxa"/>
            <w:vAlign w:val="center"/>
          </w:tcPr>
          <w:p>
            <w:pPr>
              <w:keepNext w:val="0"/>
              <w:keepLines w:val="0"/>
              <w:pageBreakBefore w:val="0"/>
              <w:numPr>
                <w:ilvl w:val="255"/>
                <w:numId w:val="0"/>
              </w:numPr>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1.建立使用管理制度和规程，明确相关内容及安全管理要求；</w:t>
            </w:r>
          </w:p>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 按规定办理使用登记、变更登记及停用、报废手续。</w:t>
            </w:r>
          </w:p>
        </w:tc>
        <w:tc>
          <w:tcPr>
            <w:tcW w:w="155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周排查</w:t>
            </w:r>
          </w:p>
        </w:tc>
        <w:tc>
          <w:tcPr>
            <w:tcW w:w="15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108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9" w:hRule="atLeast"/>
          <w:jc w:val="center"/>
        </w:trPr>
        <w:tc>
          <w:tcPr>
            <w:tcW w:w="0" w:type="auto"/>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9</w:t>
            </w:r>
          </w:p>
        </w:tc>
        <w:tc>
          <w:tcPr>
            <w:tcW w:w="1371"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p>
        </w:tc>
        <w:tc>
          <w:tcPr>
            <w:tcW w:w="370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未按规定制定电梯事故应急专项预案并定期演练</w:t>
            </w:r>
          </w:p>
        </w:tc>
        <w:tc>
          <w:tcPr>
            <w:tcW w:w="3972"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制定电梯事故应急专项预案并每年至少开展1次演练</w:t>
            </w:r>
          </w:p>
        </w:tc>
        <w:tc>
          <w:tcPr>
            <w:tcW w:w="155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月调度</w:t>
            </w:r>
          </w:p>
        </w:tc>
        <w:tc>
          <w:tcPr>
            <w:tcW w:w="15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主要负责人</w:t>
            </w:r>
          </w:p>
        </w:tc>
        <w:tc>
          <w:tcPr>
            <w:tcW w:w="108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9" w:hRule="atLeast"/>
          <w:jc w:val="center"/>
        </w:trPr>
        <w:tc>
          <w:tcPr>
            <w:tcW w:w="0" w:type="auto"/>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10</w:t>
            </w:r>
          </w:p>
        </w:tc>
        <w:tc>
          <w:tcPr>
            <w:tcW w:w="1371"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p>
        </w:tc>
        <w:tc>
          <w:tcPr>
            <w:tcW w:w="370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电梯维护保养单位未按规定取得相应的许可资质</w:t>
            </w:r>
          </w:p>
        </w:tc>
        <w:tc>
          <w:tcPr>
            <w:tcW w:w="3972"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查看电梯维护保养单位的资质应覆盖本单位电梯</w:t>
            </w:r>
          </w:p>
        </w:tc>
        <w:tc>
          <w:tcPr>
            <w:tcW w:w="155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月调度</w:t>
            </w:r>
          </w:p>
        </w:tc>
        <w:tc>
          <w:tcPr>
            <w:tcW w:w="15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108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8" w:hRule="atLeast"/>
          <w:jc w:val="center"/>
        </w:trPr>
        <w:tc>
          <w:tcPr>
            <w:tcW w:w="0" w:type="auto"/>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11</w:t>
            </w:r>
          </w:p>
        </w:tc>
        <w:tc>
          <w:tcPr>
            <w:tcW w:w="1371" w:type="dxa"/>
            <w:vMerge w:val="restart"/>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设备</w:t>
            </w:r>
          </w:p>
        </w:tc>
        <w:tc>
          <w:tcPr>
            <w:tcW w:w="370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选用国家明令禁止或淘汰的电梯产品</w:t>
            </w:r>
          </w:p>
        </w:tc>
        <w:tc>
          <w:tcPr>
            <w:tcW w:w="3972" w:type="dxa"/>
            <w:vAlign w:val="center"/>
          </w:tcPr>
          <w:p>
            <w:pPr>
              <w:pStyle w:val="16"/>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建立采购管理制度，明确采购、验收要求</w:t>
            </w:r>
          </w:p>
        </w:tc>
        <w:tc>
          <w:tcPr>
            <w:tcW w:w="155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月调度</w:t>
            </w:r>
          </w:p>
        </w:tc>
        <w:tc>
          <w:tcPr>
            <w:tcW w:w="15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主要负责人</w:t>
            </w:r>
          </w:p>
        </w:tc>
        <w:tc>
          <w:tcPr>
            <w:tcW w:w="108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5" w:hRule="atLeast"/>
          <w:jc w:val="center"/>
        </w:trPr>
        <w:tc>
          <w:tcPr>
            <w:tcW w:w="0" w:type="auto"/>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12</w:t>
            </w:r>
          </w:p>
        </w:tc>
        <w:tc>
          <w:tcPr>
            <w:tcW w:w="1371"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p>
        </w:tc>
        <w:tc>
          <w:tcPr>
            <w:tcW w:w="370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未按有关法律法规、安全技术规范或合同约定进行维护保养；</w:t>
            </w:r>
          </w:p>
        </w:tc>
        <w:tc>
          <w:tcPr>
            <w:tcW w:w="3972" w:type="dxa"/>
            <w:vAlign w:val="center"/>
          </w:tcPr>
          <w:p>
            <w:pPr>
              <w:keepNext w:val="0"/>
              <w:keepLines w:val="0"/>
              <w:pageBreakBefore w:val="0"/>
              <w:numPr>
                <w:ilvl w:val="255"/>
                <w:numId w:val="0"/>
              </w:numPr>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监督维保单位按照《电梯维护保养规则》或合同约定的周期、内容开展电梯维保工作</w:t>
            </w:r>
          </w:p>
        </w:tc>
        <w:tc>
          <w:tcPr>
            <w:tcW w:w="155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周排查</w:t>
            </w:r>
          </w:p>
        </w:tc>
        <w:tc>
          <w:tcPr>
            <w:tcW w:w="15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108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2" w:hRule="atLeast"/>
          <w:jc w:val="center"/>
        </w:trPr>
        <w:tc>
          <w:tcPr>
            <w:tcW w:w="0" w:type="auto"/>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13</w:t>
            </w:r>
          </w:p>
        </w:tc>
        <w:tc>
          <w:tcPr>
            <w:tcW w:w="1371"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p>
        </w:tc>
        <w:tc>
          <w:tcPr>
            <w:tcW w:w="370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驱动主机运行时有无异常振动和异常声响。</w:t>
            </w:r>
          </w:p>
        </w:tc>
        <w:tc>
          <w:tcPr>
            <w:tcW w:w="3972"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每日观察驱动主机运行情况</w:t>
            </w:r>
          </w:p>
        </w:tc>
        <w:tc>
          <w:tcPr>
            <w:tcW w:w="155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日管控</w:t>
            </w:r>
          </w:p>
        </w:tc>
        <w:tc>
          <w:tcPr>
            <w:tcW w:w="15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安全员</w:t>
            </w:r>
          </w:p>
        </w:tc>
        <w:tc>
          <w:tcPr>
            <w:tcW w:w="108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54" w:hRule="atLeast"/>
          <w:jc w:val="center"/>
        </w:trPr>
        <w:tc>
          <w:tcPr>
            <w:tcW w:w="0" w:type="auto"/>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14</w:t>
            </w:r>
          </w:p>
        </w:tc>
        <w:tc>
          <w:tcPr>
            <w:tcW w:w="1371"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p>
        </w:tc>
        <w:tc>
          <w:tcPr>
            <w:tcW w:w="370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应急救援通道是否畅通。</w:t>
            </w:r>
          </w:p>
        </w:tc>
        <w:tc>
          <w:tcPr>
            <w:tcW w:w="3972"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每日巡查应急救援通道是否畅通</w:t>
            </w:r>
          </w:p>
        </w:tc>
        <w:tc>
          <w:tcPr>
            <w:tcW w:w="155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日管控</w:t>
            </w:r>
          </w:p>
        </w:tc>
        <w:tc>
          <w:tcPr>
            <w:tcW w:w="15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安全员</w:t>
            </w:r>
          </w:p>
        </w:tc>
        <w:tc>
          <w:tcPr>
            <w:tcW w:w="108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6" w:hRule="atLeast"/>
          <w:jc w:val="center"/>
        </w:trPr>
        <w:tc>
          <w:tcPr>
            <w:tcW w:w="0" w:type="auto"/>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15</w:t>
            </w:r>
          </w:p>
        </w:tc>
        <w:tc>
          <w:tcPr>
            <w:tcW w:w="1371"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p>
        </w:tc>
        <w:tc>
          <w:tcPr>
            <w:tcW w:w="370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未按规定进行定期检验、自行检测 </w:t>
            </w:r>
          </w:p>
        </w:tc>
        <w:tc>
          <w:tcPr>
            <w:tcW w:w="3972"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制定定期检验、自行检测计划并组织实施，落实定期检验、自行检测的后续整改工作</w:t>
            </w:r>
          </w:p>
        </w:tc>
        <w:tc>
          <w:tcPr>
            <w:tcW w:w="155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月调度</w:t>
            </w:r>
          </w:p>
        </w:tc>
        <w:tc>
          <w:tcPr>
            <w:tcW w:w="15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主要负责人</w:t>
            </w:r>
          </w:p>
        </w:tc>
        <w:tc>
          <w:tcPr>
            <w:tcW w:w="108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95" w:hRule="atLeast"/>
          <w:jc w:val="center"/>
        </w:trPr>
        <w:tc>
          <w:tcPr>
            <w:tcW w:w="0" w:type="auto"/>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16</w:t>
            </w:r>
          </w:p>
        </w:tc>
        <w:tc>
          <w:tcPr>
            <w:tcW w:w="1371" w:type="dxa"/>
            <w:vMerge w:val="restart"/>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安全附件和</w:t>
            </w:r>
          </w:p>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安全保护装置</w:t>
            </w:r>
          </w:p>
        </w:tc>
        <w:tc>
          <w:tcPr>
            <w:tcW w:w="370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轿内报警装置、对讲系统是否工作正常。</w:t>
            </w:r>
          </w:p>
        </w:tc>
        <w:tc>
          <w:tcPr>
            <w:tcW w:w="3972"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每日检查轿内报警装置、对讲系统情况。</w:t>
            </w:r>
          </w:p>
        </w:tc>
        <w:tc>
          <w:tcPr>
            <w:tcW w:w="155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日管控</w:t>
            </w:r>
          </w:p>
        </w:tc>
        <w:tc>
          <w:tcPr>
            <w:tcW w:w="15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安全员</w:t>
            </w:r>
          </w:p>
        </w:tc>
        <w:tc>
          <w:tcPr>
            <w:tcW w:w="108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20" w:hRule="atLeast"/>
          <w:jc w:val="center"/>
        </w:trPr>
        <w:tc>
          <w:tcPr>
            <w:tcW w:w="0" w:type="auto"/>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17</w:t>
            </w:r>
          </w:p>
        </w:tc>
        <w:tc>
          <w:tcPr>
            <w:tcW w:w="1371"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p>
        </w:tc>
        <w:tc>
          <w:tcPr>
            <w:tcW w:w="370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紧急停止装置是否有效。</w:t>
            </w:r>
          </w:p>
        </w:tc>
        <w:tc>
          <w:tcPr>
            <w:tcW w:w="3972"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每日检查自动扶梯与自动人行道的紧急停止装置。</w:t>
            </w:r>
          </w:p>
        </w:tc>
        <w:tc>
          <w:tcPr>
            <w:tcW w:w="155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日管控</w:t>
            </w:r>
          </w:p>
        </w:tc>
        <w:tc>
          <w:tcPr>
            <w:tcW w:w="15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安全员</w:t>
            </w:r>
          </w:p>
        </w:tc>
        <w:tc>
          <w:tcPr>
            <w:tcW w:w="108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8" w:hRule="atLeast"/>
          <w:jc w:val="center"/>
        </w:trPr>
        <w:tc>
          <w:tcPr>
            <w:tcW w:w="0" w:type="auto"/>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18</w:t>
            </w:r>
          </w:p>
        </w:tc>
        <w:tc>
          <w:tcPr>
            <w:tcW w:w="1371"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p>
        </w:tc>
        <w:tc>
          <w:tcPr>
            <w:tcW w:w="370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轿门防撞击保护装置功能是否有效(安全触板，光幕、光电等)。</w:t>
            </w:r>
          </w:p>
        </w:tc>
        <w:tc>
          <w:tcPr>
            <w:tcW w:w="3972"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每日检查轿门防撞击保护装置情况。</w:t>
            </w:r>
          </w:p>
        </w:tc>
        <w:tc>
          <w:tcPr>
            <w:tcW w:w="155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日管控</w:t>
            </w:r>
          </w:p>
        </w:tc>
        <w:tc>
          <w:tcPr>
            <w:tcW w:w="15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安全员</w:t>
            </w:r>
          </w:p>
        </w:tc>
        <w:tc>
          <w:tcPr>
            <w:tcW w:w="108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0" w:hRule="atLeast"/>
          <w:jc w:val="center"/>
        </w:trPr>
        <w:tc>
          <w:tcPr>
            <w:tcW w:w="0" w:type="auto"/>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19</w:t>
            </w:r>
          </w:p>
        </w:tc>
        <w:tc>
          <w:tcPr>
            <w:tcW w:w="1371"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p>
        </w:tc>
        <w:tc>
          <w:tcPr>
            <w:tcW w:w="370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示按要求配备手动紧急操作装置是否齐全</w:t>
            </w:r>
          </w:p>
        </w:tc>
        <w:tc>
          <w:tcPr>
            <w:tcW w:w="3972"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每日手动紧急操作装置是否齐全</w:t>
            </w:r>
          </w:p>
        </w:tc>
        <w:tc>
          <w:tcPr>
            <w:tcW w:w="155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日管控</w:t>
            </w:r>
          </w:p>
        </w:tc>
        <w:tc>
          <w:tcPr>
            <w:tcW w:w="15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安全员</w:t>
            </w:r>
          </w:p>
        </w:tc>
        <w:tc>
          <w:tcPr>
            <w:tcW w:w="108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4" w:hRule="atLeast"/>
          <w:jc w:val="center"/>
        </w:trPr>
        <w:tc>
          <w:tcPr>
            <w:tcW w:w="0" w:type="auto"/>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20</w:t>
            </w:r>
          </w:p>
        </w:tc>
        <w:tc>
          <w:tcPr>
            <w:tcW w:w="1371"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p>
        </w:tc>
        <w:tc>
          <w:tcPr>
            <w:tcW w:w="370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未制定应急救援程序</w:t>
            </w:r>
          </w:p>
        </w:tc>
        <w:tc>
          <w:tcPr>
            <w:tcW w:w="3972"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每日检查应急救援程序</w:t>
            </w:r>
          </w:p>
        </w:tc>
        <w:tc>
          <w:tcPr>
            <w:tcW w:w="155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日管控</w:t>
            </w:r>
          </w:p>
        </w:tc>
        <w:tc>
          <w:tcPr>
            <w:tcW w:w="15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安全员</w:t>
            </w:r>
          </w:p>
        </w:tc>
        <w:tc>
          <w:tcPr>
            <w:tcW w:w="108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6" w:hRule="atLeast"/>
          <w:jc w:val="center"/>
        </w:trPr>
        <w:tc>
          <w:tcPr>
            <w:tcW w:w="0" w:type="auto"/>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kern w:val="0"/>
                <w:sz w:val="24"/>
              </w:rPr>
              <w:t>21</w:t>
            </w:r>
          </w:p>
        </w:tc>
        <w:tc>
          <w:tcPr>
            <w:tcW w:w="1371" w:type="dxa"/>
            <w:vMerge w:val="restart"/>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环境</w:t>
            </w:r>
          </w:p>
        </w:tc>
        <w:tc>
          <w:tcPr>
            <w:tcW w:w="370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szCs w:val="24"/>
              </w:rPr>
              <w:t>电梯运行环境存在不符合安全技术规范要求的情况。</w:t>
            </w:r>
          </w:p>
        </w:tc>
        <w:tc>
          <w:tcPr>
            <w:tcW w:w="3972"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1.制定电梯巡查制度，设定巡查频次。</w:t>
            </w:r>
          </w:p>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2.依据安全技术规范的要求，保证电梯运行环境符合有关要求。</w:t>
            </w:r>
          </w:p>
        </w:tc>
        <w:tc>
          <w:tcPr>
            <w:tcW w:w="155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周排查</w:t>
            </w:r>
          </w:p>
        </w:tc>
        <w:tc>
          <w:tcPr>
            <w:tcW w:w="15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108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9" w:hRule="atLeast"/>
          <w:jc w:val="center"/>
        </w:trPr>
        <w:tc>
          <w:tcPr>
            <w:tcW w:w="0" w:type="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22</w:t>
            </w:r>
          </w:p>
        </w:tc>
        <w:tc>
          <w:tcPr>
            <w:tcW w:w="1371" w:type="dxa"/>
            <w:vMerge w:val="continue"/>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p>
        </w:tc>
        <w:tc>
          <w:tcPr>
            <w:tcW w:w="370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未按有关规定设置警示标志或说明</w:t>
            </w:r>
          </w:p>
        </w:tc>
        <w:tc>
          <w:tcPr>
            <w:tcW w:w="3972"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每日检查电梯安全警示标志是否张贴</w:t>
            </w:r>
          </w:p>
        </w:tc>
        <w:tc>
          <w:tcPr>
            <w:tcW w:w="155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日管控</w:t>
            </w:r>
          </w:p>
        </w:tc>
        <w:tc>
          <w:tcPr>
            <w:tcW w:w="15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安全员</w:t>
            </w:r>
          </w:p>
        </w:tc>
        <w:tc>
          <w:tcPr>
            <w:tcW w:w="108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9" w:hRule="atLeast"/>
          <w:jc w:val="center"/>
        </w:trPr>
        <w:tc>
          <w:tcPr>
            <w:tcW w:w="0" w:type="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23</w:t>
            </w:r>
          </w:p>
        </w:tc>
        <w:tc>
          <w:tcPr>
            <w:tcW w:w="1371" w:type="dxa"/>
            <w:vMerge w:val="continue"/>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p>
        </w:tc>
        <w:tc>
          <w:tcPr>
            <w:tcW w:w="370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电梯使用场所是否在易腐蚀、易燃易爆或人员密集场所；</w:t>
            </w:r>
          </w:p>
        </w:tc>
        <w:tc>
          <w:tcPr>
            <w:tcW w:w="3972"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检查本单位电梯是否有处于易腐蚀、易燃易爆或人员密集场所或环境</w:t>
            </w:r>
          </w:p>
        </w:tc>
        <w:tc>
          <w:tcPr>
            <w:tcW w:w="155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周排查</w:t>
            </w:r>
          </w:p>
        </w:tc>
        <w:tc>
          <w:tcPr>
            <w:tcW w:w="15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108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9" w:hRule="atLeast"/>
          <w:jc w:val="center"/>
        </w:trPr>
        <w:tc>
          <w:tcPr>
            <w:tcW w:w="0" w:type="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24</w:t>
            </w:r>
          </w:p>
        </w:tc>
        <w:tc>
          <w:tcPr>
            <w:tcW w:w="1371"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政府监督、</w:t>
            </w:r>
          </w:p>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sz w:val="24"/>
              </w:rPr>
              <w:t>通报、预警</w:t>
            </w:r>
          </w:p>
        </w:tc>
        <w:tc>
          <w:tcPr>
            <w:tcW w:w="370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发现不合格项</w:t>
            </w:r>
          </w:p>
        </w:tc>
        <w:tc>
          <w:tcPr>
            <w:tcW w:w="3972"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记录，整改。</w:t>
            </w:r>
          </w:p>
        </w:tc>
        <w:tc>
          <w:tcPr>
            <w:tcW w:w="155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月调度</w:t>
            </w:r>
          </w:p>
        </w:tc>
        <w:tc>
          <w:tcPr>
            <w:tcW w:w="15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主要负责人</w:t>
            </w:r>
          </w:p>
        </w:tc>
        <w:tc>
          <w:tcPr>
            <w:tcW w:w="108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3" w:hRule="atLeast"/>
          <w:jc w:val="center"/>
        </w:trPr>
        <w:tc>
          <w:tcPr>
            <w:tcW w:w="0" w:type="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25</w:t>
            </w:r>
          </w:p>
        </w:tc>
        <w:tc>
          <w:tcPr>
            <w:tcW w:w="1371"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投诉举报</w:t>
            </w:r>
          </w:p>
        </w:tc>
        <w:tc>
          <w:tcPr>
            <w:tcW w:w="370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发现不合格项</w:t>
            </w:r>
          </w:p>
        </w:tc>
        <w:tc>
          <w:tcPr>
            <w:tcW w:w="3972"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记录，整改，消除安全隐患。</w:t>
            </w:r>
          </w:p>
        </w:tc>
        <w:tc>
          <w:tcPr>
            <w:tcW w:w="155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月调度</w:t>
            </w:r>
          </w:p>
        </w:tc>
        <w:tc>
          <w:tcPr>
            <w:tcW w:w="15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主要负责人</w:t>
            </w:r>
          </w:p>
        </w:tc>
        <w:tc>
          <w:tcPr>
            <w:tcW w:w="108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jc w:val="center"/>
        </w:trPr>
        <w:tc>
          <w:tcPr>
            <w:tcW w:w="0" w:type="auto"/>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26</w:t>
            </w:r>
          </w:p>
        </w:tc>
        <w:tc>
          <w:tcPr>
            <w:tcW w:w="1371"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舆情信息</w:t>
            </w:r>
          </w:p>
        </w:tc>
        <w:tc>
          <w:tcPr>
            <w:tcW w:w="370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发现不合格项</w:t>
            </w:r>
          </w:p>
        </w:tc>
        <w:tc>
          <w:tcPr>
            <w:tcW w:w="3972"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记录，整改</w:t>
            </w:r>
          </w:p>
        </w:tc>
        <w:tc>
          <w:tcPr>
            <w:tcW w:w="155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月调度</w:t>
            </w:r>
          </w:p>
        </w:tc>
        <w:tc>
          <w:tcPr>
            <w:tcW w:w="15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主要负责人</w:t>
            </w:r>
          </w:p>
        </w:tc>
        <w:tc>
          <w:tcPr>
            <w:tcW w:w="1081"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p>
        </w:tc>
      </w:tr>
    </w:tbl>
    <w:p>
      <w:pPr>
        <w:widowControl/>
        <w:ind w:firstLine="482" w:firstLineChars="200"/>
        <w:rPr>
          <w:rFonts w:ascii="宋体" w:hAnsi="宋体" w:cs="宋体"/>
          <w:b/>
          <w:color w:val="000000" w:themeColor="text1"/>
          <w:sz w:val="24"/>
          <w:szCs w:val="24"/>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备注</w:t>
      </w:r>
      <w:r>
        <w:rPr>
          <w:rFonts w:hint="eastAsia" w:asciiTheme="minorEastAsia" w:hAnsiTheme="minorEastAsia" w:eastAsiaTheme="minorEastAsia" w:cstheme="minorEastAsia"/>
          <w:b/>
          <w:bCs/>
          <w:color w:val="000000" w:themeColor="text1"/>
          <w:kern w:val="0"/>
          <w:sz w:val="24"/>
          <w14:textFill>
            <w14:solidFill>
              <w14:schemeClr w14:val="tx1"/>
            </w14:solidFill>
          </w14:textFill>
        </w:rPr>
        <w:t>：</w:t>
      </w:r>
      <w:r>
        <w:rPr>
          <w:rFonts w:hint="eastAsia" w:asciiTheme="minorEastAsia" w:hAnsiTheme="minorEastAsia" w:eastAsiaTheme="minorEastAsia" w:cstheme="minorEastAsia"/>
          <w:b/>
          <w:color w:val="000000" w:themeColor="text1"/>
          <w:sz w:val="24"/>
          <w:szCs w:val="24"/>
          <w14:textFill>
            <w14:solidFill>
              <w14:schemeClr w14:val="tx1"/>
            </w14:solidFill>
          </w14:textFill>
        </w:rPr>
        <w:t>本清单为推荐性格式，仅规定了应当进行日管控、周排查、月调度的基本项目，电梯使用单位应当结合本单位实际情况和具体要求，细化风险管控清单，合理调整管控形式。</w:t>
      </w:r>
    </w:p>
    <w:p>
      <w:pPr>
        <w:rPr>
          <w:rFonts w:hint="eastAsia" w:ascii="方正仿宋_GBK" w:hAnsi="方正仿宋_GBK" w:eastAsia="方正仿宋_GBK" w:cs="方正仿宋_GBK"/>
          <w:sz w:val="32"/>
          <w:szCs w:val="32"/>
        </w:rPr>
      </w:pPr>
      <w:bookmarkStart w:id="270" w:name="_Toc11473_WPSOffice_Level1"/>
      <w:bookmarkStart w:id="271" w:name="_Toc12038"/>
      <w:r>
        <w:rPr>
          <w:rFonts w:hint="eastAsia" w:ascii="方正仿宋_GBK" w:hAnsi="方正仿宋_GBK" w:eastAsia="方正仿宋_GBK" w:cs="方正仿宋_GBK"/>
          <w:sz w:val="32"/>
          <w:szCs w:val="32"/>
        </w:rPr>
        <w:br w:type="page"/>
      </w:r>
    </w:p>
    <w:p>
      <w:pPr>
        <w:pStyle w:val="4"/>
        <w:bidi w:val="0"/>
        <w:jc w:val="left"/>
      </w:pPr>
      <w:bookmarkStart w:id="272" w:name="_Toc23194"/>
      <w:bookmarkStart w:id="273" w:name="_Toc18521"/>
      <w:bookmarkStart w:id="274" w:name="_Toc11585"/>
      <w:r>
        <w:rPr>
          <w:rFonts w:hint="eastAsia"/>
          <w:b w:val="0"/>
          <w:bCs/>
          <w:sz w:val="32"/>
          <w:szCs w:val="32"/>
        </w:rPr>
        <w:t>附录B6</w:t>
      </w:r>
      <w:r>
        <w:rPr>
          <w:rFonts w:hint="eastAsia"/>
        </w:rPr>
        <w:t xml:space="preserve">             </w:t>
      </w:r>
      <w:r>
        <w:rPr>
          <w:rFonts w:hint="eastAsia"/>
          <w:lang w:val="en-US" w:eastAsia="zh-CN"/>
        </w:rPr>
        <w:t xml:space="preserve">  </w:t>
      </w:r>
      <w:r>
        <w:rPr>
          <w:rFonts w:hint="eastAsia"/>
        </w:rPr>
        <w:t xml:space="preserve">  起重机械安全风险管控清单</w:t>
      </w:r>
      <w:bookmarkEnd w:id="270"/>
      <w:bookmarkEnd w:id="271"/>
      <w:bookmarkEnd w:id="272"/>
      <w:bookmarkEnd w:id="273"/>
      <w:bookmarkEnd w:id="274"/>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0"/>
        <w:gridCol w:w="1410"/>
        <w:gridCol w:w="2841"/>
        <w:gridCol w:w="4886"/>
        <w:gridCol w:w="1545"/>
        <w:gridCol w:w="1442"/>
        <w:gridCol w:w="1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blHeader/>
        </w:trPr>
        <w:tc>
          <w:tcPr>
            <w:tcW w:w="787" w:type="dxa"/>
            <w:shd w:val="clear" w:color="auto" w:fill="BEBEBE" w:themeFill="background1" w:themeFillShade="BF"/>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
                <w:bCs/>
                <w:kern w:val="0"/>
                <w:sz w:val="28"/>
                <w:szCs w:val="28"/>
                <w:highlight w:val="lightGray"/>
                <w:shd w:val="clear" w:color="FFFFFF" w:fill="D9D9D9"/>
              </w:rPr>
            </w:pPr>
            <w:r>
              <w:rPr>
                <w:rFonts w:hint="eastAsia" w:asciiTheme="minorEastAsia" w:hAnsiTheme="minorEastAsia" w:eastAsiaTheme="minorEastAsia" w:cstheme="minorEastAsia"/>
                <w:b/>
                <w:sz w:val="28"/>
                <w:szCs w:val="28"/>
                <w:highlight w:val="lightGray"/>
                <w:shd w:val="clear" w:color="FFFFFF" w:fill="D9D9D9"/>
              </w:rPr>
              <w:t>序号</w:t>
            </w:r>
          </w:p>
        </w:tc>
        <w:tc>
          <w:tcPr>
            <w:tcW w:w="1387" w:type="dxa"/>
            <w:shd w:val="clear" w:color="auto" w:fill="BEBEBE" w:themeFill="background1" w:themeFillShade="BF"/>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
                <w:bCs/>
                <w:kern w:val="0"/>
                <w:sz w:val="28"/>
                <w:szCs w:val="28"/>
                <w:highlight w:val="lightGray"/>
                <w:shd w:val="clear" w:color="FFFFFF" w:fill="D9D9D9"/>
              </w:rPr>
            </w:pPr>
            <w:r>
              <w:rPr>
                <w:rFonts w:hint="eastAsia" w:asciiTheme="minorEastAsia" w:hAnsiTheme="minorEastAsia" w:eastAsiaTheme="minorEastAsia" w:cstheme="minorEastAsia"/>
                <w:b/>
                <w:sz w:val="28"/>
                <w:szCs w:val="28"/>
                <w:highlight w:val="lightGray"/>
                <w:shd w:val="clear" w:color="FFFFFF" w:fill="D9D9D9"/>
              </w:rPr>
              <w:t>风险类别</w:t>
            </w:r>
          </w:p>
        </w:tc>
        <w:tc>
          <w:tcPr>
            <w:tcW w:w="2795" w:type="dxa"/>
            <w:shd w:val="clear" w:color="auto" w:fill="BEBEBE" w:themeFill="background1" w:themeFillShade="BF"/>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
                <w:bCs/>
                <w:kern w:val="0"/>
                <w:sz w:val="28"/>
                <w:szCs w:val="28"/>
                <w:highlight w:val="lightGray"/>
                <w:shd w:val="clear" w:color="FFFFFF" w:fill="D9D9D9"/>
              </w:rPr>
            </w:pPr>
            <w:r>
              <w:rPr>
                <w:rFonts w:hint="eastAsia" w:asciiTheme="minorEastAsia" w:hAnsiTheme="minorEastAsia" w:eastAsiaTheme="minorEastAsia" w:cstheme="minorEastAsia"/>
                <w:b/>
                <w:sz w:val="28"/>
                <w:szCs w:val="28"/>
                <w:highlight w:val="lightGray"/>
                <w:shd w:val="clear" w:color="FFFFFF" w:fill="D9D9D9"/>
              </w:rPr>
              <w:t>风险指标</w:t>
            </w:r>
          </w:p>
        </w:tc>
        <w:tc>
          <w:tcPr>
            <w:tcW w:w="4807" w:type="dxa"/>
            <w:shd w:val="clear" w:color="auto" w:fill="BEBEBE" w:themeFill="background1" w:themeFillShade="BF"/>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
                <w:bCs/>
                <w:kern w:val="0"/>
                <w:sz w:val="28"/>
                <w:szCs w:val="28"/>
                <w:highlight w:val="lightGray"/>
                <w:shd w:val="clear" w:color="FFFFFF" w:fill="D9D9D9"/>
              </w:rPr>
            </w:pPr>
            <w:r>
              <w:rPr>
                <w:rFonts w:hint="eastAsia" w:asciiTheme="minorEastAsia" w:hAnsiTheme="minorEastAsia" w:eastAsiaTheme="minorEastAsia" w:cstheme="minorEastAsia"/>
                <w:b/>
                <w:sz w:val="28"/>
                <w:szCs w:val="28"/>
                <w:highlight w:val="lightGray"/>
                <w:shd w:val="clear" w:color="FFFFFF" w:fill="D9D9D9"/>
              </w:rPr>
              <w:t>风险管控措施</w:t>
            </w:r>
          </w:p>
        </w:tc>
        <w:tc>
          <w:tcPr>
            <w:tcW w:w="1520" w:type="dxa"/>
            <w:shd w:val="clear" w:color="auto" w:fill="BEBEBE" w:themeFill="background1" w:themeFillShade="BF"/>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
                <w:bCs/>
                <w:kern w:val="0"/>
                <w:sz w:val="28"/>
                <w:szCs w:val="28"/>
                <w:highlight w:val="lightGray"/>
                <w:shd w:val="clear" w:color="FFFFFF" w:fill="D9D9D9"/>
              </w:rPr>
            </w:pPr>
            <w:r>
              <w:rPr>
                <w:rFonts w:hint="eastAsia" w:asciiTheme="minorEastAsia" w:hAnsiTheme="minorEastAsia" w:eastAsiaTheme="minorEastAsia" w:cstheme="minorEastAsia"/>
                <w:b/>
                <w:sz w:val="28"/>
                <w:szCs w:val="28"/>
                <w:highlight w:val="lightGray"/>
                <w:shd w:val="clear" w:color="FFFFFF" w:fill="D9D9D9"/>
              </w:rPr>
              <w:t>管控方式</w:t>
            </w:r>
          </w:p>
        </w:tc>
        <w:tc>
          <w:tcPr>
            <w:tcW w:w="1419" w:type="dxa"/>
            <w:shd w:val="clear" w:color="auto" w:fill="BEBEBE" w:themeFill="background1" w:themeFillShade="BF"/>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
                <w:bCs/>
                <w:kern w:val="0"/>
                <w:sz w:val="28"/>
                <w:szCs w:val="28"/>
                <w:highlight w:val="lightGray"/>
                <w:shd w:val="clear" w:color="FFFFFF" w:fill="D9D9D9"/>
              </w:rPr>
            </w:pPr>
            <w:r>
              <w:rPr>
                <w:rFonts w:hint="eastAsia" w:asciiTheme="minorEastAsia" w:hAnsiTheme="minorEastAsia" w:eastAsiaTheme="minorEastAsia" w:cstheme="minorEastAsia"/>
                <w:b/>
                <w:sz w:val="28"/>
                <w:szCs w:val="28"/>
                <w:highlight w:val="lightGray"/>
                <w:shd w:val="clear" w:color="FFFFFF" w:fill="D9D9D9"/>
              </w:rPr>
              <w:t>责任人</w:t>
            </w:r>
          </w:p>
        </w:tc>
        <w:tc>
          <w:tcPr>
            <w:tcW w:w="1108" w:type="dxa"/>
            <w:shd w:val="clear" w:color="auto" w:fill="BEBEBE" w:themeFill="background1" w:themeFillShade="BF"/>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
                <w:bCs/>
                <w:kern w:val="0"/>
                <w:sz w:val="28"/>
                <w:szCs w:val="28"/>
                <w:highlight w:val="lightGray"/>
                <w:shd w:val="clear" w:color="FFFFFF" w:fill="D9D9D9"/>
              </w:rPr>
            </w:pPr>
            <w:r>
              <w:rPr>
                <w:rFonts w:hint="eastAsia" w:asciiTheme="minorEastAsia" w:hAnsiTheme="minorEastAsia" w:eastAsiaTheme="minorEastAsia" w:cstheme="minorEastAsia"/>
                <w:b/>
                <w:sz w:val="28"/>
                <w:szCs w:val="28"/>
                <w:highlight w:val="lightGray"/>
                <w:shd w:val="clear" w:color="FFFFFF" w:fill="D9D9D9"/>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trPr>
        <w:tc>
          <w:tcPr>
            <w:tcW w:w="787"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w:t>
            </w:r>
          </w:p>
        </w:tc>
        <w:tc>
          <w:tcPr>
            <w:tcW w:w="1387" w:type="dxa"/>
            <w:vMerge w:val="restart"/>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人员</w:t>
            </w:r>
          </w:p>
        </w:tc>
        <w:tc>
          <w:tcPr>
            <w:tcW w:w="279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sz w:val="24"/>
              </w:rPr>
              <w:t>未按规定配备安全管理人员和作业人员</w:t>
            </w:r>
          </w:p>
        </w:tc>
        <w:tc>
          <w:tcPr>
            <w:tcW w:w="4807"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 w:val="24"/>
              </w:rPr>
              <w:t>建立特种设备安全管理人员与作业人员管理制度，按规定配备相关人员</w:t>
            </w:r>
          </w:p>
        </w:tc>
        <w:tc>
          <w:tcPr>
            <w:tcW w:w="1520"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sz w:val="24"/>
                <w:szCs w:val="24"/>
              </w:rPr>
              <w:t>月调度</w:t>
            </w:r>
          </w:p>
        </w:tc>
        <w:tc>
          <w:tcPr>
            <w:tcW w:w="1419"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sz w:val="24"/>
                <w:szCs w:val="24"/>
              </w:rPr>
              <w:t>主要负责人</w:t>
            </w:r>
          </w:p>
        </w:tc>
        <w:tc>
          <w:tcPr>
            <w:tcW w:w="1108"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trPr>
        <w:tc>
          <w:tcPr>
            <w:tcW w:w="787"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2</w:t>
            </w:r>
          </w:p>
        </w:tc>
        <w:tc>
          <w:tcPr>
            <w:tcW w:w="1387"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p>
        </w:tc>
        <w:tc>
          <w:tcPr>
            <w:tcW w:w="2795"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sz w:val="24"/>
              </w:rPr>
              <w:t>作业人员未持有相应资格证件</w:t>
            </w:r>
          </w:p>
        </w:tc>
        <w:tc>
          <w:tcPr>
            <w:tcW w:w="4807"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 w:val="24"/>
              </w:rPr>
              <w:t>配备具有相应职责资质的作业人员，加强资格证的换证管理</w:t>
            </w:r>
          </w:p>
        </w:tc>
        <w:tc>
          <w:tcPr>
            <w:tcW w:w="1520"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sz w:val="24"/>
                <w:szCs w:val="24"/>
              </w:rPr>
              <w:t>周排查</w:t>
            </w:r>
          </w:p>
        </w:tc>
        <w:tc>
          <w:tcPr>
            <w:tcW w:w="1419"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sz w:val="24"/>
                <w:szCs w:val="24"/>
              </w:rPr>
              <w:t>安全总监</w:t>
            </w:r>
          </w:p>
        </w:tc>
        <w:tc>
          <w:tcPr>
            <w:tcW w:w="1108"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787"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3</w:t>
            </w:r>
          </w:p>
        </w:tc>
        <w:tc>
          <w:tcPr>
            <w:tcW w:w="1387" w:type="dxa"/>
            <w:vMerge w:val="continue"/>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p>
        </w:tc>
        <w:tc>
          <w:tcPr>
            <w:tcW w:w="2795"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sz w:val="24"/>
              </w:rPr>
              <w:t>未按规定对安全管理人员和作业人员开展安全教育培训</w:t>
            </w:r>
          </w:p>
        </w:tc>
        <w:tc>
          <w:tcPr>
            <w:tcW w:w="4807"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sz w:val="24"/>
              </w:rPr>
              <w:t>按规定开展安全培训教育</w:t>
            </w:r>
          </w:p>
        </w:tc>
        <w:tc>
          <w:tcPr>
            <w:tcW w:w="1520"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sz w:val="24"/>
                <w:szCs w:val="24"/>
              </w:rPr>
              <w:t>周排查</w:t>
            </w:r>
          </w:p>
        </w:tc>
        <w:tc>
          <w:tcPr>
            <w:tcW w:w="1419"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sz w:val="24"/>
                <w:szCs w:val="24"/>
              </w:rPr>
              <w:t>安全总监</w:t>
            </w:r>
          </w:p>
        </w:tc>
        <w:tc>
          <w:tcPr>
            <w:tcW w:w="1108"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787"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4</w:t>
            </w:r>
          </w:p>
        </w:tc>
        <w:tc>
          <w:tcPr>
            <w:tcW w:w="1387" w:type="dxa"/>
            <w:vMerge w:val="continue"/>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p>
        </w:tc>
        <w:tc>
          <w:tcPr>
            <w:tcW w:w="2795"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sz w:val="24"/>
              </w:rPr>
              <w:t>作业人员违章作业</w:t>
            </w:r>
          </w:p>
        </w:tc>
        <w:tc>
          <w:tcPr>
            <w:tcW w:w="4807"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sz w:val="24"/>
              </w:rPr>
              <w:t>纠正和制止违章作业行为，遵循起重作业的安全规章和操作规程，杜绝不明重量范围起吊、歪拉斜拽、视线盲区、站位混乱等违章行为</w:t>
            </w:r>
          </w:p>
        </w:tc>
        <w:tc>
          <w:tcPr>
            <w:tcW w:w="1520"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sz w:val="24"/>
                <w:szCs w:val="24"/>
              </w:rPr>
              <w:t>日管控</w:t>
            </w:r>
          </w:p>
        </w:tc>
        <w:tc>
          <w:tcPr>
            <w:tcW w:w="1419"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sz w:val="24"/>
                <w:szCs w:val="24"/>
              </w:rPr>
              <w:t>安全员</w:t>
            </w:r>
          </w:p>
        </w:tc>
        <w:tc>
          <w:tcPr>
            <w:tcW w:w="1108"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7"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5</w:t>
            </w:r>
          </w:p>
        </w:tc>
        <w:tc>
          <w:tcPr>
            <w:tcW w:w="1387" w:type="dxa"/>
            <w:vMerge w:val="restart"/>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管理</w:t>
            </w:r>
          </w:p>
        </w:tc>
        <w:tc>
          <w:tcPr>
            <w:tcW w:w="279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未建立起重机械安全运行管理规章制度</w:t>
            </w:r>
          </w:p>
        </w:tc>
        <w:tc>
          <w:tcPr>
            <w:tcW w:w="4807"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1.制定《起重机械安全总监职责》《起重机械安全员守则》《起重机械安全日管控、周排查、月调度管理制度》；</w:t>
            </w:r>
          </w:p>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pacing w:val="6"/>
                <w:szCs w:val="21"/>
              </w:rPr>
            </w:pPr>
            <w:r>
              <w:rPr>
                <w:rFonts w:hint="eastAsia" w:asciiTheme="minorEastAsia" w:hAnsiTheme="minorEastAsia" w:eastAsiaTheme="minorEastAsia" w:cstheme="minorEastAsia"/>
                <w:sz w:val="24"/>
              </w:rPr>
              <w:t>2.建立起重机械安全管理机构和相关人员岗位职责。</w:t>
            </w:r>
          </w:p>
        </w:tc>
        <w:tc>
          <w:tcPr>
            <w:tcW w:w="152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sz w:val="24"/>
                <w:szCs w:val="24"/>
              </w:rPr>
              <w:t>月调度</w:t>
            </w:r>
          </w:p>
        </w:tc>
        <w:tc>
          <w:tcPr>
            <w:tcW w:w="1419"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sz w:val="24"/>
                <w:szCs w:val="24"/>
              </w:rPr>
              <w:t>主要负责人</w:t>
            </w:r>
          </w:p>
        </w:tc>
        <w:tc>
          <w:tcPr>
            <w:tcW w:w="1108"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787"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6</w:t>
            </w:r>
          </w:p>
        </w:tc>
        <w:tc>
          <w:tcPr>
            <w:tcW w:w="1387"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p>
        </w:tc>
        <w:tc>
          <w:tcPr>
            <w:tcW w:w="2795"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未建立安全技术档案</w:t>
            </w:r>
          </w:p>
        </w:tc>
        <w:tc>
          <w:tcPr>
            <w:tcW w:w="4807" w:type="dxa"/>
            <w:vAlign w:val="center"/>
          </w:tcPr>
          <w:p>
            <w:pPr>
              <w:pStyle w:val="16"/>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kern w:val="0"/>
                <w:sz w:val="24"/>
              </w:rPr>
              <w:t>按照一机一档建立安全技术档案，至少包括以下内容：</w:t>
            </w:r>
          </w:p>
          <w:p>
            <w:pPr>
              <w:keepNext w:val="0"/>
              <w:keepLines w:val="0"/>
              <w:pageBreakBefore w:val="0"/>
              <w:numPr>
                <w:ilvl w:val="0"/>
                <w:numId w:val="4"/>
              </w:numPr>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起重机械设计、制造技术资料和文件；</w:t>
            </w:r>
          </w:p>
          <w:p>
            <w:pPr>
              <w:keepNext w:val="0"/>
              <w:keepLines w:val="0"/>
              <w:pageBreakBefore w:val="0"/>
              <w:numPr>
                <w:ilvl w:val="0"/>
                <w:numId w:val="4"/>
              </w:numPr>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起重机械安装、改造和修理的方案、图样、材料质量证明书和施工质量证明文件、安装改造修理监督检验报告、验收报告等技术资料；</w:t>
            </w:r>
          </w:p>
          <w:p>
            <w:pPr>
              <w:keepNext w:val="0"/>
              <w:keepLines w:val="0"/>
              <w:pageBreakBefore w:val="0"/>
              <w:widowControl/>
              <w:kinsoku/>
              <w:wordWrap/>
              <w:overflowPunct/>
              <w:topLinePunct w:val="0"/>
              <w:autoSpaceDE/>
              <w:autoSpaceDN/>
              <w:bidi w:val="0"/>
              <w:adjustRightInd/>
              <w:snapToGrid/>
              <w:spacing w:line="320" w:lineRule="exact"/>
              <w:ind w:firstLine="0" w:firstLineChars="0"/>
              <w:jc w:val="left"/>
              <w:textAlignment w:val="auto"/>
              <w:rPr>
                <w:rFonts w:hint="eastAsia" w:asciiTheme="minorEastAsia" w:hAnsiTheme="minorEastAsia" w:eastAsiaTheme="minorEastAsia" w:cstheme="minorEastAsia"/>
                <w:spacing w:val="6"/>
                <w:szCs w:val="21"/>
              </w:rPr>
            </w:pPr>
            <w:r>
              <w:rPr>
                <w:rFonts w:hint="eastAsia" w:asciiTheme="minorEastAsia" w:hAnsiTheme="minorEastAsia" w:eastAsiaTheme="minorEastAsia" w:cstheme="minorEastAsia"/>
                <w:spacing w:val="6"/>
                <w:sz w:val="24"/>
                <w:szCs w:val="24"/>
              </w:rPr>
              <w:t>3</w:t>
            </w:r>
            <w:r>
              <w:rPr>
                <w:rFonts w:hint="eastAsia" w:asciiTheme="minorEastAsia" w:hAnsiTheme="minorEastAsia" w:eastAsiaTheme="minorEastAsia" w:cstheme="minorEastAsia"/>
                <w:sz w:val="24"/>
              </w:rPr>
              <w:t>.起重机械维护保养记录。</w:t>
            </w:r>
          </w:p>
        </w:tc>
        <w:tc>
          <w:tcPr>
            <w:tcW w:w="1520"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周排查</w:t>
            </w:r>
          </w:p>
        </w:tc>
        <w:tc>
          <w:tcPr>
            <w:tcW w:w="1419"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安全总监</w:t>
            </w:r>
          </w:p>
        </w:tc>
        <w:tc>
          <w:tcPr>
            <w:tcW w:w="1108"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9" w:hRule="atLeast"/>
        </w:trPr>
        <w:tc>
          <w:tcPr>
            <w:tcW w:w="787"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7</w:t>
            </w:r>
          </w:p>
        </w:tc>
        <w:tc>
          <w:tcPr>
            <w:tcW w:w="1387" w:type="dxa"/>
            <w:vMerge w:val="restart"/>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管理</w:t>
            </w:r>
          </w:p>
        </w:tc>
        <w:tc>
          <w:tcPr>
            <w:tcW w:w="2795"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sz w:val="24"/>
              </w:rPr>
              <w:t>未按规定办理使用登记、变更登记及停用、报废手续</w:t>
            </w:r>
          </w:p>
        </w:tc>
        <w:tc>
          <w:tcPr>
            <w:tcW w:w="4807" w:type="dxa"/>
            <w:vAlign w:val="center"/>
          </w:tcPr>
          <w:p>
            <w:pPr>
              <w:keepNext w:val="0"/>
              <w:keepLines w:val="0"/>
              <w:pageBreakBefore w:val="0"/>
              <w:numPr>
                <w:ilvl w:val="255"/>
                <w:numId w:val="0"/>
              </w:numPr>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1.建立使用管理制度和规程，明确相关内容及安全管理要求；</w:t>
            </w:r>
          </w:p>
          <w:p>
            <w:pPr>
              <w:keepNext w:val="0"/>
              <w:keepLines w:val="0"/>
              <w:pageBreakBefore w:val="0"/>
              <w:tabs>
                <w:tab w:val="left" w:pos="312"/>
              </w:tabs>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pacing w:val="6"/>
                <w:szCs w:val="21"/>
              </w:rPr>
            </w:pPr>
            <w:r>
              <w:rPr>
                <w:rFonts w:hint="eastAsia" w:asciiTheme="minorEastAsia" w:hAnsiTheme="minorEastAsia" w:eastAsiaTheme="minorEastAsia" w:cstheme="minorEastAsia"/>
                <w:sz w:val="24"/>
              </w:rPr>
              <w:t>2. 按规定办理使用登记、变更登记及停用、报废手续，办理报废的设备应确认去功能化处理。</w:t>
            </w:r>
            <w:r>
              <w:rPr>
                <w:rFonts w:hint="eastAsia" w:asciiTheme="minorEastAsia" w:hAnsiTheme="minorEastAsia" w:eastAsiaTheme="minorEastAsia" w:cstheme="minorEastAsia"/>
                <w:kern w:val="0"/>
                <w:sz w:val="24"/>
              </w:rPr>
              <w:t xml:space="preserve">  </w:t>
            </w:r>
          </w:p>
        </w:tc>
        <w:tc>
          <w:tcPr>
            <w:tcW w:w="1520"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周排查</w:t>
            </w:r>
          </w:p>
        </w:tc>
        <w:tc>
          <w:tcPr>
            <w:tcW w:w="1419"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安全总监</w:t>
            </w:r>
          </w:p>
        </w:tc>
        <w:tc>
          <w:tcPr>
            <w:tcW w:w="1108"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7"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8</w:t>
            </w:r>
          </w:p>
        </w:tc>
        <w:tc>
          <w:tcPr>
            <w:tcW w:w="1387"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p>
        </w:tc>
        <w:tc>
          <w:tcPr>
            <w:tcW w:w="2795"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sz w:val="24"/>
              </w:rPr>
              <w:t>未按规定进行经常性维护保养和自行检查</w:t>
            </w:r>
          </w:p>
        </w:tc>
        <w:tc>
          <w:tcPr>
            <w:tcW w:w="4807"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left"/>
              <w:textAlignment w:val="auto"/>
              <w:rPr>
                <w:rFonts w:hint="eastAsia" w:asciiTheme="minorEastAsia" w:hAnsiTheme="minorEastAsia" w:eastAsiaTheme="minorEastAsia" w:cstheme="minorEastAsia"/>
                <w:spacing w:val="6"/>
                <w:szCs w:val="21"/>
              </w:rPr>
            </w:pPr>
            <w:r>
              <w:rPr>
                <w:rFonts w:hint="eastAsia" w:asciiTheme="minorEastAsia" w:hAnsiTheme="minorEastAsia" w:eastAsiaTheme="minorEastAsia" w:cstheme="minorEastAsia"/>
                <w:sz w:val="24"/>
              </w:rPr>
              <w:t>按规定制定维护保养制度和定期自行检查制度，并做好记录</w:t>
            </w:r>
          </w:p>
        </w:tc>
        <w:tc>
          <w:tcPr>
            <w:tcW w:w="1520"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周排查</w:t>
            </w:r>
          </w:p>
        </w:tc>
        <w:tc>
          <w:tcPr>
            <w:tcW w:w="1419"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安全总监</w:t>
            </w:r>
          </w:p>
        </w:tc>
        <w:tc>
          <w:tcPr>
            <w:tcW w:w="1108"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trPr>
        <w:tc>
          <w:tcPr>
            <w:tcW w:w="787"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9</w:t>
            </w:r>
          </w:p>
        </w:tc>
        <w:tc>
          <w:tcPr>
            <w:tcW w:w="1387" w:type="dxa"/>
            <w:vMerge w:val="continue"/>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p>
        </w:tc>
        <w:tc>
          <w:tcPr>
            <w:tcW w:w="279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sz w:val="24"/>
              </w:rPr>
              <w:t>未建立起重机械事故应急专项预案并定期演练</w:t>
            </w:r>
          </w:p>
        </w:tc>
        <w:tc>
          <w:tcPr>
            <w:tcW w:w="4807"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xml:space="preserve">制定起重机械事故应急救援专项预案并每年至少进行1次事故演练 </w:t>
            </w:r>
          </w:p>
        </w:tc>
        <w:tc>
          <w:tcPr>
            <w:tcW w:w="1520"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月调度</w:t>
            </w:r>
          </w:p>
        </w:tc>
        <w:tc>
          <w:tcPr>
            <w:tcW w:w="1419"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主要负责人</w:t>
            </w:r>
          </w:p>
        </w:tc>
        <w:tc>
          <w:tcPr>
            <w:tcW w:w="1108"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trPr>
        <w:tc>
          <w:tcPr>
            <w:tcW w:w="787"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szCs w:val="24"/>
              </w:rPr>
              <w:t>10</w:t>
            </w:r>
          </w:p>
        </w:tc>
        <w:tc>
          <w:tcPr>
            <w:tcW w:w="1387"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p>
        </w:tc>
        <w:tc>
          <w:tcPr>
            <w:tcW w:w="279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登高作业风险</w:t>
            </w:r>
          </w:p>
        </w:tc>
        <w:tc>
          <w:tcPr>
            <w:tcW w:w="4807"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操作人员穿戴劳动保护用具（如安全帽、安全鞋），严格遵守安全操作规程，采取必要的安全防护措施</w:t>
            </w:r>
          </w:p>
        </w:tc>
        <w:tc>
          <w:tcPr>
            <w:tcW w:w="1520"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日管控</w:t>
            </w:r>
          </w:p>
        </w:tc>
        <w:tc>
          <w:tcPr>
            <w:tcW w:w="1419"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安全员</w:t>
            </w:r>
          </w:p>
        </w:tc>
        <w:tc>
          <w:tcPr>
            <w:tcW w:w="1108"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787"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11</w:t>
            </w:r>
          </w:p>
        </w:tc>
        <w:tc>
          <w:tcPr>
            <w:tcW w:w="1387" w:type="dxa"/>
            <w:vMerge w:val="restart"/>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设备</w:t>
            </w:r>
          </w:p>
        </w:tc>
        <w:tc>
          <w:tcPr>
            <w:tcW w:w="2795"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未按要求使用符合要求的特种设备或使用国家明令禁止，未按实际情况选择适合使用条件要求的起重机械</w:t>
            </w:r>
          </w:p>
        </w:tc>
        <w:tc>
          <w:tcPr>
            <w:tcW w:w="4807"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1.制定特种设备采购、安装、改造、修理、报废等管理制度；</w:t>
            </w:r>
          </w:p>
          <w:p>
            <w:pPr>
              <w:keepNext w:val="0"/>
              <w:keepLines w:val="0"/>
              <w:pageBreakBefore w:val="0"/>
              <w:widowControl/>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2.对计划新增设备采购前根据起重机械的用途、使用环境，选择适合使用条件要求的起重机械，并且对所使用起重机械的选型负责。</w:t>
            </w:r>
          </w:p>
        </w:tc>
        <w:tc>
          <w:tcPr>
            <w:tcW w:w="152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月调度</w:t>
            </w:r>
          </w:p>
        </w:tc>
        <w:tc>
          <w:tcPr>
            <w:tcW w:w="1419"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主要负责人</w:t>
            </w:r>
          </w:p>
        </w:tc>
        <w:tc>
          <w:tcPr>
            <w:tcW w:w="1108"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787"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12</w:t>
            </w:r>
          </w:p>
        </w:tc>
        <w:tc>
          <w:tcPr>
            <w:tcW w:w="1387" w:type="dxa"/>
            <w:vMerge w:val="continue"/>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p>
        </w:tc>
        <w:tc>
          <w:tcPr>
            <w:tcW w:w="2795"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未按有关规定起重机械定期检验，设备超期未检</w:t>
            </w:r>
          </w:p>
        </w:tc>
        <w:tc>
          <w:tcPr>
            <w:tcW w:w="4807"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1.制定特种设备检验制度和检验计划；</w:t>
            </w:r>
          </w:p>
          <w:p>
            <w:pPr>
              <w:keepNext w:val="0"/>
              <w:keepLines w:val="0"/>
              <w:pageBreakBefore w:val="0"/>
              <w:widowControl/>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2.明确</w:t>
            </w:r>
            <w:r>
              <w:rPr>
                <w:rFonts w:hint="eastAsia" w:asciiTheme="minorEastAsia" w:hAnsiTheme="minorEastAsia" w:eastAsiaTheme="minorEastAsia" w:cstheme="minorEastAsia"/>
                <w:sz w:val="24"/>
                <w:szCs w:val="24"/>
              </w:rPr>
              <w:t>安全总监</w:t>
            </w:r>
            <w:r>
              <w:rPr>
                <w:rFonts w:hint="eastAsia" w:asciiTheme="minorEastAsia" w:hAnsiTheme="minorEastAsia" w:eastAsiaTheme="minorEastAsia" w:cstheme="minorEastAsia"/>
                <w:kern w:val="0"/>
                <w:sz w:val="24"/>
              </w:rPr>
              <w:t>负责定期检验和后续整改工作。</w:t>
            </w:r>
          </w:p>
        </w:tc>
        <w:tc>
          <w:tcPr>
            <w:tcW w:w="152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月调度</w:t>
            </w:r>
          </w:p>
        </w:tc>
        <w:tc>
          <w:tcPr>
            <w:tcW w:w="1419"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主要负责人</w:t>
            </w:r>
          </w:p>
        </w:tc>
        <w:tc>
          <w:tcPr>
            <w:tcW w:w="1108"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0" w:hRule="atLeast"/>
        </w:trPr>
        <w:tc>
          <w:tcPr>
            <w:tcW w:w="787"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13</w:t>
            </w:r>
          </w:p>
        </w:tc>
        <w:tc>
          <w:tcPr>
            <w:tcW w:w="1387" w:type="dxa"/>
            <w:vMerge w:val="restart"/>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设备</w:t>
            </w:r>
          </w:p>
        </w:tc>
        <w:tc>
          <w:tcPr>
            <w:tcW w:w="2795"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kern w:val="0"/>
                <w:sz w:val="24"/>
              </w:rPr>
              <w:t>吊索具</w:t>
            </w:r>
            <w:r>
              <w:rPr>
                <w:rFonts w:hint="eastAsia" w:asciiTheme="minorEastAsia" w:hAnsiTheme="minorEastAsia" w:eastAsiaTheme="minorEastAsia" w:cstheme="minorEastAsia"/>
                <w:sz w:val="24"/>
              </w:rPr>
              <w:t>未设置防止吊物意外脱钩的安全装置，吊索具出现危险断面磨损超过10%、裂纹、焊补、塑性变形、扭转变形</w:t>
            </w:r>
          </w:p>
        </w:tc>
        <w:tc>
          <w:tcPr>
            <w:tcW w:w="4807"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xml:space="preserve">1.检查吊索具防脱钩装置情况； </w:t>
            </w:r>
          </w:p>
          <w:p>
            <w:pPr>
              <w:keepNext w:val="0"/>
              <w:keepLines w:val="0"/>
              <w:pageBreakBefore w:val="0"/>
              <w:widowControl/>
              <w:kinsoku/>
              <w:wordWrap/>
              <w:overflowPunct/>
              <w:topLinePunct w:val="0"/>
              <w:autoSpaceDE/>
              <w:autoSpaceDN/>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2.定期检查吊索具磨损、塑性变形、扭转变形情况 。</w:t>
            </w:r>
          </w:p>
        </w:tc>
        <w:tc>
          <w:tcPr>
            <w:tcW w:w="1520"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日管控</w:t>
            </w:r>
          </w:p>
        </w:tc>
        <w:tc>
          <w:tcPr>
            <w:tcW w:w="1419"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安全员</w:t>
            </w:r>
          </w:p>
        </w:tc>
        <w:tc>
          <w:tcPr>
            <w:tcW w:w="1108"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trPr>
        <w:tc>
          <w:tcPr>
            <w:tcW w:w="787"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14</w:t>
            </w:r>
          </w:p>
        </w:tc>
        <w:tc>
          <w:tcPr>
            <w:tcW w:w="1387"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p>
        </w:tc>
        <w:tc>
          <w:tcPr>
            <w:tcW w:w="279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未对钢丝绳进行日常检查，未发现钢丝绳的脱槽、断丝、磨损、压扁、扭结、笼形畸形等异常情况</w:t>
            </w:r>
          </w:p>
        </w:tc>
        <w:tc>
          <w:tcPr>
            <w:tcW w:w="4807" w:type="dxa"/>
            <w:vAlign w:val="center"/>
          </w:tcPr>
          <w:p>
            <w:pPr>
              <w:pStyle w:val="16"/>
              <w:keepNext w:val="0"/>
              <w:keepLines w:val="0"/>
              <w:pageBreakBefore w:val="0"/>
              <w:widowControl/>
              <w:numPr>
                <w:ilvl w:val="0"/>
                <w:numId w:val="5"/>
              </w:numPr>
              <w:kinsoku/>
              <w:wordWrap/>
              <w:overflowPunct/>
              <w:topLinePunct w:val="0"/>
              <w:autoSpaceDE/>
              <w:autoSpaceDN/>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每日检查钢丝绳损伤情况；</w:t>
            </w:r>
          </w:p>
          <w:p>
            <w:pPr>
              <w:pStyle w:val="16"/>
              <w:keepNext w:val="0"/>
              <w:keepLines w:val="0"/>
              <w:pageBreakBefore w:val="0"/>
              <w:widowControl/>
              <w:numPr>
                <w:ilvl w:val="0"/>
                <w:numId w:val="5"/>
              </w:numPr>
              <w:kinsoku/>
              <w:wordWrap/>
              <w:overflowPunct/>
              <w:topLinePunct w:val="0"/>
              <w:autoSpaceDE/>
              <w:autoSpaceDN/>
              <w:bidi w:val="0"/>
              <w:adjustRightInd/>
              <w:snapToGrid/>
              <w:spacing w:line="320" w:lineRule="exact"/>
              <w:ind w:firstLine="0" w:firstLineChars="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及时更换出现缺陷钢丝绳。</w:t>
            </w:r>
          </w:p>
        </w:tc>
        <w:tc>
          <w:tcPr>
            <w:tcW w:w="1520"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日管控</w:t>
            </w:r>
          </w:p>
        </w:tc>
        <w:tc>
          <w:tcPr>
            <w:tcW w:w="1419"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安全员</w:t>
            </w:r>
          </w:p>
        </w:tc>
        <w:tc>
          <w:tcPr>
            <w:tcW w:w="1108"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trPr>
        <w:tc>
          <w:tcPr>
            <w:tcW w:w="787"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15</w:t>
            </w:r>
          </w:p>
        </w:tc>
        <w:tc>
          <w:tcPr>
            <w:tcW w:w="1387" w:type="dxa"/>
            <w:vMerge w:val="continue"/>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p>
        </w:tc>
        <w:tc>
          <w:tcPr>
            <w:tcW w:w="279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桥、粱架等</w:t>
            </w:r>
            <w:r>
              <w:rPr>
                <w:rFonts w:hint="eastAsia" w:asciiTheme="minorEastAsia" w:hAnsiTheme="minorEastAsia" w:eastAsiaTheme="minorEastAsia" w:cstheme="minorEastAsia"/>
                <w:sz w:val="24"/>
                <w:szCs w:val="24"/>
              </w:rPr>
              <w:t>主要受力构件发生明显的腐蚀、裂纹、塑性变形等</w:t>
            </w:r>
          </w:p>
        </w:tc>
        <w:tc>
          <w:tcPr>
            <w:tcW w:w="4807" w:type="dxa"/>
            <w:vAlign w:val="center"/>
          </w:tcPr>
          <w:p>
            <w:pPr>
              <w:keepNext w:val="0"/>
              <w:keepLines w:val="0"/>
              <w:pageBreakBefore w:val="0"/>
              <w:numPr>
                <w:ilvl w:val="0"/>
                <w:numId w:val="6"/>
              </w:numPr>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定期对主要受力构件进行防腐蚀处理；</w:t>
            </w:r>
          </w:p>
          <w:p>
            <w:pPr>
              <w:keepNext w:val="0"/>
              <w:keepLines w:val="0"/>
              <w:pageBreakBefore w:val="0"/>
              <w:numPr>
                <w:ilvl w:val="0"/>
                <w:numId w:val="6"/>
              </w:numPr>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对发生明显的腐蚀主梁、吊具横梁的受拉区的对接焊缝进行射线或者超声检测。</w:t>
            </w:r>
          </w:p>
        </w:tc>
        <w:tc>
          <w:tcPr>
            <w:tcW w:w="152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sz w:val="24"/>
                <w:szCs w:val="24"/>
              </w:rPr>
              <w:t>周排查</w:t>
            </w:r>
          </w:p>
        </w:tc>
        <w:tc>
          <w:tcPr>
            <w:tcW w:w="1419"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sz w:val="24"/>
                <w:szCs w:val="24"/>
              </w:rPr>
              <w:t>安全总监</w:t>
            </w:r>
          </w:p>
        </w:tc>
        <w:tc>
          <w:tcPr>
            <w:tcW w:w="1108"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787"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16</w:t>
            </w:r>
          </w:p>
        </w:tc>
        <w:tc>
          <w:tcPr>
            <w:tcW w:w="1387" w:type="dxa"/>
            <w:vMerge w:val="restart"/>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安全保护</w:t>
            </w:r>
          </w:p>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装置</w:t>
            </w:r>
          </w:p>
        </w:tc>
        <w:tc>
          <w:tcPr>
            <w:tcW w:w="279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上限位装置、断错相保护、制动器、行程限位、漏电保护器等安全保护装置的故障及缺损</w:t>
            </w:r>
          </w:p>
        </w:tc>
        <w:tc>
          <w:tcPr>
            <w:tcW w:w="4807"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1.检查并空车试运行安全保护装置运行情况；</w:t>
            </w:r>
          </w:p>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2.及时修理损坏的元件。</w:t>
            </w:r>
          </w:p>
        </w:tc>
        <w:tc>
          <w:tcPr>
            <w:tcW w:w="1520"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日管控</w:t>
            </w:r>
          </w:p>
        </w:tc>
        <w:tc>
          <w:tcPr>
            <w:tcW w:w="1419"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安全员</w:t>
            </w:r>
          </w:p>
        </w:tc>
        <w:tc>
          <w:tcPr>
            <w:tcW w:w="1108"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787"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17</w:t>
            </w:r>
          </w:p>
        </w:tc>
        <w:tc>
          <w:tcPr>
            <w:tcW w:w="1387" w:type="dxa"/>
            <w:vMerge w:val="continue"/>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p>
        </w:tc>
        <w:tc>
          <w:tcPr>
            <w:tcW w:w="279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急停开关功能缺失</w:t>
            </w:r>
          </w:p>
        </w:tc>
        <w:tc>
          <w:tcPr>
            <w:tcW w:w="4807"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检查并空车试运行，及时修理损坏的元件</w:t>
            </w:r>
          </w:p>
        </w:tc>
        <w:tc>
          <w:tcPr>
            <w:tcW w:w="1520"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日管控</w:t>
            </w:r>
          </w:p>
        </w:tc>
        <w:tc>
          <w:tcPr>
            <w:tcW w:w="1419"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安全员</w:t>
            </w:r>
          </w:p>
        </w:tc>
        <w:tc>
          <w:tcPr>
            <w:tcW w:w="1108"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787"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18</w:t>
            </w:r>
          </w:p>
        </w:tc>
        <w:tc>
          <w:tcPr>
            <w:tcW w:w="1387"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环境因素</w:t>
            </w:r>
          </w:p>
        </w:tc>
        <w:tc>
          <w:tcPr>
            <w:tcW w:w="279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起重机作业区域内有高海拔、易燃易爆品、等极端状况并且缺少警示标线和警示标志</w:t>
            </w:r>
          </w:p>
        </w:tc>
        <w:tc>
          <w:tcPr>
            <w:tcW w:w="4807" w:type="dxa"/>
            <w:vAlign w:val="center"/>
          </w:tcPr>
          <w:p>
            <w:pPr>
              <w:pStyle w:val="16"/>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1.定期检查作业区域环境，禁止违章在高海拔、易燃易爆品、大风作业、雷电、高温、高湿度、电磁干扰、地面承载力不足等极端状况下作业；</w:t>
            </w:r>
          </w:p>
          <w:p>
            <w:pPr>
              <w:pStyle w:val="16"/>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2.制作“禁止进入”“防止坠物”等标识和距离警示标线。</w:t>
            </w:r>
          </w:p>
        </w:tc>
        <w:tc>
          <w:tcPr>
            <w:tcW w:w="1520"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周排查</w:t>
            </w:r>
          </w:p>
        </w:tc>
        <w:tc>
          <w:tcPr>
            <w:tcW w:w="1419"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安全总监</w:t>
            </w:r>
          </w:p>
        </w:tc>
        <w:tc>
          <w:tcPr>
            <w:tcW w:w="1108"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3" w:hRule="atLeast"/>
        </w:trPr>
        <w:tc>
          <w:tcPr>
            <w:tcW w:w="787"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19</w:t>
            </w:r>
          </w:p>
        </w:tc>
        <w:tc>
          <w:tcPr>
            <w:tcW w:w="1387"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政府监督、通报、预警</w:t>
            </w:r>
          </w:p>
        </w:tc>
        <w:tc>
          <w:tcPr>
            <w:tcW w:w="279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发现不合格项</w:t>
            </w:r>
          </w:p>
        </w:tc>
        <w:tc>
          <w:tcPr>
            <w:tcW w:w="4807"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 w:val="24"/>
              </w:rPr>
              <w:t>记录、整改</w:t>
            </w:r>
          </w:p>
        </w:tc>
        <w:tc>
          <w:tcPr>
            <w:tcW w:w="152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rPr>
              <w:t>周排查</w:t>
            </w:r>
          </w:p>
        </w:tc>
        <w:tc>
          <w:tcPr>
            <w:tcW w:w="1419"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rPr>
              <w:t>安全总监</w:t>
            </w:r>
          </w:p>
        </w:tc>
        <w:tc>
          <w:tcPr>
            <w:tcW w:w="1108"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787"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w:t>
            </w:r>
          </w:p>
        </w:tc>
        <w:tc>
          <w:tcPr>
            <w:tcW w:w="1387"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投诉举报</w:t>
            </w:r>
          </w:p>
        </w:tc>
        <w:tc>
          <w:tcPr>
            <w:tcW w:w="279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发现不合格项</w:t>
            </w:r>
          </w:p>
        </w:tc>
        <w:tc>
          <w:tcPr>
            <w:tcW w:w="4807"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记录、整改、消除安全隐患</w:t>
            </w:r>
          </w:p>
        </w:tc>
        <w:tc>
          <w:tcPr>
            <w:tcW w:w="152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rPr>
              <w:t>日管控</w:t>
            </w:r>
          </w:p>
        </w:tc>
        <w:tc>
          <w:tcPr>
            <w:tcW w:w="1419"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rPr>
              <w:t>安全员</w:t>
            </w:r>
          </w:p>
        </w:tc>
        <w:tc>
          <w:tcPr>
            <w:tcW w:w="1108" w:type="dxa"/>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trPr>
        <w:tc>
          <w:tcPr>
            <w:tcW w:w="787"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21</w:t>
            </w:r>
          </w:p>
        </w:tc>
        <w:tc>
          <w:tcPr>
            <w:tcW w:w="1387"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舆情信息</w:t>
            </w:r>
          </w:p>
        </w:tc>
        <w:tc>
          <w:tcPr>
            <w:tcW w:w="2795"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发现不合格项</w:t>
            </w:r>
          </w:p>
        </w:tc>
        <w:tc>
          <w:tcPr>
            <w:tcW w:w="4807"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记录、整改</w:t>
            </w:r>
          </w:p>
        </w:tc>
        <w:tc>
          <w:tcPr>
            <w:tcW w:w="152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rPr>
              <w:t>日管控</w:t>
            </w:r>
          </w:p>
        </w:tc>
        <w:tc>
          <w:tcPr>
            <w:tcW w:w="1419"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rPr>
              <w:t>安全员</w:t>
            </w:r>
          </w:p>
        </w:tc>
        <w:tc>
          <w:tcPr>
            <w:tcW w:w="1108"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kern w:val="0"/>
                <w:sz w:val="24"/>
              </w:rPr>
            </w:pPr>
          </w:p>
        </w:tc>
      </w:tr>
    </w:tbl>
    <w:p>
      <w:pPr>
        <w:widowControl/>
        <w:ind w:firstLine="482" w:firstLineChars="200"/>
        <w:rPr>
          <w:rFonts w:ascii="宋体" w:hAnsi="宋体" w:eastAsia="宋体" w:cs="宋体"/>
          <w:b/>
          <w:sz w:val="24"/>
          <w:szCs w:val="24"/>
        </w:rPr>
      </w:pPr>
      <w:r>
        <w:rPr>
          <w:rFonts w:ascii="宋体" w:hAnsi="宋体" w:eastAsia="宋体" w:cs="宋体"/>
          <w:b/>
          <w:sz w:val="24"/>
          <w:szCs w:val="24"/>
        </w:rPr>
        <w:t>注</w:t>
      </w:r>
      <w:r>
        <w:rPr>
          <w:rFonts w:hint="eastAsia" w:ascii="宋体" w:hAnsi="宋体"/>
          <w:b/>
          <w:bCs/>
          <w:kern w:val="0"/>
          <w:sz w:val="24"/>
        </w:rPr>
        <w:t>：</w:t>
      </w:r>
      <w:r>
        <w:rPr>
          <w:rFonts w:ascii="宋体" w:hAnsi="宋体" w:eastAsia="宋体" w:cs="宋体"/>
          <w:b/>
          <w:sz w:val="24"/>
          <w:szCs w:val="24"/>
        </w:rPr>
        <w:t>本清单为推荐性格式，仅规定了应当进行日管控、周排查、月调度的基本项目，</w:t>
      </w:r>
      <w:r>
        <w:rPr>
          <w:rFonts w:hint="eastAsia" w:ascii="宋体" w:hAnsi="宋体" w:eastAsia="宋体" w:cs="宋体"/>
          <w:b/>
          <w:sz w:val="24"/>
          <w:szCs w:val="24"/>
        </w:rPr>
        <w:t>起重机械使用</w:t>
      </w:r>
      <w:r>
        <w:rPr>
          <w:rFonts w:ascii="宋体" w:hAnsi="宋体" w:eastAsia="宋体" w:cs="宋体"/>
          <w:b/>
          <w:sz w:val="24"/>
          <w:szCs w:val="24"/>
        </w:rPr>
        <w:t>单位应当结合本单位实际情况和具体要求，细化风险管控清单</w:t>
      </w:r>
      <w:r>
        <w:rPr>
          <w:rFonts w:hint="eastAsia" w:ascii="宋体" w:hAnsi="宋体" w:eastAsia="宋体" w:cs="宋体"/>
          <w:b/>
          <w:sz w:val="24"/>
          <w:szCs w:val="24"/>
        </w:rPr>
        <w:t>，</w:t>
      </w:r>
      <w:r>
        <w:rPr>
          <w:rFonts w:ascii="宋体" w:hAnsi="宋体" w:eastAsia="宋体" w:cs="宋体"/>
          <w:b/>
          <w:sz w:val="24"/>
          <w:szCs w:val="24"/>
        </w:rPr>
        <w:t>合理调整管控形式。</w:t>
      </w:r>
    </w:p>
    <w:p>
      <w:pPr>
        <w:pStyle w:val="2"/>
        <w:ind w:firstLine="241"/>
        <w:rPr>
          <w:rFonts w:ascii="宋体" w:hAnsi="宋体"/>
          <w:b/>
          <w:sz w:val="24"/>
          <w:szCs w:val="24"/>
        </w:rPr>
      </w:pPr>
    </w:p>
    <w:p>
      <w:pPr>
        <w:rPr>
          <w:rFonts w:hint="eastAsia" w:ascii="方正仿宋_GBK" w:hAnsi="方正仿宋_GBK" w:eastAsia="方正仿宋_GBK" w:cs="方正仿宋_GBK"/>
          <w:bCs/>
          <w:color w:val="000000" w:themeColor="text1"/>
          <w:sz w:val="32"/>
          <w:szCs w:val="32"/>
          <w14:textFill>
            <w14:solidFill>
              <w14:schemeClr w14:val="tx1"/>
            </w14:solidFill>
          </w14:textFill>
        </w:rPr>
      </w:pPr>
      <w:bookmarkStart w:id="275" w:name="_Toc17014_WPSOffice_Level1"/>
      <w:r>
        <w:rPr>
          <w:rFonts w:hint="eastAsia" w:ascii="方正仿宋_GBK" w:hAnsi="方正仿宋_GBK" w:eastAsia="方正仿宋_GBK" w:cs="方正仿宋_GBK"/>
          <w:bCs/>
          <w:color w:val="000000" w:themeColor="text1"/>
          <w:sz w:val="32"/>
          <w:szCs w:val="32"/>
          <w14:textFill>
            <w14:solidFill>
              <w14:schemeClr w14:val="tx1"/>
            </w14:solidFill>
          </w14:textFill>
        </w:rPr>
        <w:br w:type="page"/>
      </w:r>
    </w:p>
    <w:p>
      <w:pPr>
        <w:pStyle w:val="4"/>
        <w:bidi w:val="0"/>
        <w:jc w:val="left"/>
      </w:pPr>
      <w:bookmarkStart w:id="276" w:name="_Toc28686"/>
      <w:r>
        <w:rPr>
          <w:rFonts w:hint="eastAsia"/>
          <w:b w:val="0"/>
          <w:bCs/>
          <w:sz w:val="32"/>
          <w:szCs w:val="32"/>
        </w:rPr>
        <w:t>附录B7</w:t>
      </w:r>
      <w:r>
        <w:rPr>
          <w:rFonts w:hint="eastAsia"/>
        </w:rPr>
        <w:t xml:space="preserve">           </w:t>
      </w:r>
      <w:r>
        <w:rPr>
          <w:rFonts w:hint="eastAsia"/>
          <w:lang w:val="en-US" w:eastAsia="zh-CN"/>
        </w:rPr>
        <w:t xml:space="preserve">  </w:t>
      </w:r>
      <w:r>
        <w:rPr>
          <w:rFonts w:hint="eastAsia"/>
        </w:rPr>
        <w:t xml:space="preserve">   客运索道安全风险管控清单</w:t>
      </w:r>
      <w:bookmarkEnd w:id="275"/>
      <w:bookmarkEnd w:id="276"/>
    </w:p>
    <w:tbl>
      <w:tblPr>
        <w:tblStyle w:val="1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24"/>
        <w:gridCol w:w="1582"/>
        <w:gridCol w:w="3354"/>
        <w:gridCol w:w="4077"/>
        <w:gridCol w:w="1623"/>
        <w:gridCol w:w="1473"/>
        <w:gridCol w:w="8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 w:hRule="exact"/>
          <w:tblHeader/>
          <w:jc w:val="center"/>
        </w:trPr>
        <w:tc>
          <w:tcPr>
            <w:tcW w:w="824" w:type="dxa"/>
            <w:shd w:val="clear" w:color="auto" w:fill="BEBEBE" w:themeFill="background1" w:themeFillShade="BF"/>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color w:val="000000" w:themeColor="text1"/>
                <w:sz w:val="28"/>
                <w:szCs w:val="28"/>
                <w14:textFill>
                  <w14:solidFill>
                    <w14:schemeClr w14:val="tx1"/>
                  </w14:solidFill>
                </w14:textFill>
              </w:rPr>
              <w:t>序号</w:t>
            </w:r>
          </w:p>
        </w:tc>
        <w:tc>
          <w:tcPr>
            <w:tcW w:w="1582" w:type="dxa"/>
            <w:shd w:val="clear" w:color="auto" w:fill="BEBEBE" w:themeFill="background1" w:themeFillShade="BF"/>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color w:val="000000" w:themeColor="text1"/>
                <w:sz w:val="28"/>
                <w:szCs w:val="28"/>
                <w14:textFill>
                  <w14:solidFill>
                    <w14:schemeClr w14:val="tx1"/>
                  </w14:solidFill>
                </w14:textFill>
              </w:rPr>
              <w:t>风险类别</w:t>
            </w:r>
          </w:p>
        </w:tc>
        <w:tc>
          <w:tcPr>
            <w:tcW w:w="3354" w:type="dxa"/>
            <w:shd w:val="clear" w:color="auto" w:fill="BEBEBE" w:themeFill="background1" w:themeFillShade="BF"/>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color w:val="000000" w:themeColor="text1"/>
                <w:sz w:val="28"/>
                <w:szCs w:val="28"/>
                <w14:textFill>
                  <w14:solidFill>
                    <w14:schemeClr w14:val="tx1"/>
                  </w14:solidFill>
                </w14:textFill>
              </w:rPr>
              <w:t>风险因素</w:t>
            </w:r>
          </w:p>
        </w:tc>
        <w:tc>
          <w:tcPr>
            <w:tcW w:w="4077" w:type="dxa"/>
            <w:shd w:val="clear" w:color="auto" w:fill="BEBEBE" w:themeFill="background1" w:themeFillShade="BF"/>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color w:val="000000" w:themeColor="text1"/>
                <w:sz w:val="28"/>
                <w:szCs w:val="28"/>
                <w14:textFill>
                  <w14:solidFill>
                    <w14:schemeClr w14:val="tx1"/>
                  </w14:solidFill>
                </w14:textFill>
              </w:rPr>
              <w:t>风险管控措施</w:t>
            </w:r>
          </w:p>
        </w:tc>
        <w:tc>
          <w:tcPr>
            <w:tcW w:w="1623" w:type="dxa"/>
            <w:shd w:val="clear" w:color="auto" w:fill="BEBEBE" w:themeFill="background1" w:themeFillShade="BF"/>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color w:val="000000" w:themeColor="text1"/>
                <w:sz w:val="28"/>
                <w:szCs w:val="28"/>
                <w14:textFill>
                  <w14:solidFill>
                    <w14:schemeClr w14:val="tx1"/>
                  </w14:solidFill>
                </w14:textFill>
              </w:rPr>
              <w:t>风险管控形式</w:t>
            </w:r>
          </w:p>
        </w:tc>
        <w:tc>
          <w:tcPr>
            <w:tcW w:w="1473" w:type="dxa"/>
            <w:shd w:val="clear" w:color="auto" w:fill="BEBEBE" w:themeFill="background1" w:themeFillShade="BF"/>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color w:val="000000" w:themeColor="text1"/>
                <w:sz w:val="28"/>
                <w:szCs w:val="28"/>
                <w14:textFill>
                  <w14:solidFill>
                    <w14:schemeClr w14:val="tx1"/>
                  </w14:solidFill>
                </w14:textFill>
              </w:rPr>
              <w:t>责任人</w:t>
            </w:r>
          </w:p>
        </w:tc>
        <w:tc>
          <w:tcPr>
            <w:tcW w:w="890" w:type="dxa"/>
            <w:shd w:val="clear" w:color="auto" w:fill="BEBEBE" w:themeFill="background1" w:themeFillShade="BF"/>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color w:val="000000" w:themeColor="text1"/>
                <w:sz w:val="28"/>
                <w:szCs w:val="28"/>
                <w14:textFill>
                  <w14:solidFill>
                    <w14:schemeClr w14:val="tx1"/>
                  </w14:solidFill>
                </w14:textFill>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1" w:hRule="atLeast"/>
          <w:jc w:val="center"/>
        </w:trPr>
        <w:tc>
          <w:tcPr>
            <w:tcW w:w="82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1</w:t>
            </w:r>
          </w:p>
        </w:tc>
        <w:tc>
          <w:tcPr>
            <w:tcW w:w="1582" w:type="dxa"/>
            <w:vMerge w:val="restart"/>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人员</w:t>
            </w:r>
          </w:p>
        </w:tc>
        <w:tc>
          <w:tcPr>
            <w:tcW w:w="335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未按规定配备安全管理人员和作业人员</w:t>
            </w:r>
          </w:p>
        </w:tc>
        <w:tc>
          <w:tcPr>
            <w:tcW w:w="4077"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1.建立特种设备安全管理人员与作业人员管理制度；</w:t>
            </w:r>
          </w:p>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2.按规定配备相关人员。</w:t>
            </w:r>
          </w:p>
        </w:tc>
        <w:tc>
          <w:tcPr>
            <w:tcW w:w="162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月调度</w:t>
            </w:r>
          </w:p>
        </w:tc>
        <w:tc>
          <w:tcPr>
            <w:tcW w:w="147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主要负责人</w:t>
            </w:r>
          </w:p>
        </w:tc>
        <w:tc>
          <w:tcPr>
            <w:tcW w:w="890"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jc w:val="center"/>
        </w:trPr>
        <w:tc>
          <w:tcPr>
            <w:tcW w:w="82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2</w:t>
            </w:r>
          </w:p>
        </w:tc>
        <w:tc>
          <w:tcPr>
            <w:tcW w:w="1582"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p>
        </w:tc>
        <w:tc>
          <w:tcPr>
            <w:tcW w:w="335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作业人员未持有相应资格证件</w:t>
            </w:r>
          </w:p>
        </w:tc>
        <w:tc>
          <w:tcPr>
            <w:tcW w:w="4077"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配备具有相应资质的作业人员，加强资格证的换证管理</w:t>
            </w:r>
          </w:p>
        </w:tc>
        <w:tc>
          <w:tcPr>
            <w:tcW w:w="162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周排查</w:t>
            </w:r>
          </w:p>
        </w:tc>
        <w:tc>
          <w:tcPr>
            <w:tcW w:w="147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安全总监</w:t>
            </w:r>
          </w:p>
        </w:tc>
        <w:tc>
          <w:tcPr>
            <w:tcW w:w="890"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7" w:hRule="atLeast"/>
          <w:jc w:val="center"/>
        </w:trPr>
        <w:tc>
          <w:tcPr>
            <w:tcW w:w="82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3</w:t>
            </w:r>
          </w:p>
        </w:tc>
        <w:tc>
          <w:tcPr>
            <w:tcW w:w="1582"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p>
        </w:tc>
        <w:tc>
          <w:tcPr>
            <w:tcW w:w="335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未按规定对安全管理人员和作业人员开展安全教育培训</w:t>
            </w:r>
          </w:p>
        </w:tc>
        <w:tc>
          <w:tcPr>
            <w:tcW w:w="4077"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按规定开展安全教育培训</w:t>
            </w:r>
          </w:p>
        </w:tc>
        <w:tc>
          <w:tcPr>
            <w:tcW w:w="162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周排查</w:t>
            </w:r>
          </w:p>
        </w:tc>
        <w:tc>
          <w:tcPr>
            <w:tcW w:w="147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安全总监</w:t>
            </w:r>
          </w:p>
        </w:tc>
        <w:tc>
          <w:tcPr>
            <w:tcW w:w="890"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5" w:hRule="atLeast"/>
          <w:jc w:val="center"/>
        </w:trPr>
        <w:tc>
          <w:tcPr>
            <w:tcW w:w="82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4</w:t>
            </w:r>
          </w:p>
        </w:tc>
        <w:tc>
          <w:tcPr>
            <w:tcW w:w="1582"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p>
        </w:tc>
        <w:tc>
          <w:tcPr>
            <w:tcW w:w="335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作业人员违章作业或到岗值守情况不符合要求</w:t>
            </w:r>
          </w:p>
        </w:tc>
        <w:tc>
          <w:tcPr>
            <w:tcW w:w="4077"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检查客运索道作业人员到岗值守情况，纠正和制止违章作业行为</w:t>
            </w:r>
          </w:p>
        </w:tc>
        <w:tc>
          <w:tcPr>
            <w:tcW w:w="162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日管控</w:t>
            </w:r>
          </w:p>
        </w:tc>
        <w:tc>
          <w:tcPr>
            <w:tcW w:w="147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安全员</w:t>
            </w:r>
          </w:p>
        </w:tc>
        <w:tc>
          <w:tcPr>
            <w:tcW w:w="890"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7" w:hRule="atLeast"/>
          <w:jc w:val="center"/>
        </w:trPr>
        <w:tc>
          <w:tcPr>
            <w:tcW w:w="82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5</w:t>
            </w:r>
          </w:p>
        </w:tc>
        <w:tc>
          <w:tcPr>
            <w:tcW w:w="1582" w:type="dxa"/>
            <w:vMerge w:val="restart"/>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14:textFill>
                  <w14:solidFill>
                    <w14:schemeClr w14:val="tx1"/>
                  </w14:solidFill>
                </w14:textFill>
              </w:rPr>
              <w:t>管理</w:t>
            </w:r>
          </w:p>
        </w:tc>
        <w:tc>
          <w:tcPr>
            <w:tcW w:w="335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未按规定设置安全管理机构</w:t>
            </w:r>
          </w:p>
        </w:tc>
        <w:tc>
          <w:tcPr>
            <w:tcW w:w="4077" w:type="dxa"/>
            <w:vAlign w:val="center"/>
          </w:tcPr>
          <w:p>
            <w:pPr>
              <w:pStyle w:val="16"/>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按规定设置客运索道安全管理机构。</w:t>
            </w:r>
          </w:p>
        </w:tc>
        <w:tc>
          <w:tcPr>
            <w:tcW w:w="162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月调度</w:t>
            </w:r>
          </w:p>
        </w:tc>
        <w:tc>
          <w:tcPr>
            <w:tcW w:w="147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主要负责人</w:t>
            </w:r>
          </w:p>
        </w:tc>
        <w:tc>
          <w:tcPr>
            <w:tcW w:w="890"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2" w:hRule="atLeast"/>
          <w:jc w:val="center"/>
        </w:trPr>
        <w:tc>
          <w:tcPr>
            <w:tcW w:w="82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6</w:t>
            </w:r>
          </w:p>
        </w:tc>
        <w:tc>
          <w:tcPr>
            <w:tcW w:w="1582"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kern w:val="0"/>
                <w:sz w:val="24"/>
                <w14:textFill>
                  <w14:solidFill>
                    <w14:schemeClr w14:val="tx1"/>
                  </w14:solidFill>
                </w14:textFill>
              </w:rPr>
            </w:pPr>
          </w:p>
        </w:tc>
        <w:tc>
          <w:tcPr>
            <w:tcW w:w="335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14:textFill>
                  <w14:solidFill>
                    <w14:schemeClr w14:val="tx1"/>
                  </w14:solidFill>
                </w14:textFill>
              </w:rPr>
              <w:t>未</w:t>
            </w:r>
            <w:r>
              <w:rPr>
                <w:rFonts w:hint="eastAsia" w:asciiTheme="minorEastAsia" w:hAnsiTheme="minorEastAsia" w:eastAsiaTheme="minorEastAsia" w:cstheme="minorEastAsia"/>
                <w:color w:val="000000" w:themeColor="text1"/>
                <w:sz w:val="24"/>
                <w14:textFill>
                  <w14:solidFill>
                    <w14:schemeClr w14:val="tx1"/>
                  </w14:solidFill>
                </w14:textFill>
              </w:rPr>
              <w:t>按规定制定管理制度、操作规程</w:t>
            </w:r>
          </w:p>
        </w:tc>
        <w:tc>
          <w:tcPr>
            <w:tcW w:w="4077" w:type="dxa"/>
            <w:vAlign w:val="center"/>
          </w:tcPr>
          <w:p>
            <w:pPr>
              <w:keepNext w:val="0"/>
              <w:keepLines w:val="0"/>
              <w:pageBreakBefore w:val="0"/>
              <w:numPr>
                <w:ilvl w:val="0"/>
                <w:numId w:val="1"/>
              </w:numPr>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制定客运索道安全管理机构和相关人员岗位职责；</w:t>
            </w:r>
          </w:p>
          <w:p>
            <w:pPr>
              <w:keepNext w:val="0"/>
              <w:keepLines w:val="0"/>
              <w:pageBreakBefore w:val="0"/>
              <w:numPr>
                <w:ilvl w:val="0"/>
                <w:numId w:val="1"/>
              </w:numPr>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制定《客运索道安全总监职责》《客运索道安全员守则》《客运索道安全日管控、周排查、月调度管理制度》；</w:t>
            </w:r>
          </w:p>
          <w:p>
            <w:pPr>
              <w:keepNext w:val="0"/>
              <w:keepLines w:val="0"/>
              <w:pageBreakBefore w:val="0"/>
              <w:numPr>
                <w:ilvl w:val="0"/>
                <w:numId w:val="1"/>
              </w:numPr>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按规定建立客运索道操作规程。</w:t>
            </w:r>
          </w:p>
        </w:tc>
        <w:tc>
          <w:tcPr>
            <w:tcW w:w="162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周排查</w:t>
            </w:r>
          </w:p>
        </w:tc>
        <w:tc>
          <w:tcPr>
            <w:tcW w:w="147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安全总监</w:t>
            </w:r>
          </w:p>
        </w:tc>
        <w:tc>
          <w:tcPr>
            <w:tcW w:w="890"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51" w:hRule="atLeast"/>
          <w:jc w:val="center"/>
        </w:trPr>
        <w:tc>
          <w:tcPr>
            <w:tcW w:w="82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7</w:t>
            </w:r>
          </w:p>
        </w:tc>
        <w:tc>
          <w:tcPr>
            <w:tcW w:w="1582"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p>
        </w:tc>
        <w:tc>
          <w:tcPr>
            <w:tcW w:w="335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未建立安全技术档案</w:t>
            </w:r>
          </w:p>
        </w:tc>
        <w:tc>
          <w:tcPr>
            <w:tcW w:w="4077" w:type="dxa"/>
            <w:vAlign w:val="center"/>
          </w:tcPr>
          <w:p>
            <w:pPr>
              <w:pStyle w:val="16"/>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1.建立客运索道安全技术档案管理制度，明确档案内容及管理要求；</w:t>
            </w:r>
          </w:p>
          <w:p>
            <w:pPr>
              <w:pStyle w:val="16"/>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 xml:space="preserve">2.按规定逐台建立安全技术档案并及时更新安全技术档案。 </w:t>
            </w:r>
          </w:p>
        </w:tc>
        <w:tc>
          <w:tcPr>
            <w:tcW w:w="162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周排查</w:t>
            </w:r>
          </w:p>
        </w:tc>
        <w:tc>
          <w:tcPr>
            <w:tcW w:w="147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安全总监</w:t>
            </w:r>
          </w:p>
        </w:tc>
        <w:tc>
          <w:tcPr>
            <w:tcW w:w="890"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jc w:val="center"/>
        </w:trPr>
        <w:tc>
          <w:tcPr>
            <w:tcW w:w="82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8</w:t>
            </w:r>
          </w:p>
        </w:tc>
        <w:tc>
          <w:tcPr>
            <w:tcW w:w="1582"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p>
        </w:tc>
        <w:tc>
          <w:tcPr>
            <w:tcW w:w="335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未按规定办理使用登记、变更登记及停用、报废等手续</w:t>
            </w:r>
          </w:p>
        </w:tc>
        <w:tc>
          <w:tcPr>
            <w:tcW w:w="4077" w:type="dxa"/>
            <w:vAlign w:val="center"/>
          </w:tcPr>
          <w:p>
            <w:pPr>
              <w:keepNext w:val="0"/>
              <w:keepLines w:val="0"/>
              <w:pageBreakBefore w:val="0"/>
              <w:numPr>
                <w:ilvl w:val="255"/>
                <w:numId w:val="0"/>
              </w:numPr>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1.建立使用管理制度和规程，明确相关内容及安全管理要求；</w:t>
            </w:r>
          </w:p>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2. 按规定办理使用登记、变更登记及停用、报废手续。</w:t>
            </w:r>
          </w:p>
        </w:tc>
        <w:tc>
          <w:tcPr>
            <w:tcW w:w="162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周排查</w:t>
            </w:r>
          </w:p>
        </w:tc>
        <w:tc>
          <w:tcPr>
            <w:tcW w:w="147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安全总监</w:t>
            </w:r>
          </w:p>
        </w:tc>
        <w:tc>
          <w:tcPr>
            <w:tcW w:w="890"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9" w:hRule="atLeast"/>
          <w:jc w:val="center"/>
        </w:trPr>
        <w:tc>
          <w:tcPr>
            <w:tcW w:w="82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9</w:t>
            </w:r>
          </w:p>
        </w:tc>
        <w:tc>
          <w:tcPr>
            <w:tcW w:w="1582"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p>
        </w:tc>
        <w:tc>
          <w:tcPr>
            <w:tcW w:w="335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未按规定制定客运索道事故应急专项预案并定期演练</w:t>
            </w:r>
          </w:p>
        </w:tc>
        <w:tc>
          <w:tcPr>
            <w:tcW w:w="4077"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制定客运索道事故应急专项预案并每年至少开展1次演练</w:t>
            </w:r>
          </w:p>
        </w:tc>
        <w:tc>
          <w:tcPr>
            <w:tcW w:w="162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月调度</w:t>
            </w:r>
          </w:p>
        </w:tc>
        <w:tc>
          <w:tcPr>
            <w:tcW w:w="147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主要负责人</w:t>
            </w:r>
          </w:p>
        </w:tc>
        <w:tc>
          <w:tcPr>
            <w:tcW w:w="890"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8" w:hRule="atLeast"/>
          <w:jc w:val="center"/>
        </w:trPr>
        <w:tc>
          <w:tcPr>
            <w:tcW w:w="82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10</w:t>
            </w:r>
          </w:p>
        </w:tc>
        <w:tc>
          <w:tcPr>
            <w:tcW w:w="1582" w:type="dxa"/>
            <w:vMerge w:val="restart"/>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客运索道</w:t>
            </w:r>
          </w:p>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本体</w:t>
            </w:r>
          </w:p>
        </w:tc>
        <w:tc>
          <w:tcPr>
            <w:tcW w:w="335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选用国家明令禁止或淘汰的客运索道产品</w:t>
            </w:r>
          </w:p>
        </w:tc>
        <w:tc>
          <w:tcPr>
            <w:tcW w:w="4077" w:type="dxa"/>
            <w:vAlign w:val="center"/>
          </w:tcPr>
          <w:p>
            <w:pPr>
              <w:pStyle w:val="16"/>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建立采购管理制度，明确采购、验收要求</w:t>
            </w:r>
          </w:p>
        </w:tc>
        <w:tc>
          <w:tcPr>
            <w:tcW w:w="162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月调度</w:t>
            </w:r>
          </w:p>
        </w:tc>
        <w:tc>
          <w:tcPr>
            <w:tcW w:w="147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主要负责人</w:t>
            </w:r>
          </w:p>
        </w:tc>
        <w:tc>
          <w:tcPr>
            <w:tcW w:w="890"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5" w:hRule="atLeast"/>
          <w:jc w:val="center"/>
        </w:trPr>
        <w:tc>
          <w:tcPr>
            <w:tcW w:w="82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11</w:t>
            </w:r>
          </w:p>
        </w:tc>
        <w:tc>
          <w:tcPr>
            <w:tcW w:w="1582"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p>
        </w:tc>
        <w:tc>
          <w:tcPr>
            <w:tcW w:w="335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未按规定进行试运行和例行安全检查</w:t>
            </w:r>
          </w:p>
        </w:tc>
        <w:tc>
          <w:tcPr>
            <w:tcW w:w="4077"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1.制定试运行方案，试运行过程中的技术、安全保障措施，在每日投入使用前，按规定进行试运行并做好相应记录；</w:t>
            </w:r>
          </w:p>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2.在每日投入使用前，按操作规程进行例行安全检查。</w:t>
            </w:r>
          </w:p>
        </w:tc>
        <w:tc>
          <w:tcPr>
            <w:tcW w:w="162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周排查</w:t>
            </w:r>
          </w:p>
        </w:tc>
        <w:tc>
          <w:tcPr>
            <w:tcW w:w="147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安全总监</w:t>
            </w:r>
          </w:p>
        </w:tc>
        <w:tc>
          <w:tcPr>
            <w:tcW w:w="890"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1" w:hRule="atLeast"/>
          <w:jc w:val="center"/>
        </w:trPr>
        <w:tc>
          <w:tcPr>
            <w:tcW w:w="82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12</w:t>
            </w:r>
          </w:p>
        </w:tc>
        <w:tc>
          <w:tcPr>
            <w:tcW w:w="1582"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p>
        </w:tc>
        <w:tc>
          <w:tcPr>
            <w:tcW w:w="335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未按规定进行维护保养和自行检查</w:t>
            </w:r>
          </w:p>
        </w:tc>
        <w:tc>
          <w:tcPr>
            <w:tcW w:w="4077"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按规定制定维护保养制度和定期自行检查制度，组织开展维护保养和定期自行检查并做好相应记录</w:t>
            </w:r>
          </w:p>
        </w:tc>
        <w:tc>
          <w:tcPr>
            <w:tcW w:w="162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日管控</w:t>
            </w:r>
          </w:p>
        </w:tc>
        <w:tc>
          <w:tcPr>
            <w:tcW w:w="147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安全员</w:t>
            </w:r>
          </w:p>
        </w:tc>
        <w:tc>
          <w:tcPr>
            <w:tcW w:w="890"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80" w:hRule="atLeast"/>
          <w:jc w:val="center"/>
        </w:trPr>
        <w:tc>
          <w:tcPr>
            <w:tcW w:w="82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13</w:t>
            </w:r>
          </w:p>
        </w:tc>
        <w:tc>
          <w:tcPr>
            <w:tcW w:w="1582"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p>
        </w:tc>
        <w:tc>
          <w:tcPr>
            <w:tcW w:w="335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 xml:space="preserve">未按规定进行定期检验、监督检验 </w:t>
            </w:r>
          </w:p>
        </w:tc>
        <w:tc>
          <w:tcPr>
            <w:tcW w:w="4077"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制定定期检验、监督检验计划并组织实施，落实定期检验、监督检验的后续整改工作</w:t>
            </w:r>
          </w:p>
        </w:tc>
        <w:tc>
          <w:tcPr>
            <w:tcW w:w="162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周排查</w:t>
            </w:r>
          </w:p>
        </w:tc>
        <w:tc>
          <w:tcPr>
            <w:tcW w:w="147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安全总监</w:t>
            </w:r>
          </w:p>
        </w:tc>
        <w:tc>
          <w:tcPr>
            <w:tcW w:w="890"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95" w:hRule="atLeast"/>
          <w:jc w:val="center"/>
        </w:trPr>
        <w:tc>
          <w:tcPr>
            <w:tcW w:w="82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14</w:t>
            </w:r>
          </w:p>
        </w:tc>
        <w:tc>
          <w:tcPr>
            <w:tcW w:w="1582" w:type="dxa"/>
            <w:vMerge w:val="restart"/>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安全附件、</w:t>
            </w:r>
          </w:p>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安全保护装置和相关附属设施</w:t>
            </w:r>
          </w:p>
        </w:tc>
        <w:tc>
          <w:tcPr>
            <w:tcW w:w="335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未将安全使用说明、安全注意事项、警示标志和乘客须知置于易于为乘客注意的显著位置</w:t>
            </w:r>
          </w:p>
        </w:tc>
        <w:tc>
          <w:tcPr>
            <w:tcW w:w="4077"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1.将客运索道安全使用标志悬挂或者固定在易于乘客注意的显著位置；在上下站醒目位置设置索道乘坐须知；通过广播电视宣传乘坐索道安全注意事项；人工提醒乘客；</w:t>
            </w:r>
          </w:p>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2.在上下站台行车区设置禁止入内安全标识；提醒乘客每车乘人数；上车区、下车区域划线标识；人工提醒乘客安全注意事项；每天检查标识完整性。</w:t>
            </w:r>
          </w:p>
        </w:tc>
        <w:tc>
          <w:tcPr>
            <w:tcW w:w="162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日管控</w:t>
            </w:r>
          </w:p>
        </w:tc>
        <w:tc>
          <w:tcPr>
            <w:tcW w:w="147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安全员</w:t>
            </w:r>
          </w:p>
        </w:tc>
        <w:tc>
          <w:tcPr>
            <w:tcW w:w="890"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20" w:hRule="atLeast"/>
          <w:jc w:val="center"/>
        </w:trPr>
        <w:tc>
          <w:tcPr>
            <w:tcW w:w="82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15</w:t>
            </w:r>
          </w:p>
        </w:tc>
        <w:tc>
          <w:tcPr>
            <w:tcW w:w="1582"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p>
        </w:tc>
        <w:tc>
          <w:tcPr>
            <w:tcW w:w="335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安全保护装置不齐全或失效</w:t>
            </w:r>
          </w:p>
        </w:tc>
        <w:tc>
          <w:tcPr>
            <w:tcW w:w="4077"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1.制定安全保护装置定期试验、校验、维护保养管理制度，并严格执行；</w:t>
            </w:r>
          </w:p>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2.落实专人每日检查安全保护装置的完好性；及时修理或恢复。</w:t>
            </w:r>
          </w:p>
        </w:tc>
        <w:tc>
          <w:tcPr>
            <w:tcW w:w="162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日管控</w:t>
            </w:r>
          </w:p>
        </w:tc>
        <w:tc>
          <w:tcPr>
            <w:tcW w:w="147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安全员</w:t>
            </w:r>
          </w:p>
        </w:tc>
        <w:tc>
          <w:tcPr>
            <w:tcW w:w="890"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8" w:hRule="atLeast"/>
          <w:jc w:val="center"/>
        </w:trPr>
        <w:tc>
          <w:tcPr>
            <w:tcW w:w="82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16</w:t>
            </w:r>
          </w:p>
        </w:tc>
        <w:tc>
          <w:tcPr>
            <w:tcW w:w="1582"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p>
        </w:tc>
        <w:tc>
          <w:tcPr>
            <w:tcW w:w="335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紧急驱动装置、避雷设施、风速风向仪、通讯设施、救护设备及救援通道、消防设施、隔离栏杆和活动门栏、站台防滑设施等相关附属设施未配备或不能正常使用</w:t>
            </w:r>
          </w:p>
        </w:tc>
        <w:tc>
          <w:tcPr>
            <w:tcW w:w="4077"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落实专人定期开展巡回检查，发现异常，按规定进行报告和处理</w:t>
            </w:r>
          </w:p>
        </w:tc>
        <w:tc>
          <w:tcPr>
            <w:tcW w:w="162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周排查</w:t>
            </w:r>
          </w:p>
        </w:tc>
        <w:tc>
          <w:tcPr>
            <w:tcW w:w="147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安全总监</w:t>
            </w:r>
          </w:p>
        </w:tc>
        <w:tc>
          <w:tcPr>
            <w:tcW w:w="890"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71" w:hRule="atLeast"/>
          <w:jc w:val="center"/>
        </w:trPr>
        <w:tc>
          <w:tcPr>
            <w:tcW w:w="824" w:type="dxa"/>
            <w:vMerge w:val="restart"/>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14:textFill>
                  <w14:solidFill>
                    <w14:schemeClr w14:val="tx1"/>
                  </w14:solidFill>
                </w14:textFill>
              </w:rPr>
              <w:t>17</w:t>
            </w:r>
          </w:p>
        </w:tc>
        <w:tc>
          <w:tcPr>
            <w:tcW w:w="1582" w:type="dxa"/>
            <w:vMerge w:val="restart"/>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环境因素</w:t>
            </w:r>
          </w:p>
        </w:tc>
        <w:tc>
          <w:tcPr>
            <w:tcW w:w="335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客运索道线路和站址建在下列地区：山地风口，并与主导风向正交的地段上；</w:t>
            </w:r>
            <w:r>
              <w:rPr>
                <w:rFonts w:hint="eastAsia" w:asciiTheme="minorEastAsia" w:hAnsiTheme="minorEastAsia" w:eastAsiaTheme="minorEastAsia" w:cstheme="minorEastAsia"/>
                <w:color w:val="000000" w:themeColor="text1"/>
                <w:sz w:val="24"/>
                <w:szCs w:val="24"/>
                <w14:textFill>
                  <w14:solidFill>
                    <w14:schemeClr w14:val="tx1"/>
                  </w14:solidFill>
                </w14:textFill>
              </w:rPr>
              <w:t>客运索道线路与平行和交叉设施位置关系不符合相关规定要求</w:t>
            </w:r>
          </w:p>
        </w:tc>
        <w:tc>
          <w:tcPr>
            <w:tcW w:w="4077"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设计索道时按照安全技术规范进行选址，避开风险区域</w:t>
            </w:r>
          </w:p>
        </w:tc>
        <w:tc>
          <w:tcPr>
            <w:tcW w:w="162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周排查</w:t>
            </w:r>
          </w:p>
        </w:tc>
        <w:tc>
          <w:tcPr>
            <w:tcW w:w="147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安全总监</w:t>
            </w:r>
          </w:p>
        </w:tc>
        <w:tc>
          <w:tcPr>
            <w:tcW w:w="890"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6" w:hRule="atLeast"/>
          <w:jc w:val="center"/>
        </w:trPr>
        <w:tc>
          <w:tcPr>
            <w:tcW w:w="824"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kern w:val="0"/>
                <w:sz w:val="24"/>
                <w14:textFill>
                  <w14:solidFill>
                    <w14:schemeClr w14:val="tx1"/>
                  </w14:solidFill>
                </w14:textFill>
              </w:rPr>
            </w:pPr>
          </w:p>
        </w:tc>
        <w:tc>
          <w:tcPr>
            <w:tcW w:w="1582"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p>
        </w:tc>
        <w:tc>
          <w:tcPr>
            <w:tcW w:w="335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有雪崩、滑坡、塌方、溶洞、风暴、海啸、洪水、火灾等危及索道安全的地区，未经过主管部门批准并采取预防措施的</w:t>
            </w:r>
          </w:p>
        </w:tc>
        <w:tc>
          <w:tcPr>
            <w:tcW w:w="4077"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定期对索道周边环境进行排查，发现危及索道安全的情况及时停运处置</w:t>
            </w:r>
          </w:p>
        </w:tc>
        <w:tc>
          <w:tcPr>
            <w:tcW w:w="162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周排查</w:t>
            </w:r>
          </w:p>
        </w:tc>
        <w:tc>
          <w:tcPr>
            <w:tcW w:w="147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安全总监</w:t>
            </w:r>
          </w:p>
        </w:tc>
        <w:tc>
          <w:tcPr>
            <w:tcW w:w="890"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12" w:hRule="atLeast"/>
          <w:jc w:val="center"/>
        </w:trPr>
        <w:tc>
          <w:tcPr>
            <w:tcW w:w="824"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kern w:val="0"/>
                <w:sz w:val="24"/>
                <w14:textFill>
                  <w14:solidFill>
                    <w14:schemeClr w14:val="tx1"/>
                  </w14:solidFill>
                </w14:textFill>
              </w:rPr>
            </w:pPr>
          </w:p>
        </w:tc>
        <w:tc>
          <w:tcPr>
            <w:tcW w:w="1582"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p>
        </w:tc>
        <w:tc>
          <w:tcPr>
            <w:tcW w:w="335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存在运行过程中，设备与岩石、树木碰撞的风险</w:t>
            </w:r>
          </w:p>
        </w:tc>
        <w:tc>
          <w:tcPr>
            <w:tcW w:w="4077"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日常排查、专项排查、及时清理沿线树木及杂物，大风天气及时调整运行速度或停运</w:t>
            </w:r>
          </w:p>
        </w:tc>
        <w:tc>
          <w:tcPr>
            <w:tcW w:w="162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日管控</w:t>
            </w:r>
          </w:p>
        </w:tc>
        <w:tc>
          <w:tcPr>
            <w:tcW w:w="147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安全员</w:t>
            </w:r>
          </w:p>
        </w:tc>
        <w:tc>
          <w:tcPr>
            <w:tcW w:w="890"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9" w:hRule="atLeast"/>
          <w:jc w:val="center"/>
        </w:trPr>
        <w:tc>
          <w:tcPr>
            <w:tcW w:w="824"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kern w:val="0"/>
                <w:sz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14:textFill>
                  <w14:solidFill>
                    <w14:schemeClr w14:val="tx1"/>
                  </w14:solidFill>
                </w14:textFill>
              </w:rPr>
              <w:t>18</w:t>
            </w:r>
          </w:p>
        </w:tc>
        <w:tc>
          <w:tcPr>
            <w:tcW w:w="1582"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kern w:val="0"/>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政府监督、通报、预警</w:t>
            </w:r>
          </w:p>
        </w:tc>
        <w:tc>
          <w:tcPr>
            <w:tcW w:w="335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发现不合格项</w:t>
            </w:r>
          </w:p>
        </w:tc>
        <w:tc>
          <w:tcPr>
            <w:tcW w:w="4077"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记录，整改。</w:t>
            </w:r>
          </w:p>
        </w:tc>
        <w:tc>
          <w:tcPr>
            <w:tcW w:w="162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月调度</w:t>
            </w:r>
          </w:p>
        </w:tc>
        <w:tc>
          <w:tcPr>
            <w:tcW w:w="147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主要负责人</w:t>
            </w:r>
          </w:p>
        </w:tc>
        <w:tc>
          <w:tcPr>
            <w:tcW w:w="890"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3" w:hRule="atLeast"/>
          <w:jc w:val="center"/>
        </w:trPr>
        <w:tc>
          <w:tcPr>
            <w:tcW w:w="824"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kern w:val="0"/>
                <w:sz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14:textFill>
                  <w14:solidFill>
                    <w14:schemeClr w14:val="tx1"/>
                  </w14:solidFill>
                </w14:textFill>
              </w:rPr>
              <w:t>19</w:t>
            </w:r>
          </w:p>
        </w:tc>
        <w:tc>
          <w:tcPr>
            <w:tcW w:w="1582"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投诉举报</w:t>
            </w:r>
          </w:p>
        </w:tc>
        <w:tc>
          <w:tcPr>
            <w:tcW w:w="335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发现不合格项</w:t>
            </w:r>
          </w:p>
        </w:tc>
        <w:tc>
          <w:tcPr>
            <w:tcW w:w="4077"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记录，整改，消除安全隐患。</w:t>
            </w:r>
          </w:p>
        </w:tc>
        <w:tc>
          <w:tcPr>
            <w:tcW w:w="162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月调度</w:t>
            </w:r>
          </w:p>
        </w:tc>
        <w:tc>
          <w:tcPr>
            <w:tcW w:w="147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主要负责人</w:t>
            </w:r>
          </w:p>
        </w:tc>
        <w:tc>
          <w:tcPr>
            <w:tcW w:w="890"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jc w:val="center"/>
        </w:trPr>
        <w:tc>
          <w:tcPr>
            <w:tcW w:w="824"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kern w:val="0"/>
                <w:sz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14:textFill>
                  <w14:solidFill>
                    <w14:schemeClr w14:val="tx1"/>
                  </w14:solidFill>
                </w14:textFill>
              </w:rPr>
              <w:t>20</w:t>
            </w:r>
          </w:p>
        </w:tc>
        <w:tc>
          <w:tcPr>
            <w:tcW w:w="1582"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舆情信息</w:t>
            </w:r>
          </w:p>
        </w:tc>
        <w:tc>
          <w:tcPr>
            <w:tcW w:w="335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发现不合格项</w:t>
            </w:r>
          </w:p>
        </w:tc>
        <w:tc>
          <w:tcPr>
            <w:tcW w:w="4077"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记录，整改</w:t>
            </w:r>
          </w:p>
        </w:tc>
        <w:tc>
          <w:tcPr>
            <w:tcW w:w="162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月调度</w:t>
            </w:r>
          </w:p>
        </w:tc>
        <w:tc>
          <w:tcPr>
            <w:tcW w:w="147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主要负责人</w:t>
            </w:r>
          </w:p>
        </w:tc>
        <w:tc>
          <w:tcPr>
            <w:tcW w:w="890" w:type="dxa"/>
          </w:tcPr>
          <w:p>
            <w:pPr>
              <w:keepNext w:val="0"/>
              <w:keepLines w:val="0"/>
              <w:pageBreakBefore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color w:val="000000" w:themeColor="text1"/>
                <w:szCs w:val="21"/>
                <w14:textFill>
                  <w14:solidFill>
                    <w14:schemeClr w14:val="tx1"/>
                  </w14:solidFill>
                </w14:textFill>
              </w:rPr>
            </w:pPr>
          </w:p>
        </w:tc>
      </w:tr>
    </w:tbl>
    <w:p>
      <w:pPr>
        <w:rPr>
          <w:rFonts w:hint="eastAsia" w:ascii="宋体" w:hAnsi="宋体" w:cs="宋体"/>
          <w:b/>
          <w:color w:val="000000" w:themeColor="text1"/>
          <w:sz w:val="24"/>
          <w:szCs w:val="24"/>
          <w14:textFill>
            <w14:solidFill>
              <w14:schemeClr w14:val="tx1"/>
            </w14:solidFill>
          </w14:textFill>
        </w:rPr>
      </w:pPr>
      <w:r>
        <w:rPr>
          <w:rFonts w:ascii="宋体" w:hAnsi="宋体" w:cs="宋体"/>
          <w:b/>
          <w:color w:val="000000" w:themeColor="text1"/>
          <w:sz w:val="24"/>
          <w:szCs w:val="24"/>
          <w14:textFill>
            <w14:solidFill>
              <w14:schemeClr w14:val="tx1"/>
            </w14:solidFill>
          </w14:textFill>
        </w:rPr>
        <w:t>备注</w:t>
      </w:r>
      <w:r>
        <w:rPr>
          <w:rFonts w:hint="eastAsia" w:ascii="宋体" w:hAnsi="宋体"/>
          <w:b/>
          <w:bCs/>
          <w:color w:val="000000" w:themeColor="text1"/>
          <w:kern w:val="0"/>
          <w:sz w:val="24"/>
          <w:szCs w:val="24"/>
          <w14:textFill>
            <w14:solidFill>
              <w14:schemeClr w14:val="tx1"/>
            </w14:solidFill>
          </w14:textFill>
        </w:rPr>
        <w:t>：</w:t>
      </w:r>
      <w:r>
        <w:rPr>
          <w:rFonts w:ascii="宋体" w:hAnsi="宋体" w:cs="宋体"/>
          <w:b/>
          <w:color w:val="000000" w:themeColor="text1"/>
          <w:sz w:val="24"/>
          <w:szCs w:val="24"/>
          <w14:textFill>
            <w14:solidFill>
              <w14:schemeClr w14:val="tx1"/>
            </w14:solidFill>
          </w14:textFill>
        </w:rPr>
        <w:t>本清单为推荐性格式，仅规定了应当进行日管控、周排查、月调度的基本项目，</w:t>
      </w:r>
      <w:r>
        <w:rPr>
          <w:rFonts w:hint="eastAsia" w:ascii="宋体" w:hAnsi="宋体" w:cs="宋体"/>
          <w:b/>
          <w:color w:val="000000" w:themeColor="text1"/>
          <w:sz w:val="24"/>
          <w:szCs w:val="24"/>
          <w14:textFill>
            <w14:solidFill>
              <w14:schemeClr w14:val="tx1"/>
            </w14:solidFill>
          </w14:textFill>
        </w:rPr>
        <w:t>客运索道使用</w:t>
      </w:r>
      <w:r>
        <w:rPr>
          <w:rFonts w:ascii="宋体" w:hAnsi="宋体" w:cs="宋体"/>
          <w:b/>
          <w:color w:val="000000" w:themeColor="text1"/>
          <w:sz w:val="24"/>
          <w:szCs w:val="24"/>
          <w14:textFill>
            <w14:solidFill>
              <w14:schemeClr w14:val="tx1"/>
            </w14:solidFill>
          </w14:textFill>
        </w:rPr>
        <w:t>单位应当结合本单位实际情况和具体要求，细化风险管控清单</w:t>
      </w:r>
      <w:r>
        <w:rPr>
          <w:rFonts w:hint="eastAsia" w:ascii="宋体" w:hAnsi="宋体" w:cs="宋体"/>
          <w:b/>
          <w:color w:val="000000" w:themeColor="text1"/>
          <w:sz w:val="24"/>
          <w:szCs w:val="24"/>
          <w14:textFill>
            <w14:solidFill>
              <w14:schemeClr w14:val="tx1"/>
            </w14:solidFill>
          </w14:textFill>
        </w:rPr>
        <w:t>，合理调整管控形式。</w:t>
      </w:r>
    </w:p>
    <w:p>
      <w:pPr>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br w:type="page"/>
      </w:r>
    </w:p>
    <w:p>
      <w:pPr>
        <w:pStyle w:val="4"/>
        <w:bidi w:val="0"/>
        <w:jc w:val="left"/>
      </w:pPr>
      <w:bookmarkStart w:id="277" w:name="_Toc4638_WPSOffice_Level1"/>
      <w:bookmarkStart w:id="278" w:name="_Toc26782"/>
      <w:r>
        <w:rPr>
          <w:rFonts w:hint="eastAsia"/>
          <w:b w:val="0"/>
          <w:bCs/>
          <w:sz w:val="32"/>
          <w:szCs w:val="32"/>
        </w:rPr>
        <w:t>附录B8</w:t>
      </w:r>
      <w:r>
        <w:rPr>
          <w:rFonts w:hint="eastAsia"/>
        </w:rPr>
        <w:t xml:space="preserve">         </w:t>
      </w:r>
      <w:r>
        <w:rPr>
          <w:rFonts w:hint="eastAsia"/>
          <w:lang w:val="en-US" w:eastAsia="zh-CN"/>
        </w:rPr>
        <w:t xml:space="preserve">     </w:t>
      </w:r>
      <w:r>
        <w:rPr>
          <w:rFonts w:hint="eastAsia"/>
        </w:rPr>
        <w:t>大型游乐设施安全风险管控清单</w:t>
      </w:r>
      <w:bookmarkEnd w:id="277"/>
      <w:bookmarkEnd w:id="278"/>
    </w:p>
    <w:tbl>
      <w:tblPr>
        <w:tblStyle w:val="1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38"/>
        <w:gridCol w:w="1404"/>
        <w:gridCol w:w="2673"/>
        <w:gridCol w:w="5100"/>
        <w:gridCol w:w="1241"/>
        <w:gridCol w:w="1568"/>
        <w:gridCol w:w="9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 w:hRule="exact"/>
          <w:tblHeader/>
          <w:jc w:val="center"/>
        </w:trPr>
        <w:tc>
          <w:tcPr>
            <w:tcW w:w="838" w:type="dxa"/>
            <w:shd w:val="clear" w:color="auto" w:fill="BEBEBE" w:themeFill="background1" w:themeFillShade="BF"/>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序号</w:t>
            </w:r>
          </w:p>
        </w:tc>
        <w:tc>
          <w:tcPr>
            <w:tcW w:w="1404" w:type="dxa"/>
            <w:shd w:val="clear" w:color="auto" w:fill="BEBEBE" w:themeFill="background1" w:themeFillShade="BF"/>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风险类别</w:t>
            </w:r>
          </w:p>
        </w:tc>
        <w:tc>
          <w:tcPr>
            <w:tcW w:w="2673" w:type="dxa"/>
            <w:shd w:val="clear" w:color="auto" w:fill="BEBEBE" w:themeFill="background1" w:themeFillShade="BF"/>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风险指标</w:t>
            </w:r>
          </w:p>
        </w:tc>
        <w:tc>
          <w:tcPr>
            <w:tcW w:w="5100" w:type="dxa"/>
            <w:shd w:val="clear" w:color="auto" w:fill="BEBEBE" w:themeFill="background1" w:themeFillShade="BF"/>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风险管控措施</w:t>
            </w:r>
          </w:p>
        </w:tc>
        <w:tc>
          <w:tcPr>
            <w:tcW w:w="1241" w:type="dxa"/>
            <w:shd w:val="clear" w:color="auto" w:fill="BEBEBE" w:themeFill="background1" w:themeFillShade="BF"/>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管控形式</w:t>
            </w:r>
          </w:p>
        </w:tc>
        <w:tc>
          <w:tcPr>
            <w:tcW w:w="1568" w:type="dxa"/>
            <w:shd w:val="clear" w:color="auto" w:fill="BEBEBE" w:themeFill="background1" w:themeFillShade="BF"/>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责任人</w:t>
            </w:r>
          </w:p>
        </w:tc>
        <w:tc>
          <w:tcPr>
            <w:tcW w:w="999" w:type="dxa"/>
            <w:shd w:val="clear" w:color="auto" w:fill="BEBEBE" w:themeFill="background1" w:themeFillShade="BF"/>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1" w:hRule="atLeast"/>
          <w:jc w:val="center"/>
        </w:trPr>
        <w:tc>
          <w:tcPr>
            <w:tcW w:w="838"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w:t>
            </w:r>
          </w:p>
        </w:tc>
        <w:tc>
          <w:tcPr>
            <w:tcW w:w="1404" w:type="dxa"/>
            <w:vMerge w:val="restart"/>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人员</w:t>
            </w:r>
          </w:p>
        </w:tc>
        <w:tc>
          <w:tcPr>
            <w:tcW w:w="267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未按规定配备安全管理人员和作业人员</w:t>
            </w:r>
          </w:p>
        </w:tc>
        <w:tc>
          <w:tcPr>
            <w:tcW w:w="51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1.建立特种设备安全管理人员与作业人员管理制度；</w:t>
            </w:r>
          </w:p>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2.按规定配备相关人员。</w:t>
            </w:r>
          </w:p>
        </w:tc>
        <w:tc>
          <w:tcPr>
            <w:tcW w:w="1241"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月调度</w:t>
            </w:r>
          </w:p>
        </w:tc>
        <w:tc>
          <w:tcPr>
            <w:tcW w:w="1568"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主要负责人</w:t>
            </w:r>
          </w:p>
        </w:tc>
        <w:tc>
          <w:tcPr>
            <w:tcW w:w="999" w:type="dxa"/>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jc w:val="center"/>
        </w:trPr>
        <w:tc>
          <w:tcPr>
            <w:tcW w:w="838"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w:t>
            </w:r>
          </w:p>
        </w:tc>
        <w:tc>
          <w:tcPr>
            <w:tcW w:w="1404"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rPr>
            </w:pPr>
          </w:p>
        </w:tc>
        <w:tc>
          <w:tcPr>
            <w:tcW w:w="267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作业人员未持有相应资格证件</w:t>
            </w:r>
          </w:p>
        </w:tc>
        <w:tc>
          <w:tcPr>
            <w:tcW w:w="51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配备具有相应职责资质的作业人员，加强资格证的换证管理</w:t>
            </w:r>
          </w:p>
        </w:tc>
        <w:tc>
          <w:tcPr>
            <w:tcW w:w="1241"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周排查</w:t>
            </w:r>
          </w:p>
        </w:tc>
        <w:tc>
          <w:tcPr>
            <w:tcW w:w="1568"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999" w:type="dxa"/>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7" w:hRule="atLeast"/>
          <w:jc w:val="center"/>
        </w:trPr>
        <w:tc>
          <w:tcPr>
            <w:tcW w:w="838"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w:t>
            </w:r>
          </w:p>
        </w:tc>
        <w:tc>
          <w:tcPr>
            <w:tcW w:w="1404"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rPr>
            </w:pPr>
          </w:p>
        </w:tc>
        <w:tc>
          <w:tcPr>
            <w:tcW w:w="267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未按规定对安全管理人员和作业人员开展安全教育培训</w:t>
            </w:r>
          </w:p>
        </w:tc>
        <w:tc>
          <w:tcPr>
            <w:tcW w:w="51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按规定开展安全培训教育</w:t>
            </w:r>
          </w:p>
        </w:tc>
        <w:tc>
          <w:tcPr>
            <w:tcW w:w="1241"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周排查</w:t>
            </w:r>
          </w:p>
        </w:tc>
        <w:tc>
          <w:tcPr>
            <w:tcW w:w="1568"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999" w:type="dxa"/>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5" w:hRule="atLeast"/>
          <w:jc w:val="center"/>
        </w:trPr>
        <w:tc>
          <w:tcPr>
            <w:tcW w:w="838"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w:t>
            </w:r>
          </w:p>
        </w:tc>
        <w:tc>
          <w:tcPr>
            <w:tcW w:w="1404"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rPr>
            </w:pPr>
          </w:p>
        </w:tc>
        <w:tc>
          <w:tcPr>
            <w:tcW w:w="267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作业内容与证书项目不相符</w:t>
            </w:r>
          </w:p>
        </w:tc>
        <w:tc>
          <w:tcPr>
            <w:tcW w:w="51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建立岗位责任制度</w:t>
            </w:r>
          </w:p>
        </w:tc>
        <w:tc>
          <w:tcPr>
            <w:tcW w:w="1241"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日管控</w:t>
            </w:r>
          </w:p>
        </w:tc>
        <w:tc>
          <w:tcPr>
            <w:tcW w:w="1568"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安全员</w:t>
            </w:r>
          </w:p>
        </w:tc>
        <w:tc>
          <w:tcPr>
            <w:tcW w:w="999" w:type="dxa"/>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7" w:hRule="atLeast"/>
          <w:jc w:val="center"/>
        </w:trPr>
        <w:tc>
          <w:tcPr>
            <w:tcW w:w="838"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5</w:t>
            </w:r>
          </w:p>
        </w:tc>
        <w:tc>
          <w:tcPr>
            <w:tcW w:w="1404" w:type="dxa"/>
            <w:vMerge w:val="restart"/>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kern w:val="0"/>
                <w:sz w:val="24"/>
              </w:rPr>
              <w:t>管理</w:t>
            </w:r>
          </w:p>
        </w:tc>
        <w:tc>
          <w:tcPr>
            <w:tcW w:w="267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未按规定设置安全管理机构</w:t>
            </w:r>
          </w:p>
        </w:tc>
        <w:tc>
          <w:tcPr>
            <w:tcW w:w="5100" w:type="dxa"/>
            <w:vAlign w:val="center"/>
          </w:tcPr>
          <w:p>
            <w:pPr>
              <w:pStyle w:val="16"/>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根据使用的特种设备种类和数量，设置专门的安全管理机构。</w:t>
            </w:r>
          </w:p>
        </w:tc>
        <w:tc>
          <w:tcPr>
            <w:tcW w:w="1241"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月调度</w:t>
            </w:r>
          </w:p>
        </w:tc>
        <w:tc>
          <w:tcPr>
            <w:tcW w:w="1568"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主要负责人</w:t>
            </w:r>
          </w:p>
        </w:tc>
        <w:tc>
          <w:tcPr>
            <w:tcW w:w="999" w:type="dxa"/>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2" w:hRule="atLeast"/>
          <w:jc w:val="center"/>
        </w:trPr>
        <w:tc>
          <w:tcPr>
            <w:tcW w:w="838"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6</w:t>
            </w:r>
          </w:p>
        </w:tc>
        <w:tc>
          <w:tcPr>
            <w:tcW w:w="1404"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kern w:val="0"/>
                <w:sz w:val="24"/>
              </w:rPr>
            </w:pPr>
          </w:p>
        </w:tc>
        <w:tc>
          <w:tcPr>
            <w:tcW w:w="267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未按有关规定制定操作规程或者未按规定执行操作规程</w:t>
            </w:r>
          </w:p>
        </w:tc>
        <w:tc>
          <w:tcPr>
            <w:tcW w:w="5100" w:type="dxa"/>
            <w:vAlign w:val="center"/>
          </w:tcPr>
          <w:p>
            <w:pPr>
              <w:keepNext w:val="0"/>
              <w:keepLines w:val="0"/>
              <w:pageBreakBefore w:val="0"/>
              <w:numPr>
                <w:ilvl w:val="0"/>
                <w:numId w:val="1"/>
              </w:numPr>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制定大型游乐设施安全管理机构和相关人员岗位职责；</w:t>
            </w:r>
          </w:p>
          <w:p>
            <w:pPr>
              <w:keepNext w:val="0"/>
              <w:keepLines w:val="0"/>
              <w:pageBreakBefore w:val="0"/>
              <w:numPr>
                <w:ilvl w:val="0"/>
                <w:numId w:val="1"/>
              </w:numPr>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制定《大型游乐设施安全总监职责》《大型游乐设施安全员守则》《大型游乐设施安全日管控、周排查、月调度管理制度》。</w:t>
            </w:r>
          </w:p>
        </w:tc>
        <w:tc>
          <w:tcPr>
            <w:tcW w:w="1241"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周排查</w:t>
            </w:r>
          </w:p>
        </w:tc>
        <w:tc>
          <w:tcPr>
            <w:tcW w:w="1568"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999" w:type="dxa"/>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70" w:hRule="atLeast"/>
          <w:jc w:val="center"/>
        </w:trPr>
        <w:tc>
          <w:tcPr>
            <w:tcW w:w="838"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7</w:t>
            </w:r>
          </w:p>
        </w:tc>
        <w:tc>
          <w:tcPr>
            <w:tcW w:w="1404"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rPr>
            </w:pPr>
          </w:p>
        </w:tc>
        <w:tc>
          <w:tcPr>
            <w:tcW w:w="267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未建立安全技术档案</w:t>
            </w:r>
          </w:p>
        </w:tc>
        <w:tc>
          <w:tcPr>
            <w:tcW w:w="5100" w:type="dxa"/>
            <w:vAlign w:val="center"/>
          </w:tcPr>
          <w:p>
            <w:pPr>
              <w:pStyle w:val="16"/>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1.建立大型游乐设施安全技术档案管理制度，明确档案内容及管理要求；</w:t>
            </w:r>
          </w:p>
          <w:p>
            <w:pPr>
              <w:pStyle w:val="16"/>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2.按规定逐台建立安全技术档案并及时更新安全技术档案。 </w:t>
            </w:r>
          </w:p>
        </w:tc>
        <w:tc>
          <w:tcPr>
            <w:tcW w:w="1241"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周排查</w:t>
            </w:r>
          </w:p>
        </w:tc>
        <w:tc>
          <w:tcPr>
            <w:tcW w:w="1568"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999" w:type="dxa"/>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jc w:val="center"/>
        </w:trPr>
        <w:tc>
          <w:tcPr>
            <w:tcW w:w="838"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8</w:t>
            </w:r>
          </w:p>
        </w:tc>
        <w:tc>
          <w:tcPr>
            <w:tcW w:w="1404"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rPr>
            </w:pPr>
          </w:p>
        </w:tc>
        <w:tc>
          <w:tcPr>
            <w:tcW w:w="267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未按规定办理使用登记、变更登记及停用、报废等手续</w:t>
            </w:r>
          </w:p>
        </w:tc>
        <w:tc>
          <w:tcPr>
            <w:tcW w:w="5100" w:type="dxa"/>
            <w:vAlign w:val="center"/>
          </w:tcPr>
          <w:p>
            <w:pPr>
              <w:keepNext w:val="0"/>
              <w:keepLines w:val="0"/>
              <w:pageBreakBefore w:val="0"/>
              <w:numPr>
                <w:ilvl w:val="255"/>
                <w:numId w:val="0"/>
              </w:numPr>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1.建立使用管理制度和规程，明确相关内容及安全管理要求；</w:t>
            </w:r>
          </w:p>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 按规定办理使用登记、变更登记及停用、报废手续。</w:t>
            </w:r>
          </w:p>
        </w:tc>
        <w:tc>
          <w:tcPr>
            <w:tcW w:w="1241"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周排查</w:t>
            </w:r>
          </w:p>
        </w:tc>
        <w:tc>
          <w:tcPr>
            <w:tcW w:w="1568"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999" w:type="dxa"/>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9" w:hRule="atLeast"/>
          <w:jc w:val="center"/>
        </w:trPr>
        <w:tc>
          <w:tcPr>
            <w:tcW w:w="838"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9</w:t>
            </w:r>
          </w:p>
        </w:tc>
        <w:tc>
          <w:tcPr>
            <w:tcW w:w="1404"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rPr>
            </w:pPr>
          </w:p>
        </w:tc>
        <w:tc>
          <w:tcPr>
            <w:tcW w:w="267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未按规定制定大型游乐设施事故应急专项预案并定期演练</w:t>
            </w:r>
          </w:p>
        </w:tc>
        <w:tc>
          <w:tcPr>
            <w:tcW w:w="51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制定大型游乐设施事故应急专项预案并每年至少开展1次演练</w:t>
            </w:r>
          </w:p>
        </w:tc>
        <w:tc>
          <w:tcPr>
            <w:tcW w:w="1241"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月调度</w:t>
            </w:r>
          </w:p>
        </w:tc>
        <w:tc>
          <w:tcPr>
            <w:tcW w:w="1568"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主要负责人</w:t>
            </w:r>
          </w:p>
        </w:tc>
        <w:tc>
          <w:tcPr>
            <w:tcW w:w="999" w:type="dxa"/>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8" w:hRule="atLeast"/>
          <w:jc w:val="center"/>
        </w:trPr>
        <w:tc>
          <w:tcPr>
            <w:tcW w:w="838"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10</w:t>
            </w:r>
          </w:p>
        </w:tc>
        <w:tc>
          <w:tcPr>
            <w:tcW w:w="1404" w:type="dxa"/>
            <w:vMerge w:val="restart"/>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设备</w:t>
            </w:r>
          </w:p>
        </w:tc>
        <w:tc>
          <w:tcPr>
            <w:tcW w:w="267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未按要求使用符合要求的大型游乐设施或使用国家明令禁止的大型游乐设施</w:t>
            </w:r>
          </w:p>
        </w:tc>
        <w:tc>
          <w:tcPr>
            <w:tcW w:w="51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建立采购管理制度，明确采购、验收要求</w:t>
            </w:r>
          </w:p>
        </w:tc>
        <w:tc>
          <w:tcPr>
            <w:tcW w:w="1241"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月调度</w:t>
            </w:r>
          </w:p>
        </w:tc>
        <w:tc>
          <w:tcPr>
            <w:tcW w:w="1568"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主要负责人</w:t>
            </w:r>
          </w:p>
        </w:tc>
        <w:tc>
          <w:tcPr>
            <w:tcW w:w="999" w:type="dxa"/>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5" w:hRule="atLeast"/>
          <w:jc w:val="center"/>
        </w:trPr>
        <w:tc>
          <w:tcPr>
            <w:tcW w:w="838"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11</w:t>
            </w:r>
          </w:p>
        </w:tc>
        <w:tc>
          <w:tcPr>
            <w:tcW w:w="1404"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rPr>
            </w:pPr>
          </w:p>
        </w:tc>
        <w:tc>
          <w:tcPr>
            <w:tcW w:w="267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未按规定进行维护保养和自行检查</w:t>
            </w:r>
          </w:p>
        </w:tc>
        <w:tc>
          <w:tcPr>
            <w:tcW w:w="51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按规定制定维护保养制度和定期自行检查制度，组织开展维护保养和定期自行检查并做好相应记录</w:t>
            </w:r>
          </w:p>
        </w:tc>
        <w:tc>
          <w:tcPr>
            <w:tcW w:w="1241"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日管控</w:t>
            </w:r>
          </w:p>
        </w:tc>
        <w:tc>
          <w:tcPr>
            <w:tcW w:w="1568"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安全员</w:t>
            </w:r>
          </w:p>
        </w:tc>
        <w:tc>
          <w:tcPr>
            <w:tcW w:w="999" w:type="dxa"/>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2" w:hRule="atLeast"/>
          <w:jc w:val="center"/>
        </w:trPr>
        <w:tc>
          <w:tcPr>
            <w:tcW w:w="838"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12</w:t>
            </w:r>
          </w:p>
        </w:tc>
        <w:tc>
          <w:tcPr>
            <w:tcW w:w="1404"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rPr>
            </w:pPr>
          </w:p>
        </w:tc>
        <w:tc>
          <w:tcPr>
            <w:tcW w:w="267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未按规定进行定期检验、监督检验 </w:t>
            </w:r>
          </w:p>
        </w:tc>
        <w:tc>
          <w:tcPr>
            <w:tcW w:w="5100" w:type="dxa"/>
            <w:vAlign w:val="center"/>
          </w:tcPr>
          <w:p>
            <w:pPr>
              <w:keepNext w:val="0"/>
              <w:keepLines w:val="0"/>
              <w:pageBreakBefore w:val="0"/>
              <w:numPr>
                <w:ilvl w:val="255"/>
                <w:numId w:val="0"/>
              </w:numPr>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制定定期检验、自行检测计划并组织实施，落实定期检验、自行检测的后续整改工作</w:t>
            </w:r>
          </w:p>
        </w:tc>
        <w:tc>
          <w:tcPr>
            <w:tcW w:w="1241"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周排查</w:t>
            </w:r>
          </w:p>
        </w:tc>
        <w:tc>
          <w:tcPr>
            <w:tcW w:w="1568"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999" w:type="dxa"/>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60" w:hRule="atLeast"/>
          <w:jc w:val="center"/>
        </w:trPr>
        <w:tc>
          <w:tcPr>
            <w:tcW w:w="838"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13</w:t>
            </w:r>
          </w:p>
        </w:tc>
        <w:tc>
          <w:tcPr>
            <w:tcW w:w="1404" w:type="dxa"/>
            <w:vMerge w:val="restart"/>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安全附件和</w:t>
            </w:r>
          </w:p>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安全保护装置</w:t>
            </w:r>
          </w:p>
        </w:tc>
        <w:tc>
          <w:tcPr>
            <w:tcW w:w="2673"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left"/>
              <w:textAlignment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安全带、安全压杆等安全束缚装置失效</w:t>
            </w:r>
          </w:p>
        </w:tc>
        <w:tc>
          <w:tcPr>
            <w:tcW w:w="51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每日检查</w:t>
            </w:r>
            <w:r>
              <w:rPr>
                <w:rFonts w:hint="eastAsia" w:asciiTheme="minorEastAsia" w:hAnsiTheme="minorEastAsia" w:eastAsiaTheme="minorEastAsia" w:cstheme="minorEastAsia"/>
                <w:kern w:val="0"/>
                <w:sz w:val="24"/>
                <w:szCs w:val="24"/>
              </w:rPr>
              <w:t>安全束缚装置</w:t>
            </w:r>
            <w:r>
              <w:rPr>
                <w:rFonts w:hint="eastAsia" w:asciiTheme="minorEastAsia" w:hAnsiTheme="minorEastAsia" w:eastAsiaTheme="minorEastAsia" w:cstheme="minorEastAsia"/>
                <w:sz w:val="24"/>
              </w:rPr>
              <w:t>情况</w:t>
            </w:r>
          </w:p>
        </w:tc>
        <w:tc>
          <w:tcPr>
            <w:tcW w:w="1241"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日管控</w:t>
            </w:r>
          </w:p>
        </w:tc>
        <w:tc>
          <w:tcPr>
            <w:tcW w:w="1568"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安全员</w:t>
            </w:r>
          </w:p>
        </w:tc>
        <w:tc>
          <w:tcPr>
            <w:tcW w:w="999" w:type="dxa"/>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6" w:hRule="atLeast"/>
          <w:jc w:val="center"/>
        </w:trPr>
        <w:tc>
          <w:tcPr>
            <w:tcW w:w="838"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14</w:t>
            </w:r>
          </w:p>
        </w:tc>
        <w:tc>
          <w:tcPr>
            <w:tcW w:w="1404"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rPr>
            </w:pPr>
          </w:p>
        </w:tc>
        <w:tc>
          <w:tcPr>
            <w:tcW w:w="2673"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left"/>
              <w:textAlignment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kern w:val="0"/>
                <w:sz w:val="24"/>
                <w:szCs w:val="24"/>
              </w:rPr>
              <w:t>事故状态下座舱紧急降落装置故障或疏导乘客、救生措配备不足</w:t>
            </w:r>
          </w:p>
        </w:tc>
        <w:tc>
          <w:tcPr>
            <w:tcW w:w="51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每日检查紧急降落装置等安全装置情况</w:t>
            </w:r>
          </w:p>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p>
        </w:tc>
        <w:tc>
          <w:tcPr>
            <w:tcW w:w="1241"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日管控</w:t>
            </w:r>
          </w:p>
        </w:tc>
        <w:tc>
          <w:tcPr>
            <w:tcW w:w="1568"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安全员</w:t>
            </w:r>
          </w:p>
        </w:tc>
        <w:tc>
          <w:tcPr>
            <w:tcW w:w="999" w:type="dxa"/>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04" w:hRule="atLeast"/>
          <w:jc w:val="center"/>
        </w:trPr>
        <w:tc>
          <w:tcPr>
            <w:tcW w:w="838"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15</w:t>
            </w:r>
          </w:p>
        </w:tc>
        <w:tc>
          <w:tcPr>
            <w:tcW w:w="1404"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rPr>
            </w:pPr>
          </w:p>
        </w:tc>
        <w:tc>
          <w:tcPr>
            <w:tcW w:w="267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kern w:val="0"/>
                <w:sz w:val="24"/>
                <w:szCs w:val="24"/>
              </w:rPr>
              <w:t>风速计故障及缺损，避雷装置缺损或接地电阻不符合规定</w:t>
            </w:r>
          </w:p>
        </w:tc>
        <w:tc>
          <w:tcPr>
            <w:tcW w:w="51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每日检查风速仪、避雷装置等安全装置情况</w:t>
            </w:r>
          </w:p>
        </w:tc>
        <w:tc>
          <w:tcPr>
            <w:tcW w:w="1241"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日管控</w:t>
            </w:r>
          </w:p>
        </w:tc>
        <w:tc>
          <w:tcPr>
            <w:tcW w:w="1568"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安全员</w:t>
            </w:r>
          </w:p>
        </w:tc>
        <w:tc>
          <w:tcPr>
            <w:tcW w:w="999" w:type="dxa"/>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8" w:hRule="atLeast"/>
          <w:jc w:val="center"/>
        </w:trPr>
        <w:tc>
          <w:tcPr>
            <w:tcW w:w="838"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16</w:t>
            </w:r>
          </w:p>
        </w:tc>
        <w:tc>
          <w:tcPr>
            <w:tcW w:w="1404" w:type="dxa"/>
            <w:vMerge w:val="continue"/>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rPr>
            </w:pPr>
          </w:p>
        </w:tc>
        <w:tc>
          <w:tcPr>
            <w:tcW w:w="267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kern w:val="0"/>
                <w:sz w:val="24"/>
                <w:szCs w:val="24"/>
              </w:rPr>
              <w:t>安全标识缺损</w:t>
            </w:r>
          </w:p>
        </w:tc>
        <w:tc>
          <w:tcPr>
            <w:tcW w:w="51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每日检查安全标示情况</w:t>
            </w:r>
          </w:p>
        </w:tc>
        <w:tc>
          <w:tcPr>
            <w:tcW w:w="1241"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日管控</w:t>
            </w:r>
          </w:p>
        </w:tc>
        <w:tc>
          <w:tcPr>
            <w:tcW w:w="1568"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安全员</w:t>
            </w:r>
          </w:p>
        </w:tc>
        <w:tc>
          <w:tcPr>
            <w:tcW w:w="999" w:type="dxa"/>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6" w:hRule="atLeast"/>
          <w:jc w:val="center"/>
        </w:trPr>
        <w:tc>
          <w:tcPr>
            <w:tcW w:w="838"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kern w:val="0"/>
                <w:sz w:val="24"/>
              </w:rPr>
              <w:t>17</w:t>
            </w:r>
          </w:p>
        </w:tc>
        <w:tc>
          <w:tcPr>
            <w:tcW w:w="1404" w:type="dxa"/>
            <w:vMerge w:val="restart"/>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环境因素</w:t>
            </w:r>
          </w:p>
        </w:tc>
        <w:tc>
          <w:tcPr>
            <w:tcW w:w="267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大型游乐设施使用场所为易发生滑坡、泥石流等自然灾害的区域；</w:t>
            </w:r>
          </w:p>
        </w:tc>
        <w:tc>
          <w:tcPr>
            <w:tcW w:w="5100" w:type="dxa"/>
            <w:vAlign w:val="center"/>
          </w:tcPr>
          <w:p>
            <w:pPr>
              <w:keepNext w:val="0"/>
              <w:keepLines w:val="0"/>
              <w:pageBreakBefore w:val="0"/>
              <w:numPr>
                <w:ilvl w:val="0"/>
                <w:numId w:val="7"/>
              </w:numPr>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检查大型游乐设施的场地是否在易发生自然灾害的场所；</w:t>
            </w:r>
          </w:p>
          <w:p>
            <w:pPr>
              <w:keepNext w:val="0"/>
              <w:keepLines w:val="0"/>
              <w:pageBreakBefore w:val="0"/>
              <w:numPr>
                <w:ilvl w:val="0"/>
                <w:numId w:val="7"/>
              </w:numPr>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关注气象预报，及时采取防范措施。</w:t>
            </w:r>
          </w:p>
        </w:tc>
        <w:tc>
          <w:tcPr>
            <w:tcW w:w="1241"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周排查</w:t>
            </w:r>
          </w:p>
        </w:tc>
        <w:tc>
          <w:tcPr>
            <w:tcW w:w="1568"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999" w:type="dxa"/>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9" w:hRule="atLeast"/>
          <w:jc w:val="center"/>
        </w:trPr>
        <w:tc>
          <w:tcPr>
            <w:tcW w:w="838"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18</w:t>
            </w:r>
          </w:p>
        </w:tc>
        <w:tc>
          <w:tcPr>
            <w:tcW w:w="1404" w:type="dxa"/>
            <w:vMerge w:val="continue"/>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rPr>
            </w:pPr>
          </w:p>
        </w:tc>
        <w:tc>
          <w:tcPr>
            <w:tcW w:w="267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大型游乐设施未按有关规定设置警示标志或说明</w:t>
            </w:r>
          </w:p>
        </w:tc>
        <w:tc>
          <w:tcPr>
            <w:tcW w:w="51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每日检查安全警示标志的张贴情况</w:t>
            </w:r>
          </w:p>
        </w:tc>
        <w:tc>
          <w:tcPr>
            <w:tcW w:w="1241"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日管控</w:t>
            </w:r>
          </w:p>
        </w:tc>
        <w:tc>
          <w:tcPr>
            <w:tcW w:w="1568"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安全员</w:t>
            </w:r>
          </w:p>
        </w:tc>
        <w:tc>
          <w:tcPr>
            <w:tcW w:w="999" w:type="dxa"/>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9" w:hRule="atLeast"/>
          <w:jc w:val="center"/>
        </w:trPr>
        <w:tc>
          <w:tcPr>
            <w:tcW w:w="838"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19</w:t>
            </w:r>
          </w:p>
        </w:tc>
        <w:tc>
          <w:tcPr>
            <w:tcW w:w="1404" w:type="dxa"/>
            <w:vMerge w:val="continue"/>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rPr>
            </w:pPr>
          </w:p>
        </w:tc>
        <w:tc>
          <w:tcPr>
            <w:tcW w:w="267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大型游乐设施运行存在不符合安全距离等要求的情况。</w:t>
            </w:r>
          </w:p>
        </w:tc>
        <w:tc>
          <w:tcPr>
            <w:tcW w:w="51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检查大型游乐设施与周边建筑物等设施设备保持安全距离</w:t>
            </w:r>
          </w:p>
        </w:tc>
        <w:tc>
          <w:tcPr>
            <w:tcW w:w="1241"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日管控</w:t>
            </w:r>
          </w:p>
        </w:tc>
        <w:tc>
          <w:tcPr>
            <w:tcW w:w="1568"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安全员</w:t>
            </w:r>
          </w:p>
        </w:tc>
        <w:tc>
          <w:tcPr>
            <w:tcW w:w="999" w:type="dxa"/>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9" w:hRule="atLeast"/>
          <w:jc w:val="center"/>
        </w:trPr>
        <w:tc>
          <w:tcPr>
            <w:tcW w:w="838"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20</w:t>
            </w:r>
          </w:p>
        </w:tc>
        <w:tc>
          <w:tcPr>
            <w:tcW w:w="1404"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政府监督、通报、预警</w:t>
            </w:r>
          </w:p>
        </w:tc>
        <w:tc>
          <w:tcPr>
            <w:tcW w:w="267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发现不合格项</w:t>
            </w:r>
          </w:p>
        </w:tc>
        <w:tc>
          <w:tcPr>
            <w:tcW w:w="51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记录，整改。</w:t>
            </w:r>
          </w:p>
        </w:tc>
        <w:tc>
          <w:tcPr>
            <w:tcW w:w="1241"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月调度</w:t>
            </w:r>
          </w:p>
        </w:tc>
        <w:tc>
          <w:tcPr>
            <w:tcW w:w="1568"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主要负责人</w:t>
            </w:r>
          </w:p>
        </w:tc>
        <w:tc>
          <w:tcPr>
            <w:tcW w:w="999" w:type="dxa"/>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9" w:hRule="atLeast"/>
          <w:jc w:val="center"/>
        </w:trPr>
        <w:tc>
          <w:tcPr>
            <w:tcW w:w="838"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21</w:t>
            </w:r>
          </w:p>
        </w:tc>
        <w:tc>
          <w:tcPr>
            <w:tcW w:w="1404"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sz w:val="24"/>
              </w:rPr>
              <w:t>投诉举报</w:t>
            </w:r>
          </w:p>
        </w:tc>
        <w:tc>
          <w:tcPr>
            <w:tcW w:w="267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发现不合格项</w:t>
            </w:r>
          </w:p>
        </w:tc>
        <w:tc>
          <w:tcPr>
            <w:tcW w:w="51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记录，整改，消除安全隐患。</w:t>
            </w:r>
          </w:p>
        </w:tc>
        <w:tc>
          <w:tcPr>
            <w:tcW w:w="1241"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月调度</w:t>
            </w:r>
          </w:p>
        </w:tc>
        <w:tc>
          <w:tcPr>
            <w:tcW w:w="1568"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主要负责人</w:t>
            </w:r>
          </w:p>
        </w:tc>
        <w:tc>
          <w:tcPr>
            <w:tcW w:w="999" w:type="dxa"/>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3" w:hRule="atLeast"/>
          <w:jc w:val="center"/>
        </w:trPr>
        <w:tc>
          <w:tcPr>
            <w:tcW w:w="838" w:type="dxa"/>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22</w:t>
            </w:r>
          </w:p>
        </w:tc>
        <w:tc>
          <w:tcPr>
            <w:tcW w:w="1404"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舆情信息</w:t>
            </w:r>
          </w:p>
        </w:tc>
        <w:tc>
          <w:tcPr>
            <w:tcW w:w="2673"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发现不合格项</w:t>
            </w:r>
          </w:p>
        </w:tc>
        <w:tc>
          <w:tcPr>
            <w:tcW w:w="5100"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记录，整改</w:t>
            </w:r>
          </w:p>
        </w:tc>
        <w:tc>
          <w:tcPr>
            <w:tcW w:w="1241"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月调度</w:t>
            </w:r>
          </w:p>
        </w:tc>
        <w:tc>
          <w:tcPr>
            <w:tcW w:w="1568" w:type="dxa"/>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主要负责人</w:t>
            </w:r>
          </w:p>
        </w:tc>
        <w:tc>
          <w:tcPr>
            <w:tcW w:w="999" w:type="dxa"/>
          </w:tcPr>
          <w:p>
            <w:pPr>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Cs w:val="21"/>
              </w:rPr>
            </w:pPr>
          </w:p>
        </w:tc>
      </w:tr>
    </w:tbl>
    <w:p>
      <w:pPr>
        <w:widowControl/>
        <w:ind w:firstLine="482" w:firstLineChars="200"/>
        <w:rPr>
          <w:rFonts w:ascii="宋体" w:hAnsi="宋体" w:cs="宋体"/>
          <w:b/>
          <w:color w:val="000000" w:themeColor="text1"/>
          <w:sz w:val="24"/>
          <w:szCs w:val="24"/>
          <w14:textFill>
            <w14:solidFill>
              <w14:schemeClr w14:val="tx1"/>
            </w14:solidFill>
          </w14:textFill>
        </w:rPr>
      </w:pPr>
      <w:r>
        <w:rPr>
          <w:rFonts w:ascii="宋体" w:hAnsi="宋体" w:cs="宋体"/>
          <w:b/>
          <w:color w:val="000000" w:themeColor="text1"/>
          <w:sz w:val="24"/>
          <w:szCs w:val="24"/>
          <w14:textFill>
            <w14:solidFill>
              <w14:schemeClr w14:val="tx1"/>
            </w14:solidFill>
          </w14:textFill>
        </w:rPr>
        <w:t>备注</w:t>
      </w:r>
      <w:r>
        <w:rPr>
          <w:rFonts w:hint="eastAsia" w:ascii="宋体" w:hAnsi="宋体"/>
          <w:b/>
          <w:bCs/>
          <w:color w:val="000000" w:themeColor="text1"/>
          <w:kern w:val="0"/>
          <w:sz w:val="24"/>
          <w14:textFill>
            <w14:solidFill>
              <w14:schemeClr w14:val="tx1"/>
            </w14:solidFill>
          </w14:textFill>
        </w:rPr>
        <w:t>：</w:t>
      </w:r>
      <w:r>
        <w:rPr>
          <w:rFonts w:ascii="宋体" w:hAnsi="宋体" w:cs="宋体"/>
          <w:b/>
          <w:color w:val="000000" w:themeColor="text1"/>
          <w:sz w:val="24"/>
          <w:szCs w:val="24"/>
          <w14:textFill>
            <w14:solidFill>
              <w14:schemeClr w14:val="tx1"/>
            </w14:solidFill>
          </w14:textFill>
        </w:rPr>
        <w:t>本清单为推荐性格式，仅规定了应当进行日管控、周排查、月调度的基本项目，</w:t>
      </w:r>
      <w:r>
        <w:rPr>
          <w:rFonts w:hint="eastAsia" w:ascii="宋体" w:hAnsi="宋体" w:cs="宋体"/>
          <w:b/>
          <w:color w:val="000000" w:themeColor="text1"/>
          <w:sz w:val="24"/>
          <w:szCs w:val="24"/>
          <w14:textFill>
            <w14:solidFill>
              <w14:schemeClr w14:val="tx1"/>
            </w14:solidFill>
          </w14:textFill>
        </w:rPr>
        <w:t>大型游乐设施使用</w:t>
      </w:r>
      <w:r>
        <w:rPr>
          <w:rFonts w:ascii="宋体" w:hAnsi="宋体" w:cs="宋体"/>
          <w:b/>
          <w:color w:val="000000" w:themeColor="text1"/>
          <w:sz w:val="24"/>
          <w:szCs w:val="24"/>
          <w14:textFill>
            <w14:solidFill>
              <w14:schemeClr w14:val="tx1"/>
            </w14:solidFill>
          </w14:textFill>
        </w:rPr>
        <w:t>单位应当结合本单位实际情况和具体要求，细化风险管控清单</w:t>
      </w:r>
      <w:r>
        <w:rPr>
          <w:rFonts w:hint="eastAsia" w:ascii="宋体" w:hAnsi="宋体" w:cs="宋体"/>
          <w:b/>
          <w:color w:val="000000" w:themeColor="text1"/>
          <w:sz w:val="24"/>
          <w:szCs w:val="24"/>
          <w14:textFill>
            <w14:solidFill>
              <w14:schemeClr w14:val="tx1"/>
            </w14:solidFill>
          </w14:textFill>
        </w:rPr>
        <w:t>，合理调整管控形式。</w:t>
      </w:r>
    </w:p>
    <w:p>
      <w:pPr>
        <w:pStyle w:val="4"/>
        <w:bidi w:val="0"/>
        <w:jc w:val="left"/>
      </w:pPr>
      <w:bookmarkStart w:id="279" w:name="_Toc23446"/>
      <w:bookmarkStart w:id="280" w:name="_Toc6423"/>
      <w:bookmarkStart w:id="281" w:name="_Toc18128_WPSOffice_Level1"/>
      <w:bookmarkStart w:id="282" w:name="_Toc18807"/>
      <w:bookmarkStart w:id="283" w:name="_Toc22122"/>
      <w:r>
        <w:rPr>
          <w:rFonts w:hint="eastAsia"/>
          <w:b w:val="0"/>
          <w:bCs/>
          <w:sz w:val="32"/>
          <w:szCs w:val="32"/>
        </w:rPr>
        <w:t>附录B9</w:t>
      </w:r>
      <w:r>
        <w:rPr>
          <w:rFonts w:hint="eastAsia"/>
        </w:rPr>
        <w:t xml:space="preserve">              </w:t>
      </w:r>
      <w:r>
        <w:rPr>
          <w:rFonts w:hint="eastAsia"/>
          <w:lang w:val="en-US" w:eastAsia="zh-CN"/>
        </w:rPr>
        <w:t xml:space="preserve"> </w:t>
      </w:r>
      <w:r>
        <w:rPr>
          <w:rFonts w:hint="eastAsia"/>
        </w:rPr>
        <w:t>场车安全风险管控清单</w:t>
      </w:r>
      <w:bookmarkEnd w:id="279"/>
      <w:bookmarkEnd w:id="280"/>
      <w:bookmarkEnd w:id="281"/>
      <w:bookmarkEnd w:id="282"/>
      <w:bookmarkEnd w:id="283"/>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
        <w:gridCol w:w="1470"/>
        <w:gridCol w:w="3202"/>
        <w:gridCol w:w="4505"/>
        <w:gridCol w:w="1515"/>
        <w:gridCol w:w="1543"/>
        <w:gridCol w:w="1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blHeader/>
        </w:trPr>
        <w:tc>
          <w:tcPr>
            <w:tcW w:w="782" w:type="dxa"/>
            <w:shd w:val="clear" w:color="auto" w:fill="BEBEBE" w:themeFill="background1" w:themeFillShade="BF"/>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b/>
                <w:bCs/>
                <w:kern w:val="0"/>
                <w:sz w:val="28"/>
                <w:szCs w:val="28"/>
                <w:highlight w:val="lightGray"/>
                <w:shd w:val="clear" w:color="FFFFFF" w:fill="D9D9D9"/>
              </w:rPr>
            </w:pPr>
            <w:r>
              <w:rPr>
                <w:rFonts w:hint="eastAsia" w:asciiTheme="minorEastAsia" w:hAnsiTheme="minorEastAsia" w:eastAsiaTheme="minorEastAsia" w:cstheme="minorEastAsia"/>
                <w:b/>
                <w:sz w:val="28"/>
                <w:szCs w:val="28"/>
                <w:highlight w:val="lightGray"/>
                <w:shd w:val="clear" w:color="FFFFFF" w:fill="D9D9D9"/>
              </w:rPr>
              <w:t>序号</w:t>
            </w:r>
          </w:p>
        </w:tc>
        <w:tc>
          <w:tcPr>
            <w:tcW w:w="1446" w:type="dxa"/>
            <w:shd w:val="clear" w:color="auto" w:fill="BEBEBE" w:themeFill="background1" w:themeFillShade="BF"/>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b/>
                <w:bCs/>
                <w:kern w:val="0"/>
                <w:sz w:val="28"/>
                <w:szCs w:val="28"/>
                <w:highlight w:val="lightGray"/>
                <w:shd w:val="clear" w:color="FFFFFF" w:fill="D9D9D9"/>
              </w:rPr>
            </w:pPr>
            <w:r>
              <w:rPr>
                <w:rFonts w:hint="eastAsia" w:asciiTheme="minorEastAsia" w:hAnsiTheme="minorEastAsia" w:eastAsiaTheme="minorEastAsia" w:cstheme="minorEastAsia"/>
                <w:b/>
                <w:sz w:val="28"/>
                <w:szCs w:val="28"/>
                <w:highlight w:val="lightGray"/>
                <w:shd w:val="clear" w:color="FFFFFF" w:fill="D9D9D9"/>
              </w:rPr>
              <w:t>风险类别</w:t>
            </w:r>
          </w:p>
        </w:tc>
        <w:tc>
          <w:tcPr>
            <w:tcW w:w="3150" w:type="dxa"/>
            <w:shd w:val="clear" w:color="auto" w:fill="BEBEBE" w:themeFill="background1" w:themeFillShade="BF"/>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b/>
                <w:bCs/>
                <w:kern w:val="0"/>
                <w:sz w:val="28"/>
                <w:szCs w:val="28"/>
                <w:highlight w:val="lightGray"/>
                <w:shd w:val="clear" w:color="FFFFFF" w:fill="D9D9D9"/>
              </w:rPr>
            </w:pPr>
            <w:r>
              <w:rPr>
                <w:rFonts w:hint="eastAsia" w:asciiTheme="minorEastAsia" w:hAnsiTheme="minorEastAsia" w:eastAsiaTheme="minorEastAsia" w:cstheme="minorEastAsia"/>
                <w:b/>
                <w:sz w:val="28"/>
                <w:szCs w:val="28"/>
                <w:highlight w:val="lightGray"/>
                <w:shd w:val="clear" w:color="FFFFFF" w:fill="D9D9D9"/>
              </w:rPr>
              <w:t>风险指标</w:t>
            </w:r>
          </w:p>
        </w:tc>
        <w:tc>
          <w:tcPr>
            <w:tcW w:w="4432" w:type="dxa"/>
            <w:shd w:val="clear" w:color="auto" w:fill="BEBEBE" w:themeFill="background1" w:themeFillShade="BF"/>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b/>
                <w:bCs/>
                <w:kern w:val="0"/>
                <w:sz w:val="28"/>
                <w:szCs w:val="28"/>
                <w:highlight w:val="lightGray"/>
                <w:shd w:val="clear" w:color="FFFFFF" w:fill="D9D9D9"/>
              </w:rPr>
            </w:pPr>
            <w:r>
              <w:rPr>
                <w:rFonts w:hint="eastAsia" w:asciiTheme="minorEastAsia" w:hAnsiTheme="minorEastAsia" w:eastAsiaTheme="minorEastAsia" w:cstheme="minorEastAsia"/>
                <w:b/>
                <w:sz w:val="28"/>
                <w:szCs w:val="28"/>
                <w:highlight w:val="lightGray"/>
                <w:shd w:val="clear" w:color="FFFFFF" w:fill="D9D9D9"/>
              </w:rPr>
              <w:t>风险管控措施</w:t>
            </w:r>
          </w:p>
        </w:tc>
        <w:tc>
          <w:tcPr>
            <w:tcW w:w="1491" w:type="dxa"/>
            <w:shd w:val="clear" w:color="auto" w:fill="BEBEBE" w:themeFill="background1" w:themeFillShade="BF"/>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b/>
                <w:bCs/>
                <w:kern w:val="0"/>
                <w:sz w:val="28"/>
                <w:szCs w:val="28"/>
                <w:highlight w:val="lightGray"/>
                <w:shd w:val="clear" w:color="FFFFFF" w:fill="D9D9D9"/>
              </w:rPr>
            </w:pPr>
            <w:r>
              <w:rPr>
                <w:rFonts w:hint="eastAsia" w:asciiTheme="minorEastAsia" w:hAnsiTheme="minorEastAsia" w:eastAsiaTheme="minorEastAsia" w:cstheme="minorEastAsia"/>
                <w:b/>
                <w:sz w:val="28"/>
                <w:szCs w:val="28"/>
                <w:highlight w:val="lightGray"/>
                <w:shd w:val="clear" w:color="FFFFFF" w:fill="D9D9D9"/>
              </w:rPr>
              <w:t>管控方式</w:t>
            </w:r>
          </w:p>
        </w:tc>
        <w:tc>
          <w:tcPr>
            <w:tcW w:w="1518" w:type="dxa"/>
            <w:shd w:val="clear" w:color="auto" w:fill="BEBEBE" w:themeFill="background1" w:themeFillShade="BF"/>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b/>
                <w:bCs/>
                <w:kern w:val="0"/>
                <w:sz w:val="28"/>
                <w:szCs w:val="28"/>
                <w:highlight w:val="lightGray"/>
                <w:shd w:val="clear" w:color="FFFFFF" w:fill="D9D9D9"/>
              </w:rPr>
            </w:pPr>
            <w:r>
              <w:rPr>
                <w:rFonts w:hint="eastAsia" w:asciiTheme="minorEastAsia" w:hAnsiTheme="minorEastAsia" w:eastAsiaTheme="minorEastAsia" w:cstheme="minorEastAsia"/>
                <w:b/>
                <w:sz w:val="28"/>
                <w:szCs w:val="28"/>
                <w:highlight w:val="lightGray"/>
                <w:shd w:val="clear" w:color="FFFFFF" w:fill="D9D9D9"/>
              </w:rPr>
              <w:t>责任人</w:t>
            </w:r>
          </w:p>
        </w:tc>
        <w:tc>
          <w:tcPr>
            <w:tcW w:w="1004" w:type="dxa"/>
            <w:shd w:val="clear" w:color="auto" w:fill="BEBEBE" w:themeFill="background1" w:themeFillShade="BF"/>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b/>
                <w:bCs/>
                <w:kern w:val="0"/>
                <w:sz w:val="28"/>
                <w:szCs w:val="28"/>
                <w:highlight w:val="lightGray"/>
                <w:shd w:val="clear" w:color="FFFFFF" w:fill="D9D9D9"/>
              </w:rPr>
            </w:pPr>
            <w:r>
              <w:rPr>
                <w:rFonts w:hint="eastAsia" w:asciiTheme="minorEastAsia" w:hAnsiTheme="minorEastAsia" w:eastAsiaTheme="minorEastAsia" w:cstheme="minorEastAsia"/>
                <w:b/>
                <w:sz w:val="28"/>
                <w:szCs w:val="28"/>
                <w:highlight w:val="lightGray"/>
                <w:shd w:val="clear" w:color="FFFFFF" w:fill="D9D9D9"/>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atLeast"/>
        </w:trPr>
        <w:tc>
          <w:tcPr>
            <w:tcW w:w="782" w:type="dxa"/>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w:t>
            </w:r>
          </w:p>
        </w:tc>
        <w:tc>
          <w:tcPr>
            <w:tcW w:w="1446" w:type="dxa"/>
            <w:vMerge w:val="restart"/>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人员</w:t>
            </w:r>
          </w:p>
        </w:tc>
        <w:tc>
          <w:tcPr>
            <w:tcW w:w="3150" w:type="dxa"/>
            <w:vAlign w:val="center"/>
          </w:tcPr>
          <w:p>
            <w:pPr>
              <w:keepNext w:val="0"/>
              <w:keepLines w:val="0"/>
              <w:pageBreakBefore w:val="0"/>
              <w:widowControl/>
              <w:kinsoku/>
              <w:overflowPunct/>
              <w:autoSpaceDE/>
              <w:autoSpaceDN/>
              <w:bidi w:val="0"/>
              <w:adjustRightInd/>
              <w:spacing w:line="320" w:lineRule="exact"/>
              <w:ind w:firstLine="0" w:firstLineChars="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未按规定配备安全管理人员和作业人员</w:t>
            </w:r>
          </w:p>
        </w:tc>
        <w:tc>
          <w:tcPr>
            <w:tcW w:w="4432" w:type="dxa"/>
            <w:vAlign w:val="center"/>
          </w:tcPr>
          <w:p>
            <w:pPr>
              <w:keepNext w:val="0"/>
              <w:keepLines w:val="0"/>
              <w:pageBreakBefore w:val="0"/>
              <w:widowControl/>
              <w:kinsoku/>
              <w:overflowPunct/>
              <w:autoSpaceDE/>
              <w:autoSpaceDN/>
              <w:bidi w:val="0"/>
              <w:adjustRightInd/>
              <w:spacing w:line="320" w:lineRule="exact"/>
              <w:ind w:firstLine="0" w:firstLineChars="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1.建立特种设备安全管理人员与作业人员管理制度；</w:t>
            </w:r>
          </w:p>
          <w:p>
            <w:pPr>
              <w:keepNext w:val="0"/>
              <w:keepLines w:val="0"/>
              <w:pageBreakBefore w:val="0"/>
              <w:kinsoku/>
              <w:overflowPunct/>
              <w:autoSpaceDE/>
              <w:autoSpaceDN/>
              <w:bidi w:val="0"/>
              <w:adjustRightInd/>
              <w:spacing w:line="320" w:lineRule="exact"/>
              <w:ind w:firstLine="0" w:firstLineChars="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2.根据场车的数量、特性等配备适当数量的安全管理人员和作业人员。</w:t>
            </w:r>
          </w:p>
        </w:tc>
        <w:tc>
          <w:tcPr>
            <w:tcW w:w="1491" w:type="dxa"/>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月调度</w:t>
            </w:r>
          </w:p>
        </w:tc>
        <w:tc>
          <w:tcPr>
            <w:tcW w:w="1518" w:type="dxa"/>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主要负责人</w:t>
            </w:r>
          </w:p>
        </w:tc>
        <w:tc>
          <w:tcPr>
            <w:tcW w:w="1004" w:type="dxa"/>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2" w:type="dxa"/>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2</w:t>
            </w:r>
          </w:p>
        </w:tc>
        <w:tc>
          <w:tcPr>
            <w:tcW w:w="1446" w:type="dxa"/>
            <w:vMerge w:val="continue"/>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p>
        </w:tc>
        <w:tc>
          <w:tcPr>
            <w:tcW w:w="3150" w:type="dxa"/>
            <w:vAlign w:val="center"/>
          </w:tcPr>
          <w:p>
            <w:pPr>
              <w:keepNext w:val="0"/>
              <w:keepLines w:val="0"/>
              <w:pageBreakBefore w:val="0"/>
              <w:widowControl/>
              <w:kinsoku/>
              <w:overflowPunct/>
              <w:autoSpaceDE/>
              <w:autoSpaceDN/>
              <w:bidi w:val="0"/>
              <w:adjustRightInd/>
              <w:spacing w:line="320" w:lineRule="exact"/>
              <w:ind w:firstLine="0" w:firstLineChars="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作业人员未持有相应资格证件</w:t>
            </w:r>
          </w:p>
        </w:tc>
        <w:tc>
          <w:tcPr>
            <w:tcW w:w="4432" w:type="dxa"/>
            <w:vAlign w:val="center"/>
          </w:tcPr>
          <w:p>
            <w:pPr>
              <w:keepNext w:val="0"/>
              <w:keepLines w:val="0"/>
              <w:pageBreakBefore w:val="0"/>
              <w:widowControl/>
              <w:kinsoku/>
              <w:overflowPunct/>
              <w:autoSpaceDE/>
              <w:autoSpaceDN/>
              <w:bidi w:val="0"/>
              <w:adjustRightInd/>
              <w:spacing w:line="320" w:lineRule="exact"/>
              <w:ind w:firstLine="0" w:firstLineChars="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1.场车作业和专职安全管理人员需取得相应项目作业人员证，持证上岗，并且保证每台场车在作业时均由司机随车操纵；</w:t>
            </w:r>
          </w:p>
          <w:p>
            <w:pPr>
              <w:keepNext w:val="0"/>
              <w:keepLines w:val="0"/>
              <w:pageBreakBefore w:val="0"/>
              <w:widowControl/>
              <w:kinsoku/>
              <w:overflowPunct/>
              <w:autoSpaceDE/>
              <w:autoSpaceDN/>
              <w:bidi w:val="0"/>
              <w:adjustRightInd/>
              <w:spacing w:line="320" w:lineRule="exact"/>
              <w:ind w:firstLine="0" w:firstLineChars="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2.定期检查作业人员证件有效期，杜绝无证上岗，当发生人员变动时，及时派人取证。</w:t>
            </w:r>
          </w:p>
        </w:tc>
        <w:tc>
          <w:tcPr>
            <w:tcW w:w="1491" w:type="dxa"/>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周排查</w:t>
            </w:r>
          </w:p>
        </w:tc>
        <w:tc>
          <w:tcPr>
            <w:tcW w:w="1518" w:type="dxa"/>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1004" w:type="dxa"/>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82" w:type="dxa"/>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3</w:t>
            </w:r>
          </w:p>
        </w:tc>
        <w:tc>
          <w:tcPr>
            <w:tcW w:w="1446" w:type="dxa"/>
            <w:vMerge w:val="continue"/>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p>
        </w:tc>
        <w:tc>
          <w:tcPr>
            <w:tcW w:w="3150" w:type="dxa"/>
            <w:vAlign w:val="center"/>
          </w:tcPr>
          <w:p>
            <w:pPr>
              <w:keepNext w:val="0"/>
              <w:keepLines w:val="0"/>
              <w:pageBreakBefore w:val="0"/>
              <w:kinsoku/>
              <w:overflowPunct/>
              <w:autoSpaceDE/>
              <w:autoSpaceDN/>
              <w:bidi w:val="0"/>
              <w:adjustRightInd/>
              <w:spacing w:line="320" w:lineRule="exact"/>
              <w:ind w:firstLine="0" w:firstLineChars="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未按规定对安全管理人员和作业人员开展安全教育培训</w:t>
            </w:r>
          </w:p>
        </w:tc>
        <w:tc>
          <w:tcPr>
            <w:tcW w:w="4432" w:type="dxa"/>
            <w:vAlign w:val="center"/>
          </w:tcPr>
          <w:p>
            <w:pPr>
              <w:keepNext w:val="0"/>
              <w:keepLines w:val="0"/>
              <w:pageBreakBefore w:val="0"/>
              <w:widowControl/>
              <w:kinsoku/>
              <w:overflowPunct/>
              <w:autoSpaceDE/>
              <w:autoSpaceDN/>
              <w:bidi w:val="0"/>
              <w:adjustRightInd/>
              <w:spacing w:line="320" w:lineRule="exact"/>
              <w:ind w:firstLine="0" w:firstLineChars="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1.制定安全教育培训制度和培训计划；</w:t>
            </w:r>
          </w:p>
          <w:p>
            <w:pPr>
              <w:keepNext w:val="0"/>
              <w:keepLines w:val="0"/>
              <w:pageBreakBefore w:val="0"/>
              <w:kinsoku/>
              <w:overflowPunct/>
              <w:autoSpaceDE/>
              <w:autoSpaceDN/>
              <w:bidi w:val="0"/>
              <w:adjustRightInd/>
              <w:spacing w:line="320" w:lineRule="exact"/>
              <w:ind w:firstLine="0" w:firstLineChars="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xml:space="preserve">2.定期对作业人员进行培训教育，并保留相关培训记录 </w:t>
            </w:r>
          </w:p>
        </w:tc>
        <w:tc>
          <w:tcPr>
            <w:tcW w:w="1491" w:type="dxa"/>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周排查</w:t>
            </w:r>
          </w:p>
        </w:tc>
        <w:tc>
          <w:tcPr>
            <w:tcW w:w="1518" w:type="dxa"/>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1004" w:type="dxa"/>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782" w:type="dxa"/>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4</w:t>
            </w:r>
          </w:p>
        </w:tc>
        <w:tc>
          <w:tcPr>
            <w:tcW w:w="1446" w:type="dxa"/>
            <w:vMerge w:val="continue"/>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p>
        </w:tc>
        <w:tc>
          <w:tcPr>
            <w:tcW w:w="3150" w:type="dxa"/>
            <w:vAlign w:val="center"/>
          </w:tcPr>
          <w:p>
            <w:pPr>
              <w:keepNext w:val="0"/>
              <w:keepLines w:val="0"/>
              <w:pageBreakBefore w:val="0"/>
              <w:kinsoku/>
              <w:overflowPunct/>
              <w:autoSpaceDE/>
              <w:autoSpaceDN/>
              <w:bidi w:val="0"/>
              <w:adjustRightInd/>
              <w:spacing w:line="320" w:lineRule="exact"/>
              <w:ind w:firstLine="0" w:firstLineChars="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未遵守操作规程进行作业、未按规定填写作业交接班记录、未及时报告事故隐患等</w:t>
            </w:r>
          </w:p>
        </w:tc>
        <w:tc>
          <w:tcPr>
            <w:tcW w:w="4432" w:type="dxa"/>
            <w:vAlign w:val="center"/>
          </w:tcPr>
          <w:p>
            <w:pPr>
              <w:keepNext w:val="0"/>
              <w:keepLines w:val="0"/>
              <w:pageBreakBefore w:val="0"/>
              <w:kinsoku/>
              <w:overflowPunct/>
              <w:autoSpaceDE/>
              <w:autoSpaceDN/>
              <w:bidi w:val="0"/>
              <w:adjustRightInd/>
              <w:spacing w:line="320" w:lineRule="exact"/>
              <w:ind w:firstLine="0" w:firstLineChars="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sz w:val="24"/>
              </w:rPr>
              <w:t>检查作业人员执行操作规程情况，纠正和制止违章作业行为</w:t>
            </w:r>
          </w:p>
        </w:tc>
        <w:tc>
          <w:tcPr>
            <w:tcW w:w="1491" w:type="dxa"/>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日管控</w:t>
            </w:r>
          </w:p>
        </w:tc>
        <w:tc>
          <w:tcPr>
            <w:tcW w:w="1518" w:type="dxa"/>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安全员</w:t>
            </w:r>
          </w:p>
        </w:tc>
        <w:tc>
          <w:tcPr>
            <w:tcW w:w="1004" w:type="dxa"/>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782" w:type="dxa"/>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5</w:t>
            </w:r>
          </w:p>
        </w:tc>
        <w:tc>
          <w:tcPr>
            <w:tcW w:w="1446" w:type="dxa"/>
            <w:vMerge w:val="restart"/>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管理</w:t>
            </w:r>
          </w:p>
        </w:tc>
        <w:tc>
          <w:tcPr>
            <w:tcW w:w="3150" w:type="dxa"/>
            <w:vAlign w:val="center"/>
          </w:tcPr>
          <w:p>
            <w:pPr>
              <w:keepNext w:val="0"/>
              <w:keepLines w:val="0"/>
              <w:pageBreakBefore w:val="0"/>
              <w:widowControl/>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未按规定设置安全管理机构</w:t>
            </w:r>
          </w:p>
        </w:tc>
        <w:tc>
          <w:tcPr>
            <w:tcW w:w="4432" w:type="dxa"/>
            <w:vAlign w:val="center"/>
          </w:tcPr>
          <w:p>
            <w:pPr>
              <w:keepNext w:val="0"/>
              <w:keepLines w:val="0"/>
              <w:pageBreakBefore w:val="0"/>
              <w:widowControl/>
              <w:kinsoku/>
              <w:overflowPunct/>
              <w:autoSpaceDE/>
              <w:autoSpaceDN/>
              <w:bidi w:val="0"/>
              <w:adjustRightInd/>
              <w:spacing w:line="320" w:lineRule="exact"/>
              <w:ind w:firstLine="0" w:firstLineChars="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根据特种设备的数量，及时设置安全管理机构，明确机构职责和人员安排。</w:t>
            </w:r>
          </w:p>
        </w:tc>
        <w:tc>
          <w:tcPr>
            <w:tcW w:w="1491" w:type="dxa"/>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月调度</w:t>
            </w:r>
          </w:p>
        </w:tc>
        <w:tc>
          <w:tcPr>
            <w:tcW w:w="1518" w:type="dxa"/>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主要负责人</w:t>
            </w:r>
          </w:p>
        </w:tc>
        <w:tc>
          <w:tcPr>
            <w:tcW w:w="1004" w:type="dxa"/>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782" w:type="dxa"/>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6</w:t>
            </w:r>
          </w:p>
        </w:tc>
        <w:tc>
          <w:tcPr>
            <w:tcW w:w="1446" w:type="dxa"/>
            <w:vMerge w:val="continue"/>
            <w:vAlign w:val="center"/>
          </w:tcPr>
          <w:p>
            <w:pPr>
              <w:keepNext w:val="0"/>
              <w:keepLines w:val="0"/>
              <w:pageBreakBefore w:val="0"/>
              <w:widowControl/>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p>
        </w:tc>
        <w:tc>
          <w:tcPr>
            <w:tcW w:w="3150" w:type="dxa"/>
            <w:vAlign w:val="center"/>
          </w:tcPr>
          <w:p>
            <w:pPr>
              <w:keepNext w:val="0"/>
              <w:keepLines w:val="0"/>
              <w:pageBreakBefore w:val="0"/>
              <w:widowControl/>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未按有关规定建立健全特种设备安全管理制度和操作规程</w:t>
            </w:r>
          </w:p>
        </w:tc>
        <w:tc>
          <w:tcPr>
            <w:tcW w:w="4432" w:type="dxa"/>
            <w:vAlign w:val="center"/>
          </w:tcPr>
          <w:p>
            <w:pPr>
              <w:keepNext w:val="0"/>
              <w:keepLines w:val="0"/>
              <w:pageBreakBefore w:val="0"/>
              <w:widowControl/>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1.单位制定符合TSG08-2017《特种设备使用管理规则》、TSG81-2022《场（厂）内专用机动车辆安全技术规程》要求的以岗位责任制为核心管理制度；</w:t>
            </w:r>
          </w:p>
          <w:p>
            <w:pPr>
              <w:keepNext w:val="0"/>
              <w:keepLines w:val="0"/>
              <w:pageBreakBefore w:val="0"/>
              <w:widowControl/>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2.根据所使用设备运行特点等，制定完整齐全操作规程；操作规程一般包括设备运行参数、操作程序和方法、维护保养要求、安全注意事项、巡回检查和异常情况处置规定，以及相应记录等，并且在本单位贯彻实施；场车安全操作规程至少包括以下内容：出车前进行试运行检查，并且做好记录；遵守作业场所内的限速规定，严禁超速行驶；叉车不得载客运行（设有搭载随乘人员设施的车辆除外，此时搭载人数不得超过允许随乘的人数）；行驶和作业时佩戴安全带（如果有）；车辆转弯、进出库门等须减速行驶；严禁在货叉上站人或者利用货叉起升载有人员的装置；叉车司机视线不良或者受阻时，倒车低速行驶或者在专人指挥下低速行驶；严禁超载；身体过度疲劳、饮酒后或者患病有碍操作安全时，严禁操作车辆。</w:t>
            </w:r>
          </w:p>
        </w:tc>
        <w:tc>
          <w:tcPr>
            <w:tcW w:w="1491" w:type="dxa"/>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周排查</w:t>
            </w:r>
          </w:p>
        </w:tc>
        <w:tc>
          <w:tcPr>
            <w:tcW w:w="1518" w:type="dxa"/>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1004" w:type="dxa"/>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82" w:type="dxa"/>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7</w:t>
            </w:r>
          </w:p>
        </w:tc>
        <w:tc>
          <w:tcPr>
            <w:tcW w:w="1446" w:type="dxa"/>
            <w:vMerge w:val="continue"/>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p>
        </w:tc>
        <w:tc>
          <w:tcPr>
            <w:tcW w:w="3150" w:type="dxa"/>
            <w:vAlign w:val="center"/>
          </w:tcPr>
          <w:p>
            <w:pPr>
              <w:keepNext w:val="0"/>
              <w:keepLines w:val="0"/>
              <w:pageBreakBefore w:val="0"/>
              <w:widowControl/>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未</w:t>
            </w:r>
            <w:r>
              <w:rPr>
                <w:rFonts w:hint="default" w:asciiTheme="minorEastAsia" w:hAnsiTheme="minorEastAsia" w:eastAsiaTheme="minorEastAsia" w:cstheme="minorEastAsia"/>
                <w:kern w:val="0"/>
                <w:sz w:val="24"/>
                <w:lang w:val="en-US"/>
              </w:rPr>
              <w:t>按\</w:t>
            </w:r>
            <w:r>
              <w:rPr>
                <w:rFonts w:hint="eastAsia" w:asciiTheme="minorEastAsia" w:hAnsiTheme="minorEastAsia" w:eastAsiaTheme="minorEastAsia" w:cstheme="minorEastAsia"/>
                <w:kern w:val="0"/>
                <w:sz w:val="24"/>
              </w:rPr>
              <w:t>要求建立健全特种设备安全技术档案</w:t>
            </w:r>
          </w:p>
        </w:tc>
        <w:tc>
          <w:tcPr>
            <w:tcW w:w="4432" w:type="dxa"/>
            <w:vAlign w:val="center"/>
          </w:tcPr>
          <w:p>
            <w:pPr>
              <w:keepNext w:val="0"/>
              <w:keepLines w:val="0"/>
              <w:pageBreakBefore w:val="0"/>
              <w:widowControl/>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1.指定安全员负责特种设备安全技术档案的管理；按TSG08-2017《特种设备使用管理规则》第2.5条要求逐台建立安全技术档案。</w:t>
            </w:r>
          </w:p>
          <w:p>
            <w:pPr>
              <w:keepNext w:val="0"/>
              <w:keepLines w:val="0"/>
              <w:pageBreakBefore w:val="0"/>
              <w:widowControl/>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2.定期检查安全技术档案的完整性</w:t>
            </w:r>
          </w:p>
        </w:tc>
        <w:tc>
          <w:tcPr>
            <w:tcW w:w="1491" w:type="dxa"/>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周排查</w:t>
            </w:r>
          </w:p>
        </w:tc>
        <w:tc>
          <w:tcPr>
            <w:tcW w:w="1518" w:type="dxa"/>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1004" w:type="dxa"/>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trPr>
        <w:tc>
          <w:tcPr>
            <w:tcW w:w="782" w:type="dxa"/>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8</w:t>
            </w:r>
          </w:p>
        </w:tc>
        <w:tc>
          <w:tcPr>
            <w:tcW w:w="1446" w:type="dxa"/>
            <w:vMerge w:val="continue"/>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p>
        </w:tc>
        <w:tc>
          <w:tcPr>
            <w:tcW w:w="3150" w:type="dxa"/>
            <w:vAlign w:val="center"/>
          </w:tcPr>
          <w:p>
            <w:pPr>
              <w:keepNext w:val="0"/>
              <w:keepLines w:val="0"/>
              <w:pageBreakBefore w:val="0"/>
              <w:widowControl/>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未按规定及时办理使用登记、变更使用登记</w:t>
            </w:r>
          </w:p>
        </w:tc>
        <w:tc>
          <w:tcPr>
            <w:tcW w:w="4432" w:type="dxa"/>
            <w:vAlign w:val="center"/>
          </w:tcPr>
          <w:p>
            <w:pPr>
              <w:keepNext w:val="0"/>
              <w:keepLines w:val="0"/>
              <w:pageBreakBefore w:val="0"/>
              <w:widowControl/>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1.建立使用登记、定期检验管理制度；</w:t>
            </w:r>
          </w:p>
          <w:p>
            <w:pPr>
              <w:keepNext w:val="0"/>
              <w:keepLines w:val="0"/>
              <w:pageBreakBefore w:val="0"/>
              <w:widowControl/>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2.加强对使用登记情况、特种设备安全使用标志情况的定期检查，重点对发生改造、移装、使用单位或产权单位更名的，及时办理变更登记</w:t>
            </w:r>
          </w:p>
        </w:tc>
        <w:tc>
          <w:tcPr>
            <w:tcW w:w="1491" w:type="dxa"/>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周排查</w:t>
            </w:r>
          </w:p>
        </w:tc>
        <w:tc>
          <w:tcPr>
            <w:tcW w:w="1518" w:type="dxa"/>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1004" w:type="dxa"/>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4" w:hRule="atLeast"/>
        </w:trPr>
        <w:tc>
          <w:tcPr>
            <w:tcW w:w="782" w:type="dxa"/>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9</w:t>
            </w:r>
          </w:p>
        </w:tc>
        <w:tc>
          <w:tcPr>
            <w:tcW w:w="1446" w:type="dxa"/>
            <w:vMerge w:val="continue"/>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p>
        </w:tc>
        <w:tc>
          <w:tcPr>
            <w:tcW w:w="3150" w:type="dxa"/>
            <w:vAlign w:val="center"/>
          </w:tcPr>
          <w:p>
            <w:pPr>
              <w:keepNext w:val="0"/>
              <w:keepLines w:val="0"/>
              <w:pageBreakBefore w:val="0"/>
              <w:widowControl/>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未按要求经常性维护保养和定期自行检查</w:t>
            </w:r>
          </w:p>
        </w:tc>
        <w:tc>
          <w:tcPr>
            <w:tcW w:w="4432" w:type="dxa"/>
            <w:vAlign w:val="center"/>
          </w:tcPr>
          <w:p>
            <w:pPr>
              <w:keepNext w:val="0"/>
              <w:keepLines w:val="0"/>
              <w:pageBreakBefore w:val="0"/>
              <w:widowControl/>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制定特种设备经常性维护保养和定期自行检查管理制度；维护保养应当符合有关安全技术规范和产品使用维护说明的要求，根据场车的使用繁重程度、环境条件状况，确定不低于TSG81-2022《场（厂）内专用机动车辆安全技术规程》规定的维护保养、月度检查、年度检查的周期和内容；</w:t>
            </w:r>
          </w:p>
          <w:p>
            <w:pPr>
              <w:keepNext w:val="0"/>
              <w:keepLines w:val="0"/>
              <w:pageBreakBefore w:val="0"/>
              <w:widowControl/>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2.对维护保养和检查中发现的异常情况应当及时处理，消除事故隐患，并且记录，记录存入安全技术档案；</w:t>
            </w:r>
          </w:p>
          <w:p>
            <w:pPr>
              <w:keepNext w:val="0"/>
              <w:keepLines w:val="0"/>
              <w:pageBreakBefore w:val="0"/>
              <w:widowControl/>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xml:space="preserve"> 3.使用单位应当在场车每日投入使用前，按照使用维护说明的要求进行日常检查，在使用过程中还应当加强对场车的巡检，并且形成使用记录</w:t>
            </w:r>
          </w:p>
        </w:tc>
        <w:tc>
          <w:tcPr>
            <w:tcW w:w="1491" w:type="dxa"/>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日管控</w:t>
            </w:r>
          </w:p>
        </w:tc>
        <w:tc>
          <w:tcPr>
            <w:tcW w:w="1518" w:type="dxa"/>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安全员</w:t>
            </w:r>
          </w:p>
        </w:tc>
        <w:tc>
          <w:tcPr>
            <w:tcW w:w="1004" w:type="dxa"/>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82" w:type="dxa"/>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10</w:t>
            </w:r>
          </w:p>
        </w:tc>
        <w:tc>
          <w:tcPr>
            <w:tcW w:w="1446" w:type="dxa"/>
            <w:vMerge w:val="continue"/>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p>
        </w:tc>
        <w:tc>
          <w:tcPr>
            <w:tcW w:w="3150" w:type="dxa"/>
            <w:vAlign w:val="center"/>
          </w:tcPr>
          <w:p>
            <w:pPr>
              <w:keepNext w:val="0"/>
              <w:keepLines w:val="0"/>
              <w:pageBreakBefore w:val="0"/>
              <w:widowControl/>
              <w:tabs>
                <w:tab w:val="left" w:pos="312"/>
              </w:tabs>
              <w:kinsoku/>
              <w:overflowPunct/>
              <w:autoSpaceDE/>
              <w:autoSpaceDN/>
              <w:bidi w:val="0"/>
              <w:adjustRightInd/>
              <w:spacing w:line="320" w:lineRule="exact"/>
              <w:ind w:firstLine="0" w:firstLineChars="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未建立特种设备事故应急专项预案，未按规定定期开展应急救援预案演练并保存应急救援预案演练记录（含文字、图片、视频等）</w:t>
            </w:r>
          </w:p>
        </w:tc>
        <w:tc>
          <w:tcPr>
            <w:tcW w:w="4432" w:type="dxa"/>
            <w:vAlign w:val="center"/>
          </w:tcPr>
          <w:p>
            <w:pPr>
              <w:keepNext w:val="0"/>
              <w:keepLines w:val="0"/>
              <w:pageBreakBefore w:val="0"/>
              <w:widowControl/>
              <w:kinsoku/>
              <w:overflowPunct/>
              <w:autoSpaceDE/>
              <w:autoSpaceDN/>
              <w:bidi w:val="0"/>
              <w:adjustRightInd/>
              <w:spacing w:line="320" w:lineRule="exact"/>
              <w:ind w:firstLine="0" w:firstLineChars="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1.制定特种设备应急救援管理制度，制定事故应急专项预案；</w:t>
            </w:r>
          </w:p>
          <w:p>
            <w:pPr>
              <w:keepNext w:val="0"/>
              <w:keepLines w:val="0"/>
              <w:pageBreakBefore w:val="0"/>
              <w:widowControl/>
              <w:kinsoku/>
              <w:overflowPunct/>
              <w:autoSpaceDE/>
              <w:autoSpaceDN/>
              <w:bidi w:val="0"/>
              <w:adjustRightInd/>
              <w:spacing w:line="320" w:lineRule="exact"/>
              <w:ind w:firstLine="0" w:firstLineChars="0"/>
              <w:jc w:val="left"/>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2.定期开展应急预案和特种设备应急专项预案定期开展应急处置和救援演练，每年至少演练一次，并且作出记录</w:t>
            </w:r>
          </w:p>
        </w:tc>
        <w:tc>
          <w:tcPr>
            <w:tcW w:w="1491" w:type="dxa"/>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月调度</w:t>
            </w:r>
          </w:p>
        </w:tc>
        <w:tc>
          <w:tcPr>
            <w:tcW w:w="1518" w:type="dxa"/>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主要负责人</w:t>
            </w:r>
          </w:p>
        </w:tc>
        <w:tc>
          <w:tcPr>
            <w:tcW w:w="1004" w:type="dxa"/>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782" w:type="dxa"/>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11</w:t>
            </w:r>
          </w:p>
        </w:tc>
        <w:tc>
          <w:tcPr>
            <w:tcW w:w="1446" w:type="dxa"/>
            <w:vMerge w:val="restart"/>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设备</w:t>
            </w:r>
          </w:p>
        </w:tc>
        <w:tc>
          <w:tcPr>
            <w:tcW w:w="3150" w:type="dxa"/>
            <w:vAlign w:val="center"/>
          </w:tcPr>
          <w:p>
            <w:pPr>
              <w:keepNext w:val="0"/>
              <w:keepLines w:val="0"/>
              <w:pageBreakBefore w:val="0"/>
              <w:widowControl/>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未按要求使用符合要求的特种设备或使用国家明令禁止，未按实际情况选择适合使用条件要求的场车</w:t>
            </w:r>
          </w:p>
        </w:tc>
        <w:tc>
          <w:tcPr>
            <w:tcW w:w="4432" w:type="dxa"/>
            <w:vAlign w:val="center"/>
          </w:tcPr>
          <w:p>
            <w:pPr>
              <w:keepNext w:val="0"/>
              <w:keepLines w:val="0"/>
              <w:pageBreakBefore w:val="0"/>
              <w:widowControl/>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1.制定特种设备采购、安装、改造、修理、报废等管理制度；</w:t>
            </w:r>
          </w:p>
          <w:p>
            <w:pPr>
              <w:keepNext w:val="0"/>
              <w:keepLines w:val="0"/>
              <w:pageBreakBefore w:val="0"/>
              <w:widowControl/>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2.对计划新增设备采购前根据场车的用途、使用环境（如温度、湿度、</w:t>
            </w:r>
            <w:r>
              <w:rPr>
                <w:rFonts w:hint="default" w:asciiTheme="minorEastAsia" w:hAnsiTheme="minorEastAsia" w:eastAsiaTheme="minorEastAsia" w:cstheme="minorEastAsia"/>
                <w:kern w:val="0"/>
                <w:sz w:val="24"/>
                <w:lang w:val="en-US"/>
              </w:rPr>
              <w:t>海拔</w:t>
            </w:r>
            <w:r>
              <w:rPr>
                <w:rFonts w:hint="eastAsia" w:asciiTheme="minorEastAsia" w:hAnsiTheme="minorEastAsia" w:eastAsiaTheme="minorEastAsia" w:cstheme="minorEastAsia"/>
                <w:kern w:val="0"/>
                <w:sz w:val="24"/>
              </w:rPr>
              <w:t>高度、坡度、弯道圆曲线半径、爆炸性环境等），选择适合使用条件要求的场车，并且对所使用场车的选型负责；</w:t>
            </w:r>
          </w:p>
          <w:p>
            <w:pPr>
              <w:keepNext w:val="0"/>
              <w:keepLines w:val="0"/>
              <w:pageBreakBefore w:val="0"/>
              <w:widowControl/>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3.购置观光车辆时，保证观光车辆的最大行驶坡度能够满足使用单位行驶路线中的最大坡度的要求，并且在销售合同中明确； （观光车专项）</w:t>
            </w:r>
          </w:p>
        </w:tc>
        <w:tc>
          <w:tcPr>
            <w:tcW w:w="1491" w:type="dxa"/>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月调度</w:t>
            </w:r>
          </w:p>
        </w:tc>
        <w:tc>
          <w:tcPr>
            <w:tcW w:w="1518" w:type="dxa"/>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主要负责人</w:t>
            </w:r>
          </w:p>
        </w:tc>
        <w:tc>
          <w:tcPr>
            <w:tcW w:w="1004" w:type="dxa"/>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trPr>
        <w:tc>
          <w:tcPr>
            <w:tcW w:w="782" w:type="dxa"/>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12</w:t>
            </w:r>
          </w:p>
        </w:tc>
        <w:tc>
          <w:tcPr>
            <w:tcW w:w="1446" w:type="dxa"/>
            <w:vMerge w:val="continue"/>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p>
        </w:tc>
        <w:tc>
          <w:tcPr>
            <w:tcW w:w="3150" w:type="dxa"/>
            <w:vAlign w:val="center"/>
          </w:tcPr>
          <w:p>
            <w:pPr>
              <w:keepNext w:val="0"/>
              <w:keepLines w:val="0"/>
              <w:pageBreakBefore w:val="0"/>
              <w:widowControl/>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未按有关规定安排场车首次检验、定期检验，设备超期未检</w:t>
            </w:r>
          </w:p>
        </w:tc>
        <w:tc>
          <w:tcPr>
            <w:tcW w:w="4432" w:type="dxa"/>
            <w:vAlign w:val="center"/>
          </w:tcPr>
          <w:p>
            <w:pPr>
              <w:keepNext w:val="0"/>
              <w:keepLines w:val="0"/>
              <w:pageBreakBefore w:val="0"/>
              <w:widowControl/>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1.制定特种设备检验制度和检验计划；</w:t>
            </w:r>
          </w:p>
          <w:p>
            <w:pPr>
              <w:keepNext w:val="0"/>
              <w:keepLines w:val="0"/>
              <w:pageBreakBefore w:val="0"/>
              <w:widowControl/>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2.明确安全员负责定检验和后续整改工作；</w:t>
            </w:r>
          </w:p>
          <w:p>
            <w:pPr>
              <w:keepNext w:val="0"/>
              <w:keepLines w:val="0"/>
              <w:pageBreakBefore w:val="0"/>
              <w:widowControl/>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3.安全总监注意每月检查设备的检验有效期情况。</w:t>
            </w:r>
          </w:p>
        </w:tc>
        <w:tc>
          <w:tcPr>
            <w:tcW w:w="1491" w:type="dxa"/>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月调度</w:t>
            </w:r>
          </w:p>
        </w:tc>
        <w:tc>
          <w:tcPr>
            <w:tcW w:w="1518" w:type="dxa"/>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主要负责人</w:t>
            </w:r>
          </w:p>
        </w:tc>
        <w:tc>
          <w:tcPr>
            <w:tcW w:w="1004" w:type="dxa"/>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trPr>
        <w:tc>
          <w:tcPr>
            <w:tcW w:w="782" w:type="dxa"/>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13</w:t>
            </w:r>
          </w:p>
        </w:tc>
        <w:tc>
          <w:tcPr>
            <w:tcW w:w="1446" w:type="dxa"/>
            <w:vMerge w:val="continue"/>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p>
        </w:tc>
        <w:tc>
          <w:tcPr>
            <w:tcW w:w="3150" w:type="dxa"/>
            <w:vAlign w:val="center"/>
          </w:tcPr>
          <w:p>
            <w:pPr>
              <w:keepNext w:val="0"/>
              <w:keepLines w:val="0"/>
              <w:pageBreakBefore w:val="0"/>
              <w:widowControl/>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未按照规定固定车牌、无产品商标或厂标、制动系统失效、转向系统失效、车轮安装不符、车轮磨损超限、轮辋缺损等、传动系统失效、照明系统失效、仪表系统失效、电气系统损坏、驾驶室门锁及玻璃等部件缺损、灭火器未配备、座椅不符合要求、操纵系统故障、货叉缺陷、磨损等（叉车专项）、液压系统故障、漏油等（叉车专项）、安全监控装置失效（叉车专项）、视频监控装置失效等（观光列车专项）</w:t>
            </w:r>
          </w:p>
        </w:tc>
        <w:tc>
          <w:tcPr>
            <w:tcW w:w="4432" w:type="dxa"/>
            <w:vAlign w:val="center"/>
          </w:tcPr>
          <w:p>
            <w:pPr>
              <w:keepNext w:val="0"/>
              <w:keepLines w:val="0"/>
              <w:pageBreakBefore w:val="0"/>
              <w:widowControl/>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1.作业人员（操作人员）上车前日检，日检记录填写完整；</w:t>
            </w:r>
          </w:p>
          <w:p>
            <w:pPr>
              <w:keepNext w:val="0"/>
              <w:keepLines w:val="0"/>
              <w:pageBreakBefore w:val="0"/>
              <w:widowControl/>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2.定期检查车辆设备状况；</w:t>
            </w:r>
          </w:p>
          <w:p>
            <w:pPr>
              <w:keepNext w:val="0"/>
              <w:keepLines w:val="0"/>
              <w:pageBreakBefore w:val="0"/>
              <w:widowControl/>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3.按期保养，及时维修；</w:t>
            </w:r>
          </w:p>
        </w:tc>
        <w:tc>
          <w:tcPr>
            <w:tcW w:w="1491" w:type="dxa"/>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日管控</w:t>
            </w:r>
          </w:p>
        </w:tc>
        <w:tc>
          <w:tcPr>
            <w:tcW w:w="1518" w:type="dxa"/>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安全员</w:t>
            </w:r>
          </w:p>
        </w:tc>
        <w:tc>
          <w:tcPr>
            <w:tcW w:w="1004" w:type="dxa"/>
            <w:vMerge w:val="restart"/>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782" w:type="dxa"/>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14</w:t>
            </w:r>
          </w:p>
        </w:tc>
        <w:tc>
          <w:tcPr>
            <w:tcW w:w="1446" w:type="dxa"/>
            <w:vMerge w:val="restart"/>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安全保护和防护装置</w:t>
            </w:r>
          </w:p>
        </w:tc>
        <w:tc>
          <w:tcPr>
            <w:tcW w:w="3150" w:type="dxa"/>
            <w:vAlign w:val="center"/>
          </w:tcPr>
          <w:p>
            <w:pPr>
              <w:keepNext w:val="0"/>
              <w:keepLines w:val="0"/>
              <w:pageBreakBefore w:val="0"/>
              <w:kinsoku/>
              <w:wordWrap w:val="0"/>
              <w:overflowPunct/>
              <w:topLinePunct/>
              <w:autoSpaceDE/>
              <w:autoSpaceDN/>
              <w:bidi w:val="0"/>
              <w:adjustRightInd/>
              <w:snapToGrid w:val="0"/>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未按要求设置安全保护和防护装置</w:t>
            </w:r>
          </w:p>
        </w:tc>
        <w:tc>
          <w:tcPr>
            <w:tcW w:w="4432" w:type="dxa"/>
            <w:vAlign w:val="center"/>
          </w:tcPr>
          <w:p>
            <w:pPr>
              <w:keepNext w:val="0"/>
              <w:keepLines w:val="0"/>
              <w:pageBreakBefore w:val="0"/>
              <w:widowControl/>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1.作业人员（操作人员）上车前日检，日检记录填写完整；</w:t>
            </w:r>
          </w:p>
          <w:p>
            <w:pPr>
              <w:keepNext w:val="0"/>
              <w:keepLines w:val="0"/>
              <w:pageBreakBefore w:val="0"/>
              <w:widowControl/>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2.定期检查车辆设备状况；</w:t>
            </w:r>
          </w:p>
          <w:p>
            <w:pPr>
              <w:keepNext w:val="0"/>
              <w:keepLines w:val="0"/>
              <w:pageBreakBefore w:val="0"/>
              <w:widowControl/>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3.按期保养，及时维修。</w:t>
            </w:r>
          </w:p>
        </w:tc>
        <w:tc>
          <w:tcPr>
            <w:tcW w:w="1491" w:type="dxa"/>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日管控</w:t>
            </w:r>
          </w:p>
        </w:tc>
        <w:tc>
          <w:tcPr>
            <w:tcW w:w="1518" w:type="dxa"/>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安全员</w:t>
            </w:r>
          </w:p>
        </w:tc>
        <w:tc>
          <w:tcPr>
            <w:tcW w:w="1004" w:type="dxa"/>
            <w:vMerge w:val="continue"/>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trPr>
        <w:tc>
          <w:tcPr>
            <w:tcW w:w="782" w:type="dxa"/>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15</w:t>
            </w:r>
          </w:p>
        </w:tc>
        <w:tc>
          <w:tcPr>
            <w:tcW w:w="1446" w:type="dxa"/>
            <w:vMerge w:val="continue"/>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p>
        </w:tc>
        <w:tc>
          <w:tcPr>
            <w:tcW w:w="3150" w:type="dxa"/>
            <w:vAlign w:val="center"/>
          </w:tcPr>
          <w:p>
            <w:pPr>
              <w:keepNext w:val="0"/>
              <w:keepLines w:val="0"/>
              <w:pageBreakBefore w:val="0"/>
              <w:kinsoku/>
              <w:overflowPunct/>
              <w:topLinePunct/>
              <w:autoSpaceDE/>
              <w:autoSpaceDN/>
              <w:bidi w:val="0"/>
              <w:adjustRightInd/>
              <w:snapToGrid w:val="0"/>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安全保护和防护装置、安全监控装置、视频监控装置等失灵或失效</w:t>
            </w:r>
          </w:p>
        </w:tc>
        <w:tc>
          <w:tcPr>
            <w:tcW w:w="4432" w:type="dxa"/>
            <w:vAlign w:val="center"/>
          </w:tcPr>
          <w:p>
            <w:pPr>
              <w:keepNext w:val="0"/>
              <w:keepLines w:val="0"/>
              <w:pageBreakBefore w:val="0"/>
              <w:widowControl/>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按照技术规范要求设置安全保护和防护并经常性检查</w:t>
            </w:r>
          </w:p>
        </w:tc>
        <w:tc>
          <w:tcPr>
            <w:tcW w:w="1491" w:type="dxa"/>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日管控</w:t>
            </w:r>
          </w:p>
        </w:tc>
        <w:tc>
          <w:tcPr>
            <w:tcW w:w="1518" w:type="dxa"/>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安全员</w:t>
            </w:r>
          </w:p>
        </w:tc>
        <w:tc>
          <w:tcPr>
            <w:tcW w:w="1004" w:type="dxa"/>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782" w:type="dxa"/>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16</w:t>
            </w:r>
          </w:p>
        </w:tc>
        <w:tc>
          <w:tcPr>
            <w:tcW w:w="1446" w:type="dxa"/>
            <w:vMerge w:val="restart"/>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环境因素</w:t>
            </w:r>
          </w:p>
        </w:tc>
        <w:tc>
          <w:tcPr>
            <w:tcW w:w="3150" w:type="dxa"/>
            <w:vAlign w:val="center"/>
          </w:tcPr>
          <w:p>
            <w:pPr>
              <w:keepNext w:val="0"/>
              <w:keepLines w:val="0"/>
              <w:pageBreakBefore w:val="0"/>
              <w:widowControl/>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使用环境不符、标志不完善，使用区域未进行管理</w:t>
            </w:r>
          </w:p>
        </w:tc>
        <w:tc>
          <w:tcPr>
            <w:tcW w:w="4432" w:type="dxa"/>
            <w:vAlign w:val="center"/>
          </w:tcPr>
          <w:p>
            <w:pPr>
              <w:keepNext w:val="0"/>
              <w:keepLines w:val="0"/>
              <w:pageBreakBefore w:val="0"/>
              <w:widowControl/>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明确场车行驶线路、使用区域，标识；应当根据本单位场车作业区域的状况，规范本单位场车作业环境，作业环境不符合要求的，场车不得进入该区域作业，场车作业区域应进行有效管理，无关人员不得进入；使用符合GB2894-2008《安全标志及其使用导则》要求的标志标牌；</w:t>
            </w:r>
          </w:p>
          <w:p>
            <w:pPr>
              <w:keepNext w:val="0"/>
              <w:keepLines w:val="0"/>
              <w:pageBreakBefore w:val="0"/>
              <w:widowControl/>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2.观光车辆的行驶路线中，任意连续20m路段的平均坡度不应当超过最大行驶坡度；（观光车专项）</w:t>
            </w:r>
          </w:p>
          <w:p>
            <w:pPr>
              <w:keepNext w:val="0"/>
              <w:keepLines w:val="0"/>
              <w:pageBreakBefore w:val="0"/>
              <w:widowControl/>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3.观光车辆的行驶路线中不得存在爆炸性环境，路面边沿3m（弯道处为4.5m）内有悬崖、深谷、深沟或水域的路段，应当设置防护能力与车辆相匹配的路侧护栏。存在陡坡、连续下坡、急弯、窄道、交岔口等特殊情况的路段，使用单位应当评估风险，根据需要设置相应的标志、标线、避险车道、减速丘、凸面镜等安全设施，或者采取限速、分流等管理措施；（观光车专项）</w:t>
            </w:r>
          </w:p>
          <w:p>
            <w:pPr>
              <w:keepNext w:val="0"/>
              <w:keepLines w:val="0"/>
              <w:pageBreakBefore w:val="0"/>
              <w:widowControl/>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kern w:val="0"/>
                <w:sz w:val="24"/>
              </w:rPr>
              <w:t>4.安全员对使用环境及线路日常巡查，检查环境、路况和相关标志的设置和完好情况；作业环境不符合要求的，场车不得进入该区域作业，作业区域严格控制。</w:t>
            </w:r>
          </w:p>
        </w:tc>
        <w:tc>
          <w:tcPr>
            <w:tcW w:w="1491" w:type="dxa"/>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周排查</w:t>
            </w:r>
          </w:p>
        </w:tc>
        <w:tc>
          <w:tcPr>
            <w:tcW w:w="1518" w:type="dxa"/>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1004" w:type="dxa"/>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782" w:type="dxa"/>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17</w:t>
            </w:r>
          </w:p>
        </w:tc>
        <w:tc>
          <w:tcPr>
            <w:tcW w:w="1446" w:type="dxa"/>
            <w:vMerge w:val="continue"/>
            <w:vAlign w:val="center"/>
          </w:tcPr>
          <w:p>
            <w:pPr>
              <w:keepNext w:val="0"/>
              <w:keepLines w:val="0"/>
              <w:pageBreakBefore w:val="0"/>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p>
        </w:tc>
        <w:tc>
          <w:tcPr>
            <w:tcW w:w="3150" w:type="dxa"/>
            <w:vAlign w:val="center"/>
          </w:tcPr>
          <w:p>
            <w:pPr>
              <w:keepNext w:val="0"/>
              <w:keepLines w:val="0"/>
              <w:pageBreakBefore w:val="0"/>
              <w:widowControl/>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未按有关规定设置警示标志或说明</w:t>
            </w:r>
          </w:p>
        </w:tc>
        <w:tc>
          <w:tcPr>
            <w:tcW w:w="4432" w:type="dxa"/>
            <w:vAlign w:val="center"/>
          </w:tcPr>
          <w:p>
            <w:pPr>
              <w:keepNext w:val="0"/>
              <w:keepLines w:val="0"/>
              <w:pageBreakBefore w:val="0"/>
              <w:widowControl/>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安全员和作业人员加强对特种设备法律法规知识学习，掌握警示标志或说明设置要求；叉车应当在醒目的位置以图形或者文字形式设置具有下列含义的安全标志：禁止站在货叉上、禁止站在货叉下、手指或者手被挤压风险提示，配备安全带的叉车还应当包括扣紧安全；观光车辆应当在醒目的位置以图形或者文字形式设置具有下列含义的安全标志：系好安全带、灭火器、车未停稳前请勿下车；</w:t>
            </w:r>
          </w:p>
          <w:p>
            <w:pPr>
              <w:keepNext w:val="0"/>
              <w:keepLines w:val="0"/>
              <w:pageBreakBefore w:val="0"/>
              <w:widowControl/>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2.定期对警示标志或说明设置情况进行检查。</w:t>
            </w:r>
          </w:p>
        </w:tc>
        <w:tc>
          <w:tcPr>
            <w:tcW w:w="1491" w:type="dxa"/>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周排查</w:t>
            </w:r>
          </w:p>
        </w:tc>
        <w:tc>
          <w:tcPr>
            <w:tcW w:w="1518" w:type="dxa"/>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1004" w:type="dxa"/>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5" w:hRule="atLeast"/>
        </w:trPr>
        <w:tc>
          <w:tcPr>
            <w:tcW w:w="782" w:type="dxa"/>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18</w:t>
            </w:r>
          </w:p>
        </w:tc>
        <w:tc>
          <w:tcPr>
            <w:tcW w:w="1446" w:type="dxa"/>
            <w:vMerge w:val="continue"/>
            <w:vAlign w:val="center"/>
          </w:tcPr>
          <w:p>
            <w:pPr>
              <w:keepNext w:val="0"/>
              <w:keepLines w:val="0"/>
              <w:pageBreakBefore w:val="0"/>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p>
        </w:tc>
        <w:tc>
          <w:tcPr>
            <w:tcW w:w="3150" w:type="dxa"/>
            <w:vAlign w:val="center"/>
          </w:tcPr>
          <w:p>
            <w:pPr>
              <w:keepNext w:val="0"/>
              <w:keepLines w:val="0"/>
              <w:pageBreakBefore w:val="0"/>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观光车辆的行驶路线不符合要求（观光车专项）</w:t>
            </w:r>
          </w:p>
        </w:tc>
        <w:tc>
          <w:tcPr>
            <w:tcW w:w="4432" w:type="dxa"/>
            <w:vAlign w:val="center"/>
          </w:tcPr>
          <w:p>
            <w:pPr>
              <w:keepNext w:val="0"/>
              <w:keepLines w:val="0"/>
              <w:pageBreakBefore w:val="0"/>
              <w:widowControl/>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1.安全总监应当制定车辆运营时的行驶路线图，并且按照路线图在行驶路线上设置醒目的行驶路线标志，明确行驶速度等安全要求；</w:t>
            </w:r>
          </w:p>
          <w:p>
            <w:pPr>
              <w:keepNext w:val="0"/>
              <w:keepLines w:val="0"/>
              <w:pageBreakBefore w:val="0"/>
              <w:widowControl/>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2.观光车辆的行驶路线图，应当在乘客固定的上下车位置明确标识；</w:t>
            </w:r>
          </w:p>
          <w:p>
            <w:pPr>
              <w:keepNext w:val="0"/>
              <w:keepLines w:val="0"/>
              <w:pageBreakBefore w:val="0"/>
              <w:widowControl/>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3.安全员对使用环境及线路日常巡查，检查环境、路况和相关标志的设置和完好情况；路线不符合要求的，车辆不得行使。</w:t>
            </w:r>
          </w:p>
        </w:tc>
        <w:tc>
          <w:tcPr>
            <w:tcW w:w="1491" w:type="dxa"/>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周排查</w:t>
            </w:r>
          </w:p>
        </w:tc>
        <w:tc>
          <w:tcPr>
            <w:tcW w:w="1518" w:type="dxa"/>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w:t>
            </w:r>
          </w:p>
        </w:tc>
        <w:tc>
          <w:tcPr>
            <w:tcW w:w="1004" w:type="dxa"/>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5" w:hRule="atLeast"/>
        </w:trPr>
        <w:tc>
          <w:tcPr>
            <w:tcW w:w="782" w:type="dxa"/>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19</w:t>
            </w:r>
          </w:p>
        </w:tc>
        <w:tc>
          <w:tcPr>
            <w:tcW w:w="1446" w:type="dxa"/>
            <w:vMerge w:val="continue"/>
            <w:vAlign w:val="center"/>
          </w:tcPr>
          <w:p>
            <w:pPr>
              <w:keepNext w:val="0"/>
              <w:keepLines w:val="0"/>
              <w:pageBreakBefore w:val="0"/>
              <w:widowControl/>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p>
        </w:tc>
        <w:tc>
          <w:tcPr>
            <w:tcW w:w="3150" w:type="dxa"/>
            <w:vAlign w:val="center"/>
          </w:tcPr>
          <w:p>
            <w:pPr>
              <w:keepNext w:val="0"/>
              <w:keepLines w:val="0"/>
              <w:pageBreakBefore w:val="0"/>
              <w:widowControl/>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在易燃易爆等危险区域作业，装载运输易燃易爆、剧毒等危险品或熔融金属、炙热金属等特殊物品（叉车专项）</w:t>
            </w:r>
          </w:p>
        </w:tc>
        <w:tc>
          <w:tcPr>
            <w:tcW w:w="4432" w:type="dxa"/>
            <w:vAlign w:val="center"/>
          </w:tcPr>
          <w:p>
            <w:pPr>
              <w:keepNext w:val="0"/>
              <w:keepLines w:val="0"/>
              <w:pageBreakBefore w:val="0"/>
              <w:widowControl/>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1.按照防爆等级在符合区域划分图内运行；严禁防爆区域使用防爆等级不符的车辆；</w:t>
            </w:r>
          </w:p>
          <w:p>
            <w:pPr>
              <w:keepNext w:val="0"/>
              <w:keepLines w:val="0"/>
              <w:pageBreakBefore w:val="0"/>
              <w:widowControl/>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2.车辆配备灭火器，车体两侧、车后部喷涂“严禁烟火”或“注意危险”等警示字样；</w:t>
            </w:r>
          </w:p>
          <w:p>
            <w:pPr>
              <w:keepNext w:val="0"/>
              <w:keepLines w:val="0"/>
              <w:pageBreakBefore w:val="0"/>
              <w:widowControl/>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3.定期检查相关设施，灭火器等是否在有效期内</w:t>
            </w:r>
          </w:p>
        </w:tc>
        <w:tc>
          <w:tcPr>
            <w:tcW w:w="1491" w:type="dxa"/>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日管控</w:t>
            </w:r>
          </w:p>
        </w:tc>
        <w:tc>
          <w:tcPr>
            <w:tcW w:w="1518" w:type="dxa"/>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安全员</w:t>
            </w:r>
          </w:p>
        </w:tc>
        <w:tc>
          <w:tcPr>
            <w:tcW w:w="1004" w:type="dxa"/>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2" w:type="dxa"/>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20</w:t>
            </w:r>
          </w:p>
        </w:tc>
        <w:tc>
          <w:tcPr>
            <w:tcW w:w="1446" w:type="dxa"/>
            <w:vAlign w:val="center"/>
          </w:tcPr>
          <w:p>
            <w:pPr>
              <w:keepNext w:val="0"/>
              <w:keepLines w:val="0"/>
              <w:pageBreakBefore w:val="0"/>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政府监督、通报、预警</w:t>
            </w:r>
          </w:p>
        </w:tc>
        <w:tc>
          <w:tcPr>
            <w:tcW w:w="3150" w:type="dxa"/>
            <w:vAlign w:val="center"/>
          </w:tcPr>
          <w:p>
            <w:pPr>
              <w:keepNext w:val="0"/>
              <w:keepLines w:val="0"/>
              <w:pageBreakBefore w:val="0"/>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发现不合格项</w:t>
            </w:r>
          </w:p>
        </w:tc>
        <w:tc>
          <w:tcPr>
            <w:tcW w:w="4432" w:type="dxa"/>
            <w:vAlign w:val="center"/>
          </w:tcPr>
          <w:p>
            <w:pPr>
              <w:keepNext w:val="0"/>
              <w:keepLines w:val="0"/>
              <w:pageBreakBefore w:val="0"/>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记录，整改</w:t>
            </w:r>
          </w:p>
        </w:tc>
        <w:tc>
          <w:tcPr>
            <w:tcW w:w="1491" w:type="dxa"/>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rPr>
              <w:t>周排查</w:t>
            </w:r>
          </w:p>
        </w:tc>
        <w:tc>
          <w:tcPr>
            <w:tcW w:w="1518" w:type="dxa"/>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rPr>
              <w:t>安全总监</w:t>
            </w:r>
          </w:p>
        </w:tc>
        <w:tc>
          <w:tcPr>
            <w:tcW w:w="1004" w:type="dxa"/>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82" w:type="dxa"/>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21</w:t>
            </w:r>
          </w:p>
        </w:tc>
        <w:tc>
          <w:tcPr>
            <w:tcW w:w="1446" w:type="dxa"/>
            <w:vAlign w:val="center"/>
          </w:tcPr>
          <w:p>
            <w:pPr>
              <w:keepNext w:val="0"/>
              <w:keepLines w:val="0"/>
              <w:pageBreakBefore w:val="0"/>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投诉举报</w:t>
            </w:r>
          </w:p>
        </w:tc>
        <w:tc>
          <w:tcPr>
            <w:tcW w:w="3150" w:type="dxa"/>
            <w:vAlign w:val="center"/>
          </w:tcPr>
          <w:p>
            <w:pPr>
              <w:keepNext w:val="0"/>
              <w:keepLines w:val="0"/>
              <w:pageBreakBefore w:val="0"/>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发现不合格项</w:t>
            </w:r>
          </w:p>
        </w:tc>
        <w:tc>
          <w:tcPr>
            <w:tcW w:w="4432" w:type="dxa"/>
            <w:vAlign w:val="center"/>
          </w:tcPr>
          <w:p>
            <w:pPr>
              <w:keepNext w:val="0"/>
              <w:keepLines w:val="0"/>
              <w:pageBreakBefore w:val="0"/>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记录，整改，消除安全隐患</w:t>
            </w:r>
          </w:p>
        </w:tc>
        <w:tc>
          <w:tcPr>
            <w:tcW w:w="1491" w:type="dxa"/>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rPr>
              <w:t>日管控</w:t>
            </w:r>
          </w:p>
        </w:tc>
        <w:tc>
          <w:tcPr>
            <w:tcW w:w="1518" w:type="dxa"/>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rPr>
              <w:t>安全员</w:t>
            </w:r>
          </w:p>
        </w:tc>
        <w:tc>
          <w:tcPr>
            <w:tcW w:w="1004" w:type="dxa"/>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782" w:type="dxa"/>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22</w:t>
            </w:r>
          </w:p>
        </w:tc>
        <w:tc>
          <w:tcPr>
            <w:tcW w:w="1446" w:type="dxa"/>
            <w:vAlign w:val="center"/>
          </w:tcPr>
          <w:p>
            <w:pPr>
              <w:keepNext w:val="0"/>
              <w:keepLines w:val="0"/>
              <w:pageBreakBefore w:val="0"/>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舆情信息</w:t>
            </w:r>
          </w:p>
        </w:tc>
        <w:tc>
          <w:tcPr>
            <w:tcW w:w="3150" w:type="dxa"/>
            <w:vAlign w:val="center"/>
          </w:tcPr>
          <w:p>
            <w:pPr>
              <w:keepNext w:val="0"/>
              <w:keepLines w:val="0"/>
              <w:pageBreakBefore w:val="0"/>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发现不合格项</w:t>
            </w:r>
          </w:p>
        </w:tc>
        <w:tc>
          <w:tcPr>
            <w:tcW w:w="4432" w:type="dxa"/>
            <w:vAlign w:val="center"/>
          </w:tcPr>
          <w:p>
            <w:pPr>
              <w:keepNext w:val="0"/>
              <w:keepLines w:val="0"/>
              <w:pageBreakBefore w:val="0"/>
              <w:kinsoku/>
              <w:overflowPunct/>
              <w:autoSpaceDE/>
              <w:autoSpaceDN/>
              <w:bidi w:val="0"/>
              <w:adjustRightInd/>
              <w:spacing w:line="320" w:lineRule="exact"/>
              <w:ind w:firstLine="0" w:firstLineChars="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记录，整改</w:t>
            </w:r>
          </w:p>
        </w:tc>
        <w:tc>
          <w:tcPr>
            <w:tcW w:w="1491" w:type="dxa"/>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rPr>
              <w:t>日管控</w:t>
            </w:r>
          </w:p>
        </w:tc>
        <w:tc>
          <w:tcPr>
            <w:tcW w:w="1518" w:type="dxa"/>
            <w:vAlign w:val="center"/>
          </w:tcPr>
          <w:p>
            <w:pPr>
              <w:keepNext w:val="0"/>
              <w:keepLines w:val="0"/>
              <w:pageBreakBefore w:val="0"/>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rPr>
              <w:t>安全员</w:t>
            </w:r>
          </w:p>
        </w:tc>
        <w:tc>
          <w:tcPr>
            <w:tcW w:w="1004" w:type="dxa"/>
            <w:vAlign w:val="center"/>
          </w:tcPr>
          <w:p>
            <w:pPr>
              <w:keepNext w:val="0"/>
              <w:keepLines w:val="0"/>
              <w:pageBreakBefore w:val="0"/>
              <w:widowControl/>
              <w:kinsoku/>
              <w:overflowPunct/>
              <w:autoSpaceDE/>
              <w:autoSpaceDN/>
              <w:bidi w:val="0"/>
              <w:adjustRightInd/>
              <w:spacing w:line="320" w:lineRule="exact"/>
              <w:ind w:firstLine="0" w:firstLineChars="0"/>
              <w:jc w:val="center"/>
              <w:textAlignment w:val="auto"/>
              <w:rPr>
                <w:rFonts w:hint="eastAsia" w:asciiTheme="minorEastAsia" w:hAnsiTheme="minorEastAsia" w:eastAsiaTheme="minorEastAsia" w:cstheme="minorEastAsia"/>
                <w:kern w:val="0"/>
                <w:sz w:val="24"/>
              </w:rPr>
            </w:pPr>
          </w:p>
        </w:tc>
      </w:tr>
    </w:tbl>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宋体" w:hAnsi="宋体"/>
          <w:b/>
          <w:sz w:val="24"/>
        </w:rPr>
      </w:pPr>
      <w:r>
        <w:rPr>
          <w:rFonts w:ascii="宋体" w:hAnsi="宋体"/>
          <w:b/>
          <w:sz w:val="24"/>
        </w:rPr>
        <w:t>备注</w:t>
      </w:r>
      <w:r>
        <w:rPr>
          <w:rFonts w:hint="eastAsia" w:ascii="宋体" w:hAnsi="宋体"/>
          <w:b/>
          <w:sz w:val="24"/>
        </w:rPr>
        <w:t>：</w:t>
      </w:r>
      <w:r>
        <w:rPr>
          <w:rFonts w:ascii="宋体" w:hAnsi="宋体"/>
          <w:b/>
          <w:sz w:val="24"/>
        </w:rPr>
        <w:t>本清单为推荐性格式，仅规定了应当进行日管控、周排查、月调度的基本项目，</w:t>
      </w:r>
      <w:r>
        <w:rPr>
          <w:rFonts w:hint="eastAsia" w:ascii="宋体" w:hAnsi="宋体"/>
          <w:b/>
          <w:sz w:val="24"/>
        </w:rPr>
        <w:t>场车使用</w:t>
      </w:r>
      <w:r>
        <w:rPr>
          <w:rFonts w:ascii="宋体" w:hAnsi="宋体"/>
          <w:b/>
          <w:sz w:val="24"/>
        </w:rPr>
        <w:t>单位应当结合本单位实际情况和具体要求，细化风险管控清单</w:t>
      </w:r>
      <w:r>
        <w:rPr>
          <w:rFonts w:hint="eastAsia" w:ascii="宋体" w:hAnsi="宋体"/>
          <w:b/>
          <w:sz w:val="24"/>
        </w:rPr>
        <w:t>，</w:t>
      </w:r>
      <w:r>
        <w:rPr>
          <w:rFonts w:ascii="宋体" w:hAnsi="宋体"/>
          <w:b/>
          <w:sz w:val="24"/>
        </w:rPr>
        <w:t>合理调整管控形式。</w:t>
      </w:r>
    </w:p>
    <w:p>
      <w:pPr>
        <w:rPr>
          <w:rFonts w:hint="eastAsia"/>
        </w:rPr>
        <w:sectPr>
          <w:footerReference r:id="rId6" w:type="default"/>
          <w:pgSz w:w="16838" w:h="11906" w:orient="landscape"/>
          <w:pgMar w:top="1417" w:right="1587" w:bottom="1417" w:left="1417" w:header="851" w:footer="992" w:gutter="0"/>
          <w:pgNumType w:fmt="decimal"/>
          <w:cols w:space="0" w:num="1"/>
          <w:rtlGutter w:val="0"/>
          <w:docGrid w:type="lines" w:linePitch="453" w:charSpace="0"/>
        </w:sectPr>
      </w:pPr>
      <w:r>
        <w:rPr>
          <w:rFonts w:hint="eastAsia"/>
        </w:rPr>
        <w:br w:type="page"/>
      </w:r>
    </w:p>
    <w:p>
      <w:pPr>
        <w:pStyle w:val="4"/>
        <w:bidi w:val="0"/>
      </w:pPr>
      <w:bookmarkStart w:id="284" w:name="_Toc9544"/>
      <w:bookmarkStart w:id="285" w:name="_Toc10517"/>
      <w:bookmarkStart w:id="286" w:name="_Toc14117"/>
      <w:bookmarkStart w:id="287" w:name="_Toc27143_WPSOffice_Level2"/>
      <w:bookmarkStart w:id="288" w:name="_Toc10845"/>
      <w:r>
        <w:rPr>
          <w:rFonts w:hint="eastAsia"/>
        </w:rPr>
        <w:t>特种设备使用安全风险日管控、周排查、</w:t>
      </w:r>
      <w:bookmarkEnd w:id="284"/>
      <w:bookmarkEnd w:id="285"/>
      <w:bookmarkEnd w:id="286"/>
      <w:bookmarkEnd w:id="287"/>
      <w:bookmarkEnd w:id="288"/>
    </w:p>
    <w:p>
      <w:pPr>
        <w:pStyle w:val="4"/>
        <w:bidi w:val="0"/>
      </w:pPr>
      <w:bookmarkStart w:id="289" w:name="_Toc26868_WPSOffice_Level2"/>
      <w:bookmarkStart w:id="290" w:name="_Toc24988"/>
      <w:bookmarkStart w:id="291" w:name="_Toc11216"/>
      <w:bookmarkStart w:id="292" w:name="_Toc31466"/>
      <w:bookmarkStart w:id="293" w:name="_Toc20882"/>
      <w:r>
        <w:rPr>
          <w:rFonts w:hint="eastAsia"/>
        </w:rPr>
        <w:t>月调度管理制度</w:t>
      </w:r>
      <w:bookmarkEnd w:id="289"/>
      <w:bookmarkEnd w:id="290"/>
      <w:bookmarkEnd w:id="291"/>
      <w:bookmarkEnd w:id="292"/>
      <w:bookmarkEnd w:id="293"/>
    </w:p>
    <w:p>
      <w:pPr>
        <w:keepNext w:val="0"/>
        <w:keepLines w:val="0"/>
        <w:pageBreakBefore w:val="0"/>
        <w:widowControl w:val="0"/>
        <w:tabs>
          <w:tab w:val="left" w:pos="600"/>
        </w:tabs>
        <w:kinsoku/>
        <w:wordWrap/>
        <w:overflowPunct/>
        <w:autoSpaceDE/>
        <w:autoSpaceDN/>
        <w:bidi w:val="0"/>
        <w:adjustRightInd/>
        <w:spacing w:line="580" w:lineRule="exact"/>
        <w:ind w:firstLine="640" w:firstLineChars="200"/>
        <w:textAlignment w:val="auto"/>
        <w:outlineLvl w:val="1"/>
        <w:rPr>
          <w:rFonts w:hint="eastAsia" w:ascii="方正仿宋_GBK" w:hAnsi="方正仿宋_GBK" w:eastAsia="方正仿宋_GBK" w:cs="方正仿宋_GBK"/>
          <w:sz w:val="32"/>
          <w:szCs w:val="32"/>
        </w:rPr>
      </w:pPr>
      <w:bookmarkStart w:id="294" w:name="_Toc30421"/>
      <w:bookmarkStart w:id="295" w:name="_Toc8759"/>
      <w:bookmarkStart w:id="296" w:name="_Toc5585"/>
      <w:bookmarkStart w:id="297" w:name="_Toc2486"/>
      <w:r>
        <w:rPr>
          <w:rFonts w:hint="eastAsia" w:ascii="方正仿宋_GBK" w:hAnsi="方正仿宋_GBK" w:eastAsia="方正仿宋_GBK" w:cs="方正仿宋_GBK"/>
          <w:sz w:val="32"/>
          <w:szCs w:val="32"/>
        </w:rPr>
        <w:t>1</w:t>
      </w:r>
      <w:r>
        <w:rPr>
          <w:rFonts w:hint="eastAsia" w:ascii="方正仿宋_GBK" w:hAnsi="方正仿宋_GBK" w:eastAsia="方正仿宋_GBK" w:cs="方正仿宋_GBK"/>
          <w:b/>
          <w:bCs/>
          <w:sz w:val="32"/>
          <w:szCs w:val="32"/>
        </w:rPr>
        <w:t>目的</w:t>
      </w:r>
      <w:bookmarkEnd w:id="294"/>
      <w:bookmarkEnd w:id="295"/>
      <w:bookmarkEnd w:id="296"/>
      <w:bookmarkEnd w:id="297"/>
    </w:p>
    <w:p>
      <w:pPr>
        <w:keepNext w:val="0"/>
        <w:keepLines w:val="0"/>
        <w:pageBreakBefore w:val="0"/>
        <w:widowControl w:val="0"/>
        <w:tabs>
          <w:tab w:val="left" w:pos="600"/>
        </w:tabs>
        <w:kinsoku/>
        <w:wordWrap/>
        <w:overflowPunct/>
        <w:autoSpaceDE/>
        <w:autoSpaceDN/>
        <w:bidi w:val="0"/>
        <w:adjustRightInd/>
        <w:spacing w:line="58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为了落实本企业（单位）特种设备使用安全主体责任，强化主要负责人特种设备安全责任，规范特种设备安全管理人员行为，根据《中华人民共和国特种设备安全法》、《特种设备安全监察条例》及《特种设备使用单位落实使用安全主体责任监督管理规定》（总局令第X号）等法律法规的规定，结合本单位实际情况制定本制度。</w:t>
      </w:r>
    </w:p>
    <w:p>
      <w:pPr>
        <w:keepNext w:val="0"/>
        <w:keepLines w:val="0"/>
        <w:pageBreakBefore w:val="0"/>
        <w:widowControl w:val="0"/>
        <w:tabs>
          <w:tab w:val="left" w:pos="600"/>
        </w:tabs>
        <w:kinsoku/>
        <w:wordWrap/>
        <w:overflowPunct/>
        <w:autoSpaceDE/>
        <w:autoSpaceDN/>
        <w:bidi w:val="0"/>
        <w:adjustRightInd/>
        <w:spacing w:line="580" w:lineRule="exact"/>
        <w:ind w:firstLine="640" w:firstLineChars="200"/>
        <w:textAlignment w:val="auto"/>
        <w:outlineLvl w:val="1"/>
        <w:rPr>
          <w:rFonts w:hint="eastAsia" w:ascii="方正仿宋_GBK" w:hAnsi="方正仿宋_GBK" w:eastAsia="方正仿宋_GBK" w:cs="方正仿宋_GBK"/>
          <w:sz w:val="32"/>
          <w:szCs w:val="32"/>
        </w:rPr>
      </w:pPr>
      <w:bookmarkStart w:id="298" w:name="_Toc2635"/>
      <w:bookmarkStart w:id="299" w:name="_Toc17018"/>
      <w:bookmarkStart w:id="300" w:name="_Toc29282"/>
      <w:bookmarkStart w:id="301" w:name="_Toc21718"/>
      <w:r>
        <w:rPr>
          <w:rFonts w:hint="eastAsia" w:ascii="方正仿宋_GBK" w:hAnsi="方正仿宋_GBK" w:eastAsia="方正仿宋_GBK" w:cs="方正仿宋_GBK"/>
          <w:sz w:val="32"/>
          <w:szCs w:val="32"/>
        </w:rPr>
        <w:t>2</w:t>
      </w:r>
      <w:r>
        <w:rPr>
          <w:rFonts w:hint="eastAsia" w:ascii="方正仿宋_GBK" w:hAnsi="方正仿宋_GBK" w:eastAsia="方正仿宋_GBK" w:cs="方正仿宋_GBK"/>
          <w:b/>
          <w:bCs/>
          <w:sz w:val="32"/>
          <w:szCs w:val="32"/>
        </w:rPr>
        <w:t>范围</w:t>
      </w:r>
      <w:bookmarkEnd w:id="298"/>
      <w:bookmarkEnd w:id="299"/>
      <w:bookmarkEnd w:id="300"/>
      <w:bookmarkEnd w:id="301"/>
    </w:p>
    <w:p>
      <w:pPr>
        <w:keepNext w:val="0"/>
        <w:keepLines w:val="0"/>
        <w:pageBreakBefore w:val="0"/>
        <w:widowControl w:val="0"/>
        <w:tabs>
          <w:tab w:val="left" w:pos="600"/>
        </w:tabs>
        <w:kinsoku/>
        <w:wordWrap/>
        <w:overflowPunct/>
        <w:autoSpaceDE/>
        <w:autoSpaceDN/>
        <w:bidi w:val="0"/>
        <w:adjustRightInd/>
        <w:spacing w:line="58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适用于本企业（单位）内对特种设备使用安全风险隐患管控有关的管理层及各职能有关人员</w:t>
      </w:r>
    </w:p>
    <w:p>
      <w:pPr>
        <w:keepNext w:val="0"/>
        <w:keepLines w:val="0"/>
        <w:pageBreakBefore w:val="0"/>
        <w:widowControl w:val="0"/>
        <w:tabs>
          <w:tab w:val="left" w:pos="600"/>
        </w:tabs>
        <w:kinsoku/>
        <w:wordWrap/>
        <w:overflowPunct/>
        <w:autoSpaceDE/>
        <w:autoSpaceDN/>
        <w:bidi w:val="0"/>
        <w:adjustRightInd/>
        <w:spacing w:line="580" w:lineRule="exact"/>
        <w:ind w:firstLine="640" w:firstLineChars="200"/>
        <w:textAlignment w:val="auto"/>
        <w:outlineLvl w:val="1"/>
        <w:rPr>
          <w:rFonts w:hint="eastAsia" w:ascii="方正仿宋_GBK" w:hAnsi="方正仿宋_GBK" w:eastAsia="方正仿宋_GBK" w:cs="方正仿宋_GBK"/>
          <w:sz w:val="32"/>
          <w:szCs w:val="32"/>
        </w:rPr>
      </w:pPr>
      <w:bookmarkStart w:id="302" w:name="_Toc2679"/>
      <w:bookmarkStart w:id="303" w:name="_Toc31093"/>
      <w:bookmarkStart w:id="304" w:name="_Toc22820"/>
      <w:bookmarkStart w:id="305" w:name="_Toc5437"/>
      <w:r>
        <w:rPr>
          <w:rFonts w:hint="eastAsia" w:ascii="方正仿宋_GBK" w:hAnsi="方正仿宋_GBK" w:eastAsia="方正仿宋_GBK" w:cs="方正仿宋_GBK"/>
          <w:sz w:val="32"/>
          <w:szCs w:val="32"/>
        </w:rPr>
        <w:t>3</w:t>
      </w:r>
      <w:r>
        <w:rPr>
          <w:rFonts w:hint="eastAsia" w:ascii="方正仿宋_GBK" w:hAnsi="方正仿宋_GBK" w:eastAsia="方正仿宋_GBK" w:cs="方正仿宋_GBK"/>
          <w:b/>
          <w:bCs/>
          <w:sz w:val="32"/>
          <w:szCs w:val="32"/>
        </w:rPr>
        <w:t>职责</w:t>
      </w:r>
      <w:bookmarkEnd w:id="302"/>
      <w:bookmarkEnd w:id="303"/>
      <w:bookmarkEnd w:id="304"/>
      <w:bookmarkEnd w:id="305"/>
    </w:p>
    <w:p>
      <w:pPr>
        <w:keepNext w:val="0"/>
        <w:keepLines w:val="0"/>
        <w:pageBreakBefore w:val="0"/>
        <w:widowControl w:val="0"/>
        <w:tabs>
          <w:tab w:val="left" w:pos="600"/>
        </w:tabs>
        <w:kinsoku/>
        <w:wordWrap/>
        <w:overflowPunct/>
        <w:autoSpaceDE/>
        <w:autoSpaceDN/>
        <w:bidi w:val="0"/>
        <w:adjustRightInd/>
        <w:spacing w:line="58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3.1本企业（单位）主要负责人对本单位特种设备使用安全工作全面负责，建立并落实特种设备使用安全主体责任的长效机制。</w:t>
      </w:r>
    </w:p>
    <w:p>
      <w:pPr>
        <w:keepNext w:val="0"/>
        <w:keepLines w:val="0"/>
        <w:pageBreakBefore w:val="0"/>
        <w:widowControl w:val="0"/>
        <w:tabs>
          <w:tab w:val="left" w:pos="600"/>
        </w:tabs>
        <w:kinsoku/>
        <w:wordWrap/>
        <w:overflowPunct/>
        <w:autoSpaceDE/>
        <w:autoSpaceDN/>
        <w:bidi w:val="0"/>
        <w:adjustRightInd/>
        <w:spacing w:line="58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3.2特种设备安全总监负责特种设备安全风险日管控、周排查、月调度管理制度的编制、修改及更新。</w:t>
      </w:r>
    </w:p>
    <w:p>
      <w:pPr>
        <w:keepNext w:val="0"/>
        <w:keepLines w:val="0"/>
        <w:pageBreakBefore w:val="0"/>
        <w:widowControl w:val="0"/>
        <w:tabs>
          <w:tab w:val="left" w:pos="600"/>
        </w:tabs>
        <w:kinsoku/>
        <w:wordWrap/>
        <w:overflowPunct/>
        <w:autoSpaceDE/>
        <w:autoSpaceDN/>
        <w:bidi w:val="0"/>
        <w:adjustRightInd/>
        <w:spacing w:line="58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3.3特种设备安全员按照要求落实特种设备安全风险日管控相关工作，按照制度要求及时上报特种设备安全总监或单位主要负责人</w:t>
      </w:r>
    </w:p>
    <w:p>
      <w:pPr>
        <w:keepNext w:val="0"/>
        <w:keepLines w:val="0"/>
        <w:pageBreakBefore w:val="0"/>
        <w:widowControl w:val="0"/>
        <w:tabs>
          <w:tab w:val="left" w:pos="600"/>
        </w:tabs>
        <w:kinsoku/>
        <w:wordWrap/>
        <w:overflowPunct/>
        <w:autoSpaceDE/>
        <w:autoSpaceDN/>
        <w:bidi w:val="0"/>
        <w:adjustRightInd/>
        <w:spacing w:line="58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3.4特种设备安全总监负责对于风险排查中发现的特种设备安全风险隐患问题，明确责任人，督促相关责任人采取相适应的防范措施，及时解决发现的问题，向主要负责人报告有关情况，提出改进措施。</w:t>
      </w:r>
    </w:p>
    <w:p>
      <w:pPr>
        <w:keepNext w:val="0"/>
        <w:keepLines w:val="0"/>
        <w:pageBreakBefore w:val="0"/>
        <w:widowControl w:val="0"/>
        <w:tabs>
          <w:tab w:val="left" w:pos="600"/>
        </w:tabs>
        <w:kinsoku/>
        <w:wordWrap/>
        <w:overflowPunct/>
        <w:autoSpaceDE/>
        <w:autoSpaceDN/>
        <w:bidi w:val="0"/>
        <w:adjustRightInd/>
        <w:spacing w:line="580" w:lineRule="exact"/>
        <w:ind w:firstLine="643" w:firstLineChars="200"/>
        <w:textAlignment w:val="auto"/>
        <w:outlineLvl w:val="1"/>
        <w:rPr>
          <w:rFonts w:hint="eastAsia" w:ascii="方正仿宋_GBK" w:hAnsi="方正仿宋_GBK" w:eastAsia="方正仿宋_GBK" w:cs="方正仿宋_GBK"/>
          <w:b/>
          <w:bCs/>
          <w:sz w:val="32"/>
          <w:szCs w:val="32"/>
        </w:rPr>
      </w:pPr>
      <w:bookmarkStart w:id="306" w:name="_Toc989"/>
      <w:bookmarkStart w:id="307" w:name="_Toc2177"/>
      <w:bookmarkStart w:id="308" w:name="_Toc10683"/>
      <w:bookmarkStart w:id="309" w:name="_Toc19295"/>
      <w:r>
        <w:rPr>
          <w:rFonts w:hint="eastAsia" w:ascii="方正仿宋_GBK" w:hAnsi="方正仿宋_GBK" w:eastAsia="方正仿宋_GBK" w:cs="方正仿宋_GBK"/>
          <w:b/>
          <w:bCs/>
          <w:sz w:val="32"/>
          <w:szCs w:val="32"/>
        </w:rPr>
        <w:t>4管理要求</w:t>
      </w:r>
      <w:bookmarkEnd w:id="306"/>
      <w:bookmarkEnd w:id="307"/>
      <w:bookmarkEnd w:id="308"/>
      <w:bookmarkEnd w:id="309"/>
    </w:p>
    <w:p>
      <w:pPr>
        <w:keepNext w:val="0"/>
        <w:keepLines w:val="0"/>
        <w:pageBreakBefore w:val="0"/>
        <w:widowControl w:val="0"/>
        <w:tabs>
          <w:tab w:val="left" w:pos="600"/>
        </w:tabs>
        <w:kinsoku/>
        <w:wordWrap/>
        <w:overflowPunct/>
        <w:autoSpaceDE/>
        <w:autoSpaceDN/>
        <w:bidi w:val="0"/>
        <w:adjustRightInd/>
        <w:spacing w:line="58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4.1 主要负责人根据本单位使用的特种设备数量、用途、使用环境等情况配备合适的安全总监和足够数量的安全员，并逐台明确负责的安全员；安全员负责日管控具体工作的情况落实，协助安全总监负责周排查、月调度具体工作的情况落实。</w:t>
      </w:r>
    </w:p>
    <w:p>
      <w:pPr>
        <w:keepNext w:val="0"/>
        <w:keepLines w:val="0"/>
        <w:pageBreakBefore w:val="0"/>
        <w:widowControl w:val="0"/>
        <w:tabs>
          <w:tab w:val="left" w:pos="600"/>
        </w:tabs>
        <w:kinsoku/>
        <w:wordWrap/>
        <w:overflowPunct/>
        <w:autoSpaceDE/>
        <w:autoSpaceDN/>
        <w:bidi w:val="0"/>
        <w:adjustRightInd/>
        <w:spacing w:line="580" w:lineRule="exact"/>
        <w:ind w:firstLine="643" w:firstLineChars="200"/>
        <w:textAlignment w:val="auto"/>
        <w:outlineLvl w:val="2"/>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sz w:val="32"/>
          <w:szCs w:val="32"/>
        </w:rPr>
        <w:t>4.2日管控</w:t>
      </w:r>
    </w:p>
    <w:p>
      <w:pPr>
        <w:keepNext w:val="0"/>
        <w:keepLines w:val="0"/>
        <w:pageBreakBefore w:val="0"/>
        <w:widowControl w:val="0"/>
        <w:tabs>
          <w:tab w:val="left" w:pos="600"/>
        </w:tabs>
        <w:kinsoku/>
        <w:wordWrap/>
        <w:overflowPunct/>
        <w:autoSpaceDE/>
        <w:autoSpaceDN/>
        <w:bidi w:val="0"/>
        <w:adjustRightInd/>
        <w:spacing w:line="580" w:lineRule="exact"/>
        <w:ind w:firstLine="640" w:firstLineChars="200"/>
        <w:textAlignment w:val="auto"/>
        <w:outlineLvl w:val="3"/>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4.2.1日管控风险内容参照各类特种设备的《风险管控清单》</w:t>
      </w:r>
    </w:p>
    <w:p>
      <w:pPr>
        <w:keepNext w:val="0"/>
        <w:keepLines w:val="0"/>
        <w:pageBreakBefore w:val="0"/>
        <w:widowControl w:val="0"/>
        <w:tabs>
          <w:tab w:val="left" w:pos="600"/>
        </w:tabs>
        <w:kinsoku/>
        <w:wordWrap/>
        <w:overflowPunct/>
        <w:autoSpaceDE/>
        <w:autoSpaceDN/>
        <w:bidi w:val="0"/>
        <w:adjustRightInd/>
        <w:spacing w:line="58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4.2.2工作期间，特种设备安全员每日根据《风险管控清单》进行检查，管控各个环节可能存在的特种设备安全风险隐患，并将检查结果汇总记录在《每日XX安全检查记录》表上，可采用电子表格的形式予以记录。未发现问题的，也应当予以记录，实行零报告。</w:t>
      </w:r>
    </w:p>
    <w:p>
      <w:pPr>
        <w:keepNext w:val="0"/>
        <w:keepLines w:val="0"/>
        <w:pageBreakBefore w:val="0"/>
        <w:widowControl w:val="0"/>
        <w:tabs>
          <w:tab w:val="left" w:pos="600"/>
        </w:tabs>
        <w:kinsoku/>
        <w:wordWrap/>
        <w:overflowPunct/>
        <w:autoSpaceDE/>
        <w:autoSpaceDN/>
        <w:bidi w:val="0"/>
        <w:adjustRightInd/>
        <w:spacing w:line="58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4.2.3对于日管控检查中发现的特种设备安全风险隐患问题，明确责任人，及时反馈特种设备安全总监立即采取防范措施。对于现场能立即整改的应立即整改；对于不能现场立即整改的，应明确整改期限，在后续日管控检查中跟踪验证整改落实情况。</w:t>
      </w:r>
    </w:p>
    <w:p>
      <w:pPr>
        <w:keepNext w:val="0"/>
        <w:keepLines w:val="0"/>
        <w:pageBreakBefore w:val="0"/>
        <w:widowControl w:val="0"/>
        <w:tabs>
          <w:tab w:val="left" w:pos="600"/>
        </w:tabs>
        <w:kinsoku/>
        <w:wordWrap/>
        <w:overflowPunct/>
        <w:autoSpaceDE/>
        <w:autoSpaceDN/>
        <w:bidi w:val="0"/>
        <w:adjustRightInd/>
        <w:spacing w:line="580" w:lineRule="exact"/>
        <w:ind w:firstLine="643" w:firstLineChars="200"/>
        <w:textAlignment w:val="auto"/>
        <w:outlineLvl w:val="2"/>
        <w:rPr>
          <w:rFonts w:hint="eastAsia"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4.3周排查</w:t>
      </w:r>
    </w:p>
    <w:p>
      <w:pPr>
        <w:keepNext w:val="0"/>
        <w:keepLines w:val="0"/>
        <w:pageBreakBefore w:val="0"/>
        <w:widowControl w:val="0"/>
        <w:tabs>
          <w:tab w:val="left" w:pos="600"/>
        </w:tabs>
        <w:kinsoku/>
        <w:wordWrap/>
        <w:overflowPunct/>
        <w:autoSpaceDE/>
        <w:autoSpaceDN/>
        <w:bidi w:val="0"/>
        <w:adjustRightInd/>
        <w:spacing w:line="58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4.3.1工作期间，特种设备安全总监每周至少组织1次风险隐患排查，全面排查使用过程各环节可能存在的特种设备安全风险隐患。</w:t>
      </w:r>
    </w:p>
    <w:p>
      <w:pPr>
        <w:keepNext w:val="0"/>
        <w:keepLines w:val="0"/>
        <w:pageBreakBefore w:val="0"/>
        <w:widowControl w:val="0"/>
        <w:tabs>
          <w:tab w:val="left" w:pos="600"/>
        </w:tabs>
        <w:kinsoku/>
        <w:wordWrap/>
        <w:overflowPunct/>
        <w:autoSpaceDE/>
        <w:autoSpaceDN/>
        <w:bidi w:val="0"/>
        <w:adjustRightInd/>
        <w:spacing w:line="58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4.3.2工作期间，排查可以结合日管控情况、现场自查情况、其他各渠道收集的特种设备安全信息等，分析各单位的特种设备安全管理情况，检讨日管控中存在的问题，对于频繁发生或者存在较高特种设备安全风险的问题，应制定相应的纠正预防措施，督促相关人员落实整改并进行跟踪验证整改结果。</w:t>
      </w:r>
    </w:p>
    <w:p>
      <w:pPr>
        <w:keepNext w:val="0"/>
        <w:keepLines w:val="0"/>
        <w:pageBreakBefore w:val="0"/>
        <w:widowControl w:val="0"/>
        <w:tabs>
          <w:tab w:val="left" w:pos="600"/>
        </w:tabs>
        <w:kinsoku/>
        <w:wordWrap/>
        <w:overflowPunct/>
        <w:autoSpaceDE/>
        <w:autoSpaceDN/>
        <w:bidi w:val="0"/>
        <w:adjustRightInd/>
        <w:spacing w:line="58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4.3.3对于周排查形成的《每周XX安全排查治理报告》，应及时报至特种设备安全总监，抄送相关责任负责人，使其知晓存在的特种设备安全风险，督促相关责任人采取相应的管控措施，确保特种设备安全风险可控。</w:t>
      </w:r>
    </w:p>
    <w:p>
      <w:pPr>
        <w:keepNext w:val="0"/>
        <w:keepLines w:val="0"/>
        <w:pageBreakBefore w:val="0"/>
        <w:widowControl w:val="0"/>
        <w:tabs>
          <w:tab w:val="left" w:pos="600"/>
        </w:tabs>
        <w:kinsoku/>
        <w:wordWrap/>
        <w:overflowPunct/>
        <w:autoSpaceDE/>
        <w:autoSpaceDN/>
        <w:bidi w:val="0"/>
        <w:adjustRightInd/>
        <w:spacing w:line="58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4.3.4对排查出的风险隐患，如能在短期完成治理整改的，应立即采取措施进行治理排除；对情况复杂、短期内难以治理排除的，要制订整改方案和应对预案，落实治理整改措施、整改效果、责任人和期限等，防范突发事件的发生。</w:t>
      </w:r>
    </w:p>
    <w:p>
      <w:pPr>
        <w:keepNext w:val="0"/>
        <w:keepLines w:val="0"/>
        <w:pageBreakBefore w:val="0"/>
        <w:widowControl w:val="0"/>
        <w:tabs>
          <w:tab w:val="left" w:pos="600"/>
        </w:tabs>
        <w:kinsoku/>
        <w:wordWrap/>
        <w:overflowPunct/>
        <w:autoSpaceDE/>
        <w:autoSpaceDN/>
        <w:bidi w:val="0"/>
        <w:adjustRightInd/>
        <w:spacing w:line="580" w:lineRule="exact"/>
        <w:ind w:firstLine="643" w:firstLineChars="200"/>
        <w:textAlignment w:val="auto"/>
        <w:outlineLvl w:val="2"/>
        <w:rPr>
          <w:rFonts w:hint="eastAsia"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4.4月调度</w:t>
      </w:r>
    </w:p>
    <w:p>
      <w:pPr>
        <w:keepNext w:val="0"/>
        <w:keepLines w:val="0"/>
        <w:pageBreakBefore w:val="0"/>
        <w:widowControl w:val="0"/>
        <w:tabs>
          <w:tab w:val="left" w:pos="600"/>
        </w:tabs>
        <w:kinsoku/>
        <w:wordWrap/>
        <w:overflowPunct/>
        <w:autoSpaceDE/>
        <w:autoSpaceDN/>
        <w:bidi w:val="0"/>
        <w:adjustRightInd/>
        <w:spacing w:line="58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4.4.1根据落实主体责任要求，由特种设备安全总监负责月调度具体工作的情况落实，由企业（单位）主要负责人组织召开月调度会议，听取特种设备安全总监关于特种设备安全管理工作的情况汇报</w:t>
      </w:r>
    </w:p>
    <w:p>
      <w:pPr>
        <w:keepNext w:val="0"/>
        <w:keepLines w:val="0"/>
        <w:pageBreakBefore w:val="0"/>
        <w:widowControl w:val="0"/>
        <w:tabs>
          <w:tab w:val="left" w:pos="600"/>
        </w:tabs>
        <w:kinsoku/>
        <w:wordWrap/>
        <w:overflowPunct/>
        <w:autoSpaceDE/>
        <w:autoSpaceDN/>
        <w:bidi w:val="0"/>
        <w:adjustRightInd/>
        <w:spacing w:line="58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4.4.2由特种设备安全总监汇总最近一个月度内企业（单位）的特种设备使用安全管理工作情况，主要包括日管控、周排查中发现的重大特种设备安全风险问题及整改情况，日常特种设备安全管理情况的汇总分析</w:t>
      </w:r>
    </w:p>
    <w:p>
      <w:pPr>
        <w:keepNext w:val="0"/>
        <w:keepLines w:val="0"/>
        <w:pageBreakBefore w:val="0"/>
        <w:widowControl w:val="0"/>
        <w:tabs>
          <w:tab w:val="left" w:pos="600"/>
        </w:tabs>
        <w:kinsoku/>
        <w:wordWrap/>
        <w:overflowPunct/>
        <w:autoSpaceDE/>
        <w:autoSpaceDN/>
        <w:bidi w:val="0"/>
        <w:adjustRightInd/>
        <w:spacing w:line="58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4.4.3由特种设备安全总监对近一个月内企业（单位）的特种设备使用安全管理工作情况进行汇报，对当月特种设备使用安全日常管理、风险隐患排查治理等情况进行工作总结</w:t>
      </w:r>
    </w:p>
    <w:p>
      <w:pPr>
        <w:keepNext w:val="0"/>
        <w:keepLines w:val="0"/>
        <w:pageBreakBefore w:val="0"/>
        <w:widowControl w:val="0"/>
        <w:tabs>
          <w:tab w:val="left" w:pos="600"/>
        </w:tabs>
        <w:kinsoku/>
        <w:wordWrap/>
        <w:overflowPunct/>
        <w:autoSpaceDE/>
        <w:autoSpaceDN/>
        <w:bidi w:val="0"/>
        <w:adjustRightInd/>
        <w:spacing w:line="58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4.4.4对于日常特种设备安全管理中发现存在的不足问题，由相关责任人进行报告，采取有效的应对措施进行处置</w:t>
      </w:r>
    </w:p>
    <w:p>
      <w:pPr>
        <w:keepNext w:val="0"/>
        <w:keepLines w:val="0"/>
        <w:pageBreakBefore w:val="0"/>
        <w:widowControl w:val="0"/>
        <w:tabs>
          <w:tab w:val="left" w:pos="600"/>
        </w:tabs>
        <w:kinsoku/>
        <w:wordWrap/>
        <w:overflowPunct/>
        <w:autoSpaceDE/>
        <w:autoSpaceDN/>
        <w:bidi w:val="0"/>
        <w:adjustRightInd/>
        <w:spacing w:line="580" w:lineRule="exact"/>
        <w:ind w:firstLine="640" w:firstLineChars="200"/>
        <w:textAlignment w:val="auto"/>
        <w:outlineLvl w:val="3"/>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4.4.5由企业（单位）主要负责人对特种设备安全管理工作作出指示</w:t>
      </w:r>
    </w:p>
    <w:p>
      <w:pPr>
        <w:keepNext w:val="0"/>
        <w:keepLines w:val="0"/>
        <w:pageBreakBefore w:val="0"/>
        <w:widowControl w:val="0"/>
        <w:tabs>
          <w:tab w:val="left" w:pos="600"/>
        </w:tabs>
        <w:kinsoku/>
        <w:wordWrap/>
        <w:overflowPunct/>
        <w:autoSpaceDE/>
        <w:autoSpaceDN/>
        <w:bidi w:val="0"/>
        <w:adjustRightInd/>
        <w:spacing w:line="58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4.4.6特种设备安全总监根据当月特种设备安全管理工作情况、会议讨论决议及企业（单位）主要负责人指示，制定下个月特种设备安全管理重点工作计划，并形成《每月XX安全调度会议纪要》</w:t>
      </w:r>
    </w:p>
    <w:p>
      <w:pPr>
        <w:keepNext w:val="0"/>
        <w:keepLines w:val="0"/>
        <w:pageBreakBefore w:val="0"/>
        <w:widowControl w:val="0"/>
        <w:tabs>
          <w:tab w:val="left" w:pos="600"/>
        </w:tabs>
        <w:kinsoku/>
        <w:wordWrap/>
        <w:overflowPunct/>
        <w:autoSpaceDE/>
        <w:autoSpaceDN/>
        <w:bidi w:val="0"/>
        <w:adjustRightInd/>
        <w:spacing w:line="580" w:lineRule="exact"/>
        <w:ind w:firstLine="640" w:firstLineChars="200"/>
        <w:textAlignment w:val="auto"/>
        <w:outlineLvl w:val="1"/>
        <w:rPr>
          <w:rFonts w:hint="eastAsia" w:ascii="方正仿宋_GBK" w:hAnsi="方正仿宋_GBK" w:eastAsia="方正仿宋_GBK" w:cs="方正仿宋_GBK"/>
          <w:b/>
          <w:bCs/>
          <w:sz w:val="32"/>
          <w:szCs w:val="32"/>
        </w:rPr>
      </w:pPr>
      <w:bookmarkStart w:id="310" w:name="_Toc9902"/>
      <w:bookmarkStart w:id="311" w:name="_Toc6527"/>
      <w:bookmarkStart w:id="312" w:name="_Toc25582"/>
      <w:bookmarkStart w:id="313" w:name="_Toc15940"/>
      <w:r>
        <w:rPr>
          <w:rFonts w:hint="eastAsia" w:ascii="方正仿宋_GBK" w:hAnsi="方正仿宋_GBK" w:eastAsia="方正仿宋_GBK" w:cs="方正仿宋_GBK"/>
          <w:sz w:val="32"/>
          <w:szCs w:val="32"/>
        </w:rPr>
        <w:t>5</w:t>
      </w:r>
      <w:r>
        <w:rPr>
          <w:rFonts w:hint="eastAsia" w:ascii="方正仿宋_GBK" w:hAnsi="方正仿宋_GBK" w:eastAsia="方正仿宋_GBK" w:cs="方正仿宋_GBK"/>
          <w:b/>
          <w:bCs/>
          <w:sz w:val="32"/>
          <w:szCs w:val="32"/>
        </w:rPr>
        <w:t>记录</w:t>
      </w:r>
      <w:bookmarkEnd w:id="310"/>
      <w:bookmarkEnd w:id="311"/>
      <w:bookmarkEnd w:id="312"/>
      <w:bookmarkEnd w:id="313"/>
    </w:p>
    <w:p>
      <w:pPr>
        <w:keepNext w:val="0"/>
        <w:keepLines w:val="0"/>
        <w:pageBreakBefore w:val="0"/>
        <w:widowControl w:val="0"/>
        <w:kinsoku/>
        <w:wordWrap/>
        <w:overflowPunct/>
        <w:autoSpaceDE/>
        <w:autoSpaceDN/>
        <w:bidi w:val="0"/>
        <w:adjustRightInd/>
        <w:spacing w:line="580" w:lineRule="exact"/>
        <w:ind w:firstLine="640" w:firstLineChars="200"/>
        <w:textAlignment w:val="auto"/>
        <w:rPr>
          <w:rFonts w:hint="eastAsia" w:ascii="方正仿宋_GBK" w:hAnsi="方正仿宋_GBK" w:eastAsia="方正仿宋_GBK" w:cs="方正仿宋_GBK"/>
          <w:sz w:val="32"/>
          <w:szCs w:val="32"/>
        </w:rPr>
      </w:pPr>
      <w:bookmarkStart w:id="314" w:name="_Toc15138_WPSOffice_Level2"/>
      <w:r>
        <w:rPr>
          <w:rFonts w:hint="eastAsia" w:ascii="方正仿宋_GBK" w:hAnsi="方正仿宋_GBK" w:eastAsia="方正仿宋_GBK" w:cs="方正仿宋_GBK"/>
          <w:sz w:val="32"/>
          <w:szCs w:val="32"/>
        </w:rPr>
        <w:t>5.1XX安全风险管控清单</w:t>
      </w:r>
      <w:bookmarkEnd w:id="314"/>
    </w:p>
    <w:p>
      <w:pPr>
        <w:keepNext w:val="0"/>
        <w:keepLines w:val="0"/>
        <w:pageBreakBefore w:val="0"/>
        <w:widowControl w:val="0"/>
        <w:kinsoku/>
        <w:wordWrap/>
        <w:overflowPunct/>
        <w:autoSpaceDE/>
        <w:autoSpaceDN/>
        <w:bidi w:val="0"/>
        <w:adjustRightInd/>
        <w:spacing w:line="580" w:lineRule="exact"/>
        <w:ind w:firstLine="640" w:firstLineChars="200"/>
        <w:textAlignment w:val="auto"/>
        <w:rPr>
          <w:rFonts w:hint="eastAsia" w:ascii="方正仿宋_GBK" w:hAnsi="方正仿宋_GBK" w:eastAsia="方正仿宋_GBK" w:cs="方正仿宋_GBK"/>
          <w:sz w:val="32"/>
          <w:szCs w:val="32"/>
        </w:rPr>
      </w:pPr>
      <w:bookmarkStart w:id="315" w:name="_Toc20904_WPSOffice_Level2"/>
      <w:r>
        <w:rPr>
          <w:rFonts w:hint="eastAsia" w:ascii="方正仿宋_GBK" w:hAnsi="方正仿宋_GBK" w:eastAsia="方正仿宋_GBK" w:cs="方正仿宋_GBK"/>
          <w:sz w:val="32"/>
          <w:szCs w:val="32"/>
        </w:rPr>
        <w:t>5.2每日XX安全检查记录</w:t>
      </w:r>
      <w:bookmarkEnd w:id="315"/>
    </w:p>
    <w:p>
      <w:pPr>
        <w:keepNext w:val="0"/>
        <w:keepLines w:val="0"/>
        <w:pageBreakBefore w:val="0"/>
        <w:widowControl w:val="0"/>
        <w:kinsoku/>
        <w:wordWrap/>
        <w:overflowPunct/>
        <w:autoSpaceDE/>
        <w:autoSpaceDN/>
        <w:bidi w:val="0"/>
        <w:adjustRightInd/>
        <w:spacing w:line="580" w:lineRule="exact"/>
        <w:ind w:firstLine="640" w:firstLineChars="200"/>
        <w:textAlignment w:val="auto"/>
        <w:rPr>
          <w:rFonts w:hint="eastAsia" w:ascii="方正仿宋_GBK" w:hAnsi="方正仿宋_GBK" w:eastAsia="方正仿宋_GBK" w:cs="方正仿宋_GBK"/>
          <w:sz w:val="32"/>
          <w:szCs w:val="32"/>
        </w:rPr>
      </w:pPr>
      <w:bookmarkStart w:id="316" w:name="_Toc14617_WPSOffice_Level2"/>
      <w:r>
        <w:rPr>
          <w:rFonts w:hint="eastAsia" w:ascii="方正仿宋_GBK" w:hAnsi="方正仿宋_GBK" w:eastAsia="方正仿宋_GBK" w:cs="方正仿宋_GBK"/>
          <w:sz w:val="32"/>
          <w:szCs w:val="32"/>
        </w:rPr>
        <w:t>5.3每周XX安全排查治理报告</w:t>
      </w:r>
      <w:bookmarkEnd w:id="316"/>
    </w:p>
    <w:p>
      <w:pPr>
        <w:keepNext w:val="0"/>
        <w:keepLines w:val="0"/>
        <w:pageBreakBefore w:val="0"/>
        <w:widowControl w:val="0"/>
        <w:kinsoku/>
        <w:wordWrap/>
        <w:overflowPunct/>
        <w:topLinePunct/>
        <w:autoSpaceDE/>
        <w:autoSpaceDN/>
        <w:bidi w:val="0"/>
        <w:adjustRightInd/>
        <w:snapToGrid w:val="0"/>
        <w:spacing w:line="580" w:lineRule="exact"/>
        <w:ind w:firstLine="640" w:firstLineChars="200"/>
        <w:textAlignment w:val="auto"/>
        <w:rPr>
          <w:rFonts w:hint="eastAsia" w:ascii="方正仿宋_GBK" w:hAnsi="方正仿宋_GBK" w:eastAsia="方正仿宋_GBK" w:cs="方正仿宋_GBK"/>
          <w:sz w:val="32"/>
          <w:szCs w:val="32"/>
        </w:rPr>
      </w:pPr>
      <w:bookmarkStart w:id="317" w:name="_Toc19244_WPSOffice_Level2"/>
      <w:r>
        <w:rPr>
          <w:rFonts w:hint="eastAsia" w:ascii="方正仿宋_GBK" w:hAnsi="方正仿宋_GBK" w:eastAsia="方正仿宋_GBK" w:cs="方正仿宋_GBK"/>
          <w:sz w:val="32"/>
          <w:szCs w:val="32"/>
        </w:rPr>
        <w:t>5.4每月XX安全调度会议纪要</w:t>
      </w:r>
      <w:bookmarkEnd w:id="317"/>
    </w:p>
    <w:p>
      <w:pPr>
        <w:rPr>
          <w:rFonts w:hint="eastAsia" w:ascii="宋体" w:hAnsi="宋体"/>
          <w:b/>
          <w:bCs/>
          <w:sz w:val="44"/>
          <w:szCs w:val="44"/>
        </w:rPr>
      </w:pPr>
      <w:r>
        <w:rPr>
          <w:rFonts w:hint="eastAsia" w:ascii="宋体" w:hAnsi="宋体"/>
          <w:b/>
          <w:bCs/>
          <w:sz w:val="44"/>
          <w:szCs w:val="44"/>
        </w:rPr>
        <w:br w:type="page"/>
      </w:r>
    </w:p>
    <w:p>
      <w:pPr>
        <w:pStyle w:val="4"/>
        <w:bidi w:val="0"/>
      </w:pPr>
      <w:bookmarkStart w:id="318" w:name="_Toc29847"/>
      <w:bookmarkStart w:id="319" w:name="_Toc24022"/>
      <w:bookmarkStart w:id="320" w:name="_Toc8050_WPSOffice_Level2"/>
      <w:bookmarkStart w:id="321" w:name="_Toc27469"/>
      <w:bookmarkStart w:id="322" w:name="_Toc12399"/>
      <w:r>
        <w:rPr>
          <w:rFonts w:hint="eastAsia"/>
        </w:rPr>
        <w:t>每日XX安全检查记录</w:t>
      </w:r>
      <w:bookmarkEnd w:id="318"/>
      <w:bookmarkEnd w:id="319"/>
      <w:bookmarkEnd w:id="320"/>
      <w:bookmarkEnd w:id="321"/>
      <w:bookmarkEnd w:id="322"/>
    </w:p>
    <w:p>
      <w:pPr>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检查日期：         年    月    日</w:t>
      </w:r>
    </w:p>
    <w:tbl>
      <w:tblPr>
        <w:tblStyle w:val="12"/>
        <w:tblW w:w="89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7"/>
        <w:gridCol w:w="1657"/>
        <w:gridCol w:w="2576"/>
        <w:gridCol w:w="1431"/>
        <w:gridCol w:w="1367"/>
        <w:gridCol w:w="1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85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
                <w:bCs/>
                <w:sz w:val="24"/>
                <w:szCs w:val="32"/>
              </w:rPr>
            </w:pPr>
            <w:r>
              <w:rPr>
                <w:rFonts w:hint="eastAsia" w:asciiTheme="minorEastAsia" w:hAnsiTheme="minorEastAsia" w:eastAsiaTheme="minorEastAsia" w:cstheme="minorEastAsia"/>
                <w:b/>
                <w:bCs/>
                <w:sz w:val="24"/>
                <w:szCs w:val="32"/>
              </w:rPr>
              <w:t>序号</w:t>
            </w:r>
          </w:p>
        </w:tc>
        <w:tc>
          <w:tcPr>
            <w:tcW w:w="165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
                <w:bCs/>
                <w:sz w:val="24"/>
                <w:szCs w:val="32"/>
              </w:rPr>
            </w:pPr>
            <w:r>
              <w:rPr>
                <w:rFonts w:hint="eastAsia" w:asciiTheme="minorEastAsia" w:hAnsiTheme="minorEastAsia" w:eastAsiaTheme="minorEastAsia" w:cstheme="minorEastAsia"/>
                <w:b/>
                <w:bCs/>
                <w:sz w:val="24"/>
                <w:szCs w:val="32"/>
              </w:rPr>
              <w:t>检查项目</w:t>
            </w:r>
          </w:p>
        </w:tc>
        <w:tc>
          <w:tcPr>
            <w:tcW w:w="25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
                <w:bCs/>
                <w:sz w:val="24"/>
                <w:szCs w:val="32"/>
              </w:rPr>
            </w:pPr>
            <w:r>
              <w:rPr>
                <w:rFonts w:hint="eastAsia" w:asciiTheme="minorEastAsia" w:hAnsiTheme="minorEastAsia" w:eastAsiaTheme="minorEastAsia" w:cstheme="minorEastAsia"/>
                <w:b/>
                <w:bCs/>
                <w:sz w:val="24"/>
                <w:szCs w:val="32"/>
              </w:rPr>
              <w:t>检查内容</w:t>
            </w:r>
          </w:p>
        </w:tc>
        <w:tc>
          <w:tcPr>
            <w:tcW w:w="14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
                <w:bCs/>
                <w:sz w:val="24"/>
                <w:szCs w:val="32"/>
              </w:rPr>
            </w:pPr>
            <w:r>
              <w:rPr>
                <w:rFonts w:hint="eastAsia" w:asciiTheme="minorEastAsia" w:hAnsiTheme="minorEastAsia" w:eastAsiaTheme="minorEastAsia" w:cstheme="minorEastAsia"/>
                <w:b/>
                <w:bCs/>
                <w:sz w:val="24"/>
                <w:szCs w:val="32"/>
              </w:rPr>
              <w:t>检查结果</w:t>
            </w:r>
          </w:p>
        </w:tc>
        <w:tc>
          <w:tcPr>
            <w:tcW w:w="13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
                <w:bCs/>
                <w:sz w:val="24"/>
                <w:szCs w:val="32"/>
              </w:rPr>
            </w:pPr>
            <w:r>
              <w:rPr>
                <w:rFonts w:hint="eastAsia" w:asciiTheme="minorEastAsia" w:hAnsiTheme="minorEastAsia" w:eastAsiaTheme="minorEastAsia" w:cstheme="minorEastAsia"/>
                <w:b/>
                <w:bCs/>
                <w:sz w:val="24"/>
                <w:szCs w:val="32"/>
              </w:rPr>
              <w:t>处理结果</w:t>
            </w:r>
          </w:p>
        </w:tc>
        <w:tc>
          <w:tcPr>
            <w:tcW w:w="10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
                <w:bCs/>
                <w:sz w:val="24"/>
                <w:szCs w:val="32"/>
              </w:rPr>
            </w:pPr>
            <w:r>
              <w:rPr>
                <w:rFonts w:hint="eastAsia" w:asciiTheme="minorEastAsia" w:hAnsiTheme="minorEastAsia" w:eastAsiaTheme="minorEastAsia" w:cstheme="minorEastAsia"/>
                <w:b/>
                <w:bCs/>
                <w:sz w:val="24"/>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5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1</w:t>
            </w:r>
          </w:p>
        </w:tc>
        <w:tc>
          <w:tcPr>
            <w:tcW w:w="165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人员</w:t>
            </w:r>
          </w:p>
        </w:tc>
        <w:tc>
          <w:tcPr>
            <w:tcW w:w="25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按检查项目细化，如：人员配备、违章作业、安全教育等</w:t>
            </w:r>
          </w:p>
        </w:tc>
        <w:tc>
          <w:tcPr>
            <w:tcW w:w="14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rPr>
            </w:pPr>
          </w:p>
        </w:tc>
        <w:tc>
          <w:tcPr>
            <w:tcW w:w="13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rPr>
            </w:pPr>
          </w:p>
        </w:tc>
        <w:tc>
          <w:tcPr>
            <w:tcW w:w="10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4" w:hRule="atLeast"/>
          <w:jc w:val="center"/>
        </w:trPr>
        <w:tc>
          <w:tcPr>
            <w:tcW w:w="85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2</w:t>
            </w:r>
          </w:p>
        </w:tc>
        <w:tc>
          <w:tcPr>
            <w:tcW w:w="165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设备本体</w:t>
            </w:r>
          </w:p>
        </w:tc>
        <w:tc>
          <w:tcPr>
            <w:tcW w:w="25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设备定期检验、自行检查、设备本体、安全附件、安全保护装置、有无事故隐患等</w:t>
            </w:r>
          </w:p>
        </w:tc>
        <w:tc>
          <w:tcPr>
            <w:tcW w:w="14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rPr>
            </w:pPr>
          </w:p>
        </w:tc>
        <w:tc>
          <w:tcPr>
            <w:tcW w:w="13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rPr>
            </w:pPr>
          </w:p>
        </w:tc>
        <w:tc>
          <w:tcPr>
            <w:tcW w:w="10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85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3</w:t>
            </w:r>
          </w:p>
        </w:tc>
        <w:tc>
          <w:tcPr>
            <w:tcW w:w="165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安全附件或安全保护装置</w:t>
            </w:r>
          </w:p>
        </w:tc>
        <w:tc>
          <w:tcPr>
            <w:tcW w:w="25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left"/>
              <w:textAlignment w:val="auto"/>
              <w:rPr>
                <w:rFonts w:hint="eastAsia" w:asciiTheme="minorEastAsia" w:hAnsiTheme="minorEastAsia" w:eastAsiaTheme="minorEastAsia" w:cstheme="minorEastAsia"/>
                <w:bCs/>
                <w:sz w:val="24"/>
              </w:rPr>
            </w:pPr>
          </w:p>
        </w:tc>
        <w:tc>
          <w:tcPr>
            <w:tcW w:w="14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rPr>
            </w:pPr>
          </w:p>
        </w:tc>
        <w:tc>
          <w:tcPr>
            <w:tcW w:w="13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rPr>
            </w:pPr>
          </w:p>
        </w:tc>
        <w:tc>
          <w:tcPr>
            <w:tcW w:w="10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85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4</w:t>
            </w:r>
          </w:p>
        </w:tc>
        <w:tc>
          <w:tcPr>
            <w:tcW w:w="165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环境</w:t>
            </w:r>
          </w:p>
        </w:tc>
        <w:tc>
          <w:tcPr>
            <w:tcW w:w="25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rPr>
            </w:pPr>
          </w:p>
        </w:tc>
        <w:tc>
          <w:tcPr>
            <w:tcW w:w="14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rPr>
            </w:pPr>
          </w:p>
        </w:tc>
        <w:tc>
          <w:tcPr>
            <w:tcW w:w="13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rPr>
            </w:pPr>
          </w:p>
        </w:tc>
        <w:tc>
          <w:tcPr>
            <w:tcW w:w="10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85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5</w:t>
            </w:r>
          </w:p>
        </w:tc>
        <w:tc>
          <w:tcPr>
            <w:tcW w:w="165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rPr>
              <w:t>政府监督、通报、预警</w:t>
            </w:r>
          </w:p>
        </w:tc>
        <w:tc>
          <w:tcPr>
            <w:tcW w:w="25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rPr>
            </w:pPr>
          </w:p>
        </w:tc>
        <w:tc>
          <w:tcPr>
            <w:tcW w:w="14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rPr>
            </w:pPr>
          </w:p>
        </w:tc>
        <w:tc>
          <w:tcPr>
            <w:tcW w:w="13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rPr>
            </w:pPr>
          </w:p>
        </w:tc>
        <w:tc>
          <w:tcPr>
            <w:tcW w:w="10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85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6</w:t>
            </w:r>
          </w:p>
        </w:tc>
        <w:tc>
          <w:tcPr>
            <w:tcW w:w="165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rPr>
              <w:t>投诉举报</w:t>
            </w:r>
          </w:p>
        </w:tc>
        <w:tc>
          <w:tcPr>
            <w:tcW w:w="25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rPr>
            </w:pPr>
          </w:p>
        </w:tc>
        <w:tc>
          <w:tcPr>
            <w:tcW w:w="14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rPr>
            </w:pPr>
          </w:p>
        </w:tc>
        <w:tc>
          <w:tcPr>
            <w:tcW w:w="13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rPr>
            </w:pPr>
          </w:p>
        </w:tc>
        <w:tc>
          <w:tcPr>
            <w:tcW w:w="10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85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7</w:t>
            </w:r>
          </w:p>
        </w:tc>
        <w:tc>
          <w:tcPr>
            <w:tcW w:w="165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舆情信息</w:t>
            </w:r>
          </w:p>
        </w:tc>
        <w:tc>
          <w:tcPr>
            <w:tcW w:w="25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rPr>
            </w:pPr>
          </w:p>
        </w:tc>
        <w:tc>
          <w:tcPr>
            <w:tcW w:w="14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rPr>
            </w:pPr>
          </w:p>
        </w:tc>
        <w:tc>
          <w:tcPr>
            <w:tcW w:w="13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rPr>
            </w:pPr>
          </w:p>
        </w:tc>
        <w:tc>
          <w:tcPr>
            <w:tcW w:w="10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85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8</w:t>
            </w:r>
          </w:p>
        </w:tc>
        <w:tc>
          <w:tcPr>
            <w:tcW w:w="165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p>
        </w:tc>
        <w:tc>
          <w:tcPr>
            <w:tcW w:w="25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rPr>
            </w:pPr>
          </w:p>
        </w:tc>
        <w:tc>
          <w:tcPr>
            <w:tcW w:w="14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rPr>
            </w:pPr>
          </w:p>
        </w:tc>
        <w:tc>
          <w:tcPr>
            <w:tcW w:w="13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rPr>
            </w:pPr>
          </w:p>
        </w:tc>
        <w:tc>
          <w:tcPr>
            <w:tcW w:w="10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85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9</w:t>
            </w:r>
          </w:p>
        </w:tc>
        <w:tc>
          <w:tcPr>
            <w:tcW w:w="165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p>
        </w:tc>
        <w:tc>
          <w:tcPr>
            <w:tcW w:w="25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rPr>
            </w:pPr>
          </w:p>
        </w:tc>
        <w:tc>
          <w:tcPr>
            <w:tcW w:w="14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rPr>
            </w:pPr>
          </w:p>
        </w:tc>
        <w:tc>
          <w:tcPr>
            <w:tcW w:w="13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rPr>
            </w:pPr>
          </w:p>
        </w:tc>
        <w:tc>
          <w:tcPr>
            <w:tcW w:w="10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85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10</w:t>
            </w:r>
          </w:p>
        </w:tc>
        <w:tc>
          <w:tcPr>
            <w:tcW w:w="165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rPr>
            </w:pPr>
          </w:p>
        </w:tc>
        <w:tc>
          <w:tcPr>
            <w:tcW w:w="25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rPr>
            </w:pPr>
          </w:p>
        </w:tc>
        <w:tc>
          <w:tcPr>
            <w:tcW w:w="14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rPr>
            </w:pPr>
          </w:p>
        </w:tc>
        <w:tc>
          <w:tcPr>
            <w:tcW w:w="13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Cs/>
                <w:sz w:val="24"/>
              </w:rPr>
            </w:pPr>
          </w:p>
        </w:tc>
        <w:tc>
          <w:tcPr>
            <w:tcW w:w="10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2" w:hRule="atLeast"/>
          <w:jc w:val="center"/>
        </w:trPr>
        <w:tc>
          <w:tcPr>
            <w:tcW w:w="8937" w:type="dxa"/>
            <w:gridSpan w:val="6"/>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left"/>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采取的防范措施：</w:t>
            </w:r>
          </w:p>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32"/>
              </w:rPr>
            </w:pPr>
          </w:p>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32"/>
              </w:rPr>
            </w:pPr>
          </w:p>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32"/>
              </w:rPr>
            </w:pPr>
          </w:p>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32"/>
              </w:rPr>
            </w:pPr>
          </w:p>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32"/>
              </w:rPr>
            </w:pPr>
          </w:p>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32"/>
              </w:rPr>
            </w:pPr>
          </w:p>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32"/>
              </w:rPr>
            </w:pPr>
          </w:p>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32"/>
              </w:rPr>
            </w:pPr>
          </w:p>
          <w:p>
            <w:pPr>
              <w:keepNext w:val="0"/>
              <w:keepLines w:val="0"/>
              <w:pageBreakBefore w:val="0"/>
              <w:widowControl w:val="0"/>
              <w:kinsoku/>
              <w:wordWrap/>
              <w:overflowPunct/>
              <w:topLinePunct w:val="0"/>
              <w:autoSpaceDE/>
              <w:autoSpaceDN/>
              <w:bidi w:val="0"/>
              <w:adjustRightInd/>
              <w:snapToGrid/>
              <w:spacing w:line="320" w:lineRule="exact"/>
              <w:ind w:firstLine="960" w:firstLineChars="4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bCs/>
                <w:sz w:val="24"/>
                <w:szCs w:val="32"/>
              </w:rPr>
              <w:t>安全员：</w:t>
            </w:r>
          </w:p>
        </w:tc>
      </w:tr>
    </w:tbl>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bCs/>
          <w:sz w:val="24"/>
          <w:szCs w:val="32"/>
        </w:rPr>
      </w:pPr>
      <w:r>
        <w:rPr>
          <w:rFonts w:hint="eastAsia" w:asciiTheme="minorEastAsia" w:hAnsiTheme="minorEastAsia" w:eastAsiaTheme="minorEastAsia" w:cstheme="minorEastAsia"/>
          <w:bCs/>
          <w:sz w:val="24"/>
          <w:szCs w:val="32"/>
        </w:rPr>
        <w:t>注：1.以上检查结果合格直接打“√”，若有不合格则在“检查结果”栏内填写不合格具体情况，同时填写处理结果。</w:t>
      </w:r>
    </w:p>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bCs/>
          <w:sz w:val="24"/>
          <w:szCs w:val="32"/>
        </w:rPr>
      </w:pPr>
      <w:r>
        <w:rPr>
          <w:rFonts w:hint="eastAsia" w:asciiTheme="minorEastAsia" w:hAnsiTheme="minorEastAsia" w:eastAsiaTheme="minorEastAsia" w:cstheme="minorEastAsia"/>
          <w:bCs/>
          <w:sz w:val="24"/>
          <w:szCs w:val="32"/>
        </w:rPr>
        <w:t>2.以上为例表，特种设备生产单位可根据本单位的《XX安全风险管控清单》调整检查项目，细化检查内容。</w:t>
      </w:r>
    </w:p>
    <w:p>
      <w:pPr>
        <w:pStyle w:val="4"/>
        <w:bidi w:val="0"/>
      </w:pPr>
      <w:bookmarkStart w:id="323" w:name="_Toc21765"/>
      <w:bookmarkStart w:id="324" w:name="_Toc17358"/>
      <w:bookmarkStart w:id="325" w:name="_Toc11823"/>
      <w:bookmarkStart w:id="326" w:name="_Toc27408"/>
      <w:bookmarkStart w:id="327" w:name="_Toc6157_WPSOffice_Level2"/>
      <w:r>
        <w:rPr>
          <w:rFonts w:hint="eastAsia"/>
        </w:rPr>
        <w:t>每周XX安全排查报告</w:t>
      </w:r>
      <w:bookmarkEnd w:id="323"/>
      <w:bookmarkEnd w:id="324"/>
      <w:bookmarkEnd w:id="325"/>
      <w:bookmarkEnd w:id="326"/>
      <w:bookmarkEnd w:id="327"/>
    </w:p>
    <w:p>
      <w:pPr>
        <w:pStyle w:val="17"/>
        <w:ind w:firstLine="480" w:firstLineChars="200"/>
        <w:rPr>
          <w:rFonts w:cs="仿宋_GB2312" w:asciiTheme="minorEastAsia" w:hAnsiTheme="minorEastAsia" w:eastAsiaTheme="minorEastAsia"/>
          <w:sz w:val="24"/>
          <w:szCs w:val="22"/>
        </w:rPr>
      </w:pPr>
    </w:p>
    <w:p>
      <w:pPr>
        <w:pStyle w:val="17"/>
        <w:ind w:firstLine="480" w:firstLineChars="200"/>
        <w:rPr>
          <w:rFonts w:hint="eastAsia" w:ascii="宋体" w:hAnsi="宋体" w:cs="宋体"/>
          <w:b/>
          <w:bCs/>
          <w:sz w:val="24"/>
          <w:szCs w:val="24"/>
        </w:rPr>
      </w:pPr>
      <w:r>
        <w:rPr>
          <w:rFonts w:hint="eastAsia" w:ascii="宋体" w:hAnsi="宋体" w:cs="宋体"/>
          <w:sz w:val="24"/>
          <w:szCs w:val="24"/>
        </w:rPr>
        <w:t>日期:        年  月  日                             第    周</w:t>
      </w:r>
      <w:r>
        <w:rPr>
          <w:rFonts w:hint="eastAsia" w:cs="仿宋_GB2312" w:asciiTheme="minorEastAsia" w:hAnsiTheme="minorEastAsia" w:eastAsiaTheme="minorEastAsia"/>
          <w:sz w:val="24"/>
          <w:szCs w:val="24"/>
        </w:rPr>
        <w:t xml:space="preserve"> </w:t>
      </w:r>
      <w:r>
        <w:rPr>
          <w:rFonts w:hint="eastAsia" w:ascii="宋体" w:hAnsi="宋体" w:cs="宋体"/>
          <w:b/>
          <w:bCs/>
          <w:sz w:val="24"/>
          <w:szCs w:val="24"/>
        </w:rPr>
        <w:t xml:space="preserve"> </w:t>
      </w:r>
    </w:p>
    <w:tbl>
      <w:tblPr>
        <w:tblStyle w:val="12"/>
        <w:tblpPr w:leftFromText="180" w:rightFromText="180" w:vertAnchor="text" w:horzAnchor="page" w:tblpXSpec="center" w:tblpY="44"/>
        <w:tblOverlap w:val="never"/>
        <w:tblW w:w="5099" w:type="pct"/>
        <w:jc w:val="center"/>
        <w:tblLayout w:type="autofit"/>
        <w:tblCellMar>
          <w:top w:w="0" w:type="dxa"/>
          <w:left w:w="108" w:type="dxa"/>
          <w:bottom w:w="0" w:type="dxa"/>
          <w:right w:w="108" w:type="dxa"/>
        </w:tblCellMar>
      </w:tblPr>
      <w:tblGrid>
        <w:gridCol w:w="2254"/>
        <w:gridCol w:w="7218"/>
      </w:tblGrid>
      <w:tr>
        <w:tblPrEx>
          <w:tblCellMar>
            <w:top w:w="0" w:type="dxa"/>
            <w:left w:w="108" w:type="dxa"/>
            <w:bottom w:w="0" w:type="dxa"/>
            <w:right w:w="108" w:type="dxa"/>
          </w:tblCellMar>
        </w:tblPrEx>
        <w:trPr>
          <w:trHeight w:val="2288" w:hRule="atLeast"/>
          <w:jc w:val="center"/>
        </w:trPr>
        <w:tc>
          <w:tcPr>
            <w:tcW w:w="1190" w:type="pct"/>
            <w:tcBorders>
              <w:top w:val="single" w:color="000000" w:sz="4" w:space="0"/>
              <w:left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上周安全风险隐患问题整改核实情况</w:t>
            </w:r>
          </w:p>
        </w:tc>
        <w:tc>
          <w:tcPr>
            <w:tcW w:w="380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szCs w:val="24"/>
              </w:rPr>
            </w:pPr>
          </w:p>
          <w:p>
            <w:pPr>
              <w:pStyle w:val="17"/>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szCs w:val="24"/>
              </w:rPr>
            </w:pPr>
          </w:p>
          <w:p>
            <w:pPr>
              <w:pStyle w:val="17"/>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szCs w:val="24"/>
              </w:rPr>
            </w:pPr>
          </w:p>
          <w:p>
            <w:pPr>
              <w:pStyle w:val="17"/>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szCs w:val="24"/>
              </w:rPr>
            </w:pPr>
          </w:p>
        </w:tc>
      </w:tr>
      <w:tr>
        <w:tblPrEx>
          <w:tblCellMar>
            <w:top w:w="0" w:type="dxa"/>
            <w:left w:w="108" w:type="dxa"/>
            <w:bottom w:w="0" w:type="dxa"/>
            <w:right w:w="108" w:type="dxa"/>
          </w:tblCellMar>
        </w:tblPrEx>
        <w:trPr>
          <w:trHeight w:val="2452" w:hRule="atLeast"/>
          <w:jc w:val="center"/>
        </w:trPr>
        <w:tc>
          <w:tcPr>
            <w:tcW w:w="119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本周主要安全风险隐患和整改情况</w:t>
            </w:r>
          </w:p>
        </w:tc>
        <w:tc>
          <w:tcPr>
            <w:tcW w:w="380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ind w:firstLine="0" w:firstLineChars="0"/>
              <w:jc w:val="center"/>
              <w:rPr>
                <w:rFonts w:hint="eastAsia" w:asciiTheme="minorEastAsia" w:hAnsiTheme="minorEastAsia" w:eastAsiaTheme="minorEastAsia" w:cstheme="minorEastAsia"/>
                <w:sz w:val="24"/>
                <w:szCs w:val="24"/>
              </w:rPr>
            </w:pPr>
          </w:p>
          <w:p>
            <w:pPr>
              <w:pStyle w:val="17"/>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szCs w:val="24"/>
              </w:rPr>
            </w:pPr>
          </w:p>
          <w:p>
            <w:pPr>
              <w:pStyle w:val="17"/>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szCs w:val="24"/>
              </w:rPr>
            </w:pPr>
          </w:p>
        </w:tc>
      </w:tr>
      <w:tr>
        <w:tblPrEx>
          <w:tblCellMar>
            <w:top w:w="0" w:type="dxa"/>
            <w:left w:w="108" w:type="dxa"/>
            <w:bottom w:w="0" w:type="dxa"/>
            <w:right w:w="108" w:type="dxa"/>
          </w:tblCellMar>
        </w:tblPrEx>
        <w:trPr>
          <w:trHeight w:val="1892" w:hRule="atLeast"/>
          <w:jc w:val="center"/>
        </w:trPr>
        <w:tc>
          <w:tcPr>
            <w:tcW w:w="119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本周安全管理</w:t>
            </w:r>
          </w:p>
          <w:p>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情况评价</w:t>
            </w:r>
          </w:p>
        </w:tc>
        <w:tc>
          <w:tcPr>
            <w:tcW w:w="3809" w:type="pct"/>
            <w:tcBorders>
              <w:top w:val="single" w:color="000000" w:sz="4" w:space="0"/>
              <w:left w:val="single" w:color="000000" w:sz="4" w:space="0"/>
              <w:bottom w:val="single" w:color="000000" w:sz="4" w:space="0"/>
              <w:right w:val="single" w:color="000000" w:sz="4" w:space="0"/>
            </w:tcBorders>
            <w:vAlign w:val="center"/>
          </w:tcPr>
          <w:p>
            <w:pPr>
              <w:pStyle w:val="17"/>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安全风险可控，无较大安全风险隐患</w:t>
            </w:r>
          </w:p>
          <w:p>
            <w:pPr>
              <w:pStyle w:val="17"/>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存在安全风险隐患，需尽快采取防范措施</w:t>
            </w:r>
          </w:p>
        </w:tc>
      </w:tr>
      <w:tr>
        <w:tblPrEx>
          <w:tblCellMar>
            <w:top w:w="0" w:type="dxa"/>
            <w:left w:w="108" w:type="dxa"/>
            <w:bottom w:w="0" w:type="dxa"/>
            <w:right w:w="108" w:type="dxa"/>
          </w:tblCellMar>
        </w:tblPrEx>
        <w:trPr>
          <w:trHeight w:val="1459" w:hRule="atLeast"/>
          <w:jc w:val="center"/>
        </w:trPr>
        <w:tc>
          <w:tcPr>
            <w:tcW w:w="1190" w:type="pct"/>
            <w:tcBorders>
              <w:top w:val="single" w:color="000000" w:sz="4" w:space="0"/>
              <w:left w:val="single" w:color="000000" w:sz="4" w:space="0"/>
              <w:bottom w:val="single" w:color="000000" w:sz="4" w:space="0"/>
              <w:right w:val="single" w:color="000000" w:sz="4" w:space="0"/>
            </w:tcBorders>
            <w:vAlign w:val="center"/>
          </w:tcPr>
          <w:p>
            <w:pPr>
              <w:pStyle w:val="17"/>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下周工作重点</w:t>
            </w:r>
          </w:p>
        </w:tc>
        <w:tc>
          <w:tcPr>
            <w:tcW w:w="3809" w:type="pct"/>
            <w:tcBorders>
              <w:top w:val="single" w:color="000000" w:sz="4" w:space="0"/>
              <w:left w:val="single" w:color="000000" w:sz="4" w:space="0"/>
              <w:bottom w:val="single" w:color="000000" w:sz="4" w:space="0"/>
              <w:right w:val="single" w:color="000000" w:sz="4" w:space="0"/>
            </w:tcBorders>
            <w:vAlign w:val="center"/>
          </w:tcPr>
          <w:p>
            <w:pPr>
              <w:pStyle w:val="17"/>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szCs w:val="24"/>
              </w:rPr>
            </w:pPr>
          </w:p>
          <w:p>
            <w:pPr>
              <w:pStyle w:val="17"/>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szCs w:val="24"/>
              </w:rPr>
            </w:pPr>
          </w:p>
          <w:p>
            <w:pPr>
              <w:pStyle w:val="17"/>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szCs w:val="24"/>
              </w:rPr>
            </w:pPr>
          </w:p>
          <w:p>
            <w:pPr>
              <w:pStyle w:val="17"/>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szCs w:val="24"/>
              </w:rPr>
            </w:pPr>
          </w:p>
          <w:p>
            <w:pPr>
              <w:pStyle w:val="17"/>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szCs w:val="24"/>
              </w:rPr>
            </w:pPr>
          </w:p>
          <w:p>
            <w:pPr>
              <w:pStyle w:val="17"/>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szCs w:val="24"/>
              </w:rPr>
            </w:pPr>
          </w:p>
        </w:tc>
      </w:tr>
      <w:tr>
        <w:tblPrEx>
          <w:tblCellMar>
            <w:top w:w="0" w:type="dxa"/>
            <w:left w:w="108" w:type="dxa"/>
            <w:bottom w:w="0" w:type="dxa"/>
            <w:right w:w="108" w:type="dxa"/>
          </w:tblCellMar>
        </w:tblPrEx>
        <w:trPr>
          <w:trHeight w:val="1584" w:hRule="atLeast"/>
          <w:jc w:val="center"/>
        </w:trPr>
        <w:tc>
          <w:tcPr>
            <w:tcW w:w="5000" w:type="pct"/>
            <w:gridSpan w:val="2"/>
            <w:tcBorders>
              <w:top w:val="single" w:color="000000" w:sz="4" w:space="0"/>
              <w:left w:val="single" w:color="000000" w:sz="4" w:space="0"/>
              <w:bottom w:val="single" w:color="000000" w:sz="4" w:space="0"/>
              <w:right w:val="single" w:color="000000" w:sz="4" w:space="0"/>
            </w:tcBorders>
            <w:vAlign w:val="center"/>
          </w:tcPr>
          <w:p>
            <w:pPr>
              <w:pStyle w:val="17"/>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安全管理员意见：                  </w:t>
            </w:r>
          </w:p>
          <w:p>
            <w:pPr>
              <w:pStyle w:val="17"/>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szCs w:val="24"/>
              </w:rPr>
            </w:pPr>
          </w:p>
          <w:p>
            <w:pPr>
              <w:pStyle w:val="17"/>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szCs w:val="24"/>
              </w:rPr>
            </w:pPr>
          </w:p>
          <w:p>
            <w:pPr>
              <w:pStyle w:val="17"/>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签名：                                  年   月   日</w:t>
            </w:r>
          </w:p>
        </w:tc>
      </w:tr>
      <w:tr>
        <w:tblPrEx>
          <w:tblCellMar>
            <w:top w:w="0" w:type="dxa"/>
            <w:left w:w="108" w:type="dxa"/>
            <w:bottom w:w="0" w:type="dxa"/>
            <w:right w:w="108" w:type="dxa"/>
          </w:tblCellMar>
        </w:tblPrEx>
        <w:trPr>
          <w:trHeight w:val="1288" w:hRule="atLeast"/>
          <w:jc w:val="center"/>
        </w:trPr>
        <w:tc>
          <w:tcPr>
            <w:tcW w:w="5000" w:type="pct"/>
            <w:gridSpan w:val="2"/>
            <w:tcBorders>
              <w:top w:val="single" w:color="000000" w:sz="4" w:space="0"/>
              <w:left w:val="single" w:color="000000" w:sz="4" w:space="0"/>
              <w:bottom w:val="single" w:color="000000" w:sz="4" w:space="0"/>
              <w:right w:val="single" w:color="000000" w:sz="4" w:space="0"/>
            </w:tcBorders>
            <w:vAlign w:val="center"/>
          </w:tcPr>
          <w:p>
            <w:pPr>
              <w:pStyle w:val="17"/>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安全总监意见：</w:t>
            </w:r>
          </w:p>
          <w:p>
            <w:pPr>
              <w:pStyle w:val="17"/>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szCs w:val="24"/>
              </w:rPr>
            </w:pPr>
          </w:p>
          <w:p>
            <w:pPr>
              <w:pStyle w:val="17"/>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szCs w:val="24"/>
              </w:rPr>
            </w:pPr>
          </w:p>
          <w:p>
            <w:pPr>
              <w:pStyle w:val="17"/>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szCs w:val="24"/>
              </w:rPr>
            </w:pPr>
          </w:p>
          <w:p>
            <w:pPr>
              <w:pStyle w:val="17"/>
              <w:keepNext w:val="0"/>
              <w:keepLines w:val="0"/>
              <w:pageBreakBefore w:val="0"/>
              <w:kinsoku/>
              <w:wordWrap/>
              <w:overflowPunct/>
              <w:topLinePunct w:val="0"/>
              <w:autoSpaceDE/>
              <w:autoSpaceDN/>
              <w:bidi w:val="0"/>
              <w:adjustRightInd/>
              <w:snapToGrid/>
              <w:spacing w:line="320" w:lineRule="exact"/>
              <w:ind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签名：                                  年   月   日</w:t>
            </w:r>
          </w:p>
        </w:tc>
      </w:tr>
    </w:tbl>
    <w:p>
      <w:pPr>
        <w:rPr>
          <w:rFonts w:hint="eastAsia" w:cs="方正小标宋简体" w:asciiTheme="minorEastAsia" w:hAnsiTheme="minorEastAsia"/>
          <w:b/>
          <w:sz w:val="44"/>
          <w:szCs w:val="44"/>
        </w:rPr>
      </w:pPr>
      <w:r>
        <w:rPr>
          <w:rFonts w:hint="eastAsia" w:cs="方正小标宋简体" w:asciiTheme="minorEastAsia" w:hAnsiTheme="minorEastAsia"/>
          <w:b/>
          <w:sz w:val="44"/>
          <w:szCs w:val="44"/>
        </w:rPr>
        <w:br w:type="page"/>
      </w:r>
    </w:p>
    <w:p>
      <w:pPr>
        <w:pStyle w:val="4"/>
        <w:bidi w:val="0"/>
      </w:pPr>
      <w:bookmarkStart w:id="328" w:name="_Toc6827_WPSOffice_Level2"/>
      <w:bookmarkStart w:id="329" w:name="_Toc20257_WPSOffice_Level2"/>
      <w:bookmarkStart w:id="330" w:name="_Toc29356"/>
      <w:bookmarkStart w:id="331" w:name="_Toc11129"/>
      <w:bookmarkStart w:id="332" w:name="_Toc28195"/>
      <w:bookmarkStart w:id="333" w:name="_Toc19449"/>
      <w:r>
        <w:rPr>
          <w:rFonts w:hint="eastAsia"/>
        </w:rPr>
        <w:t>每月安全调度会议纪要</w:t>
      </w:r>
      <w:bookmarkEnd w:id="328"/>
      <w:bookmarkEnd w:id="329"/>
      <w:bookmarkEnd w:id="330"/>
      <w:bookmarkEnd w:id="331"/>
      <w:bookmarkEnd w:id="332"/>
      <w:bookmarkEnd w:id="333"/>
    </w:p>
    <w:p>
      <w:pPr>
        <w:pStyle w:val="6"/>
        <w:bidi w:val="0"/>
        <w:rPr>
          <w:rFonts w:hint="default"/>
        </w:rPr>
      </w:pPr>
      <w:bookmarkStart w:id="334" w:name="_Toc32102_WPSOffice_Level1"/>
      <w:r>
        <w:t>（  ）月</w:t>
      </w:r>
      <w:bookmarkEnd w:id="334"/>
    </w:p>
    <w:tbl>
      <w:tblPr>
        <w:tblStyle w:val="12"/>
        <w:tblpPr w:leftFromText="180" w:rightFromText="180" w:vertAnchor="text" w:horzAnchor="page" w:tblpX="1516" w:tblpY="574"/>
        <w:tblOverlap w:val="never"/>
        <w:tblW w:w="504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0"/>
        <w:gridCol w:w="343"/>
        <w:gridCol w:w="2707"/>
        <w:gridCol w:w="1678"/>
        <w:gridCol w:w="3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exact"/>
        </w:trPr>
        <w:tc>
          <w:tcPr>
            <w:tcW w:w="893" w:type="pct"/>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会议时间</w:t>
            </w:r>
          </w:p>
        </w:tc>
        <w:tc>
          <w:tcPr>
            <w:tcW w:w="1445" w:type="pct"/>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p>
        </w:tc>
        <w:tc>
          <w:tcPr>
            <w:tcW w:w="896" w:type="pct"/>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会议地点</w:t>
            </w:r>
          </w:p>
        </w:tc>
        <w:tc>
          <w:tcPr>
            <w:tcW w:w="1764" w:type="pct"/>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exact"/>
        </w:trPr>
        <w:tc>
          <w:tcPr>
            <w:tcW w:w="893" w:type="pct"/>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会议主持人</w:t>
            </w:r>
          </w:p>
        </w:tc>
        <w:tc>
          <w:tcPr>
            <w:tcW w:w="1445" w:type="pct"/>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p>
        </w:tc>
        <w:tc>
          <w:tcPr>
            <w:tcW w:w="896" w:type="pct"/>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会议记录人</w:t>
            </w:r>
          </w:p>
        </w:tc>
        <w:tc>
          <w:tcPr>
            <w:tcW w:w="1764" w:type="pct"/>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0" w:hRule="exact"/>
        </w:trPr>
        <w:tc>
          <w:tcPr>
            <w:tcW w:w="5000" w:type="pct"/>
            <w:gridSpan w:val="5"/>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参会人员：</w:t>
            </w:r>
          </w:p>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szCs w:val="24"/>
              </w:rPr>
            </w:pPr>
          </w:p>
          <w:p>
            <w:pPr>
              <w:pStyle w:val="6"/>
              <w:keepNext w:val="0"/>
              <w:keepLines w:val="0"/>
              <w:pageBreakBefore w:val="0"/>
              <w:widowControl w:val="0"/>
              <w:kinsoku/>
              <w:wordWrap/>
              <w:overflowPunct/>
              <w:topLinePunct w:val="0"/>
              <w:autoSpaceDE/>
              <w:autoSpaceDN/>
              <w:bidi w:val="0"/>
              <w:adjustRightInd/>
              <w:snapToGrid/>
              <w:spacing w:beforeLines="0" w:afterLines="0" w:line="320" w:lineRule="exact"/>
              <w:ind w:firstLine="0" w:firstLineChars="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szCs w:val="24"/>
              </w:rPr>
            </w:pPr>
          </w:p>
          <w:p>
            <w:pPr>
              <w:pStyle w:val="6"/>
              <w:keepNext w:val="0"/>
              <w:keepLines w:val="0"/>
              <w:pageBreakBefore w:val="0"/>
              <w:widowControl w:val="0"/>
              <w:kinsoku/>
              <w:wordWrap/>
              <w:overflowPunct/>
              <w:topLinePunct w:val="0"/>
              <w:autoSpaceDE/>
              <w:autoSpaceDN/>
              <w:bidi w:val="0"/>
              <w:adjustRightInd/>
              <w:snapToGrid/>
              <w:spacing w:beforeLines="0" w:afterLines="0" w:line="320" w:lineRule="exact"/>
              <w:ind w:firstLine="0" w:firstLineChars="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17" w:hRule="atLeast"/>
        </w:trPr>
        <w:tc>
          <w:tcPr>
            <w:tcW w:w="5000" w:type="pct"/>
            <w:gridSpan w:val="5"/>
          </w:tcPr>
          <w:p>
            <w:pPr>
              <w:keepNext w:val="0"/>
              <w:keepLines w:val="0"/>
              <w:pageBreakBefore w:val="0"/>
              <w:widowControl w:val="0"/>
              <w:tabs>
                <w:tab w:val="left" w:pos="900"/>
              </w:tabs>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会议内容：</w:t>
            </w:r>
          </w:p>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1.本月巡查主要问题：</w:t>
            </w:r>
          </w:p>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2.本月整改方案落实情况：</w:t>
            </w:r>
          </w:p>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rPr>
            </w:pPr>
          </w:p>
          <w:p>
            <w:pPr>
              <w:keepNext w:val="0"/>
              <w:keepLines w:val="0"/>
              <w:pageBreakBefore w:val="0"/>
              <w:widowControl w:val="0"/>
              <w:numPr>
                <w:ilvl w:val="0"/>
                <w:numId w:val="8"/>
              </w:numPr>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本月还未解决的问题：</w:t>
            </w:r>
          </w:p>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4.月调度相关内容（如制度修订、人员岗位职责变化等）：</w:t>
            </w:r>
          </w:p>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5.其他安全事项：</w:t>
            </w:r>
          </w:p>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cs="Times New Roman"/>
              </w:rPr>
            </w:pPr>
          </w:p>
          <w:p>
            <w:pPr>
              <w:keepNext w:val="0"/>
              <w:keepLines w:val="0"/>
              <w:pageBreakBefore w:val="0"/>
              <w:widowControl w:val="0"/>
              <w:numPr>
                <w:ilvl w:val="0"/>
                <w:numId w:val="9"/>
              </w:numPr>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会议研究采取的措施：</w:t>
            </w:r>
          </w:p>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rPr>
            </w:pPr>
          </w:p>
          <w:p>
            <w:pPr>
              <w:pStyle w:val="6"/>
              <w:keepNext w:val="0"/>
              <w:keepLines w:val="0"/>
              <w:pageBreakBefore w:val="0"/>
              <w:widowControl w:val="0"/>
              <w:kinsoku/>
              <w:wordWrap/>
              <w:overflowPunct/>
              <w:topLinePunct w:val="0"/>
              <w:autoSpaceDE/>
              <w:autoSpaceDN/>
              <w:bidi w:val="0"/>
              <w:adjustRightInd/>
              <w:snapToGrid/>
              <w:spacing w:beforeLines="0" w:afterLines="0" w:line="320" w:lineRule="exact"/>
              <w:ind w:firstLine="0" w:firstLineChars="0"/>
              <w:jc w:val="both"/>
              <w:textAlignment w:val="auto"/>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8" w:hRule="atLeast"/>
        </w:trPr>
        <w:tc>
          <w:tcPr>
            <w:tcW w:w="710" w:type="pct"/>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备 注</w:t>
            </w:r>
          </w:p>
        </w:tc>
        <w:tc>
          <w:tcPr>
            <w:tcW w:w="4289" w:type="pct"/>
            <w:gridSpan w:val="4"/>
            <w:vAlign w:val="center"/>
          </w:tcPr>
          <w:p>
            <w:pPr>
              <w:pStyle w:val="6"/>
              <w:keepNext w:val="0"/>
              <w:keepLines w:val="0"/>
              <w:pageBreakBefore w:val="0"/>
              <w:widowControl w:val="0"/>
              <w:kinsoku/>
              <w:wordWrap/>
              <w:overflowPunct/>
              <w:topLinePunct w:val="0"/>
              <w:autoSpaceDE/>
              <w:autoSpaceDN/>
              <w:bidi w:val="0"/>
              <w:adjustRightInd/>
              <w:snapToGrid/>
              <w:spacing w:beforeLines="0" w:afterLines="0" w:line="320" w:lineRule="exact"/>
              <w:ind w:firstLine="0" w:firstLineChars="0"/>
              <w:textAlignment w:val="auto"/>
              <w:rPr>
                <w:rFonts w:hint="eastAsia" w:asciiTheme="minorEastAsia" w:hAnsiTheme="minorEastAsia" w:eastAsiaTheme="minorEastAsia" w:cstheme="minorEastAsia"/>
                <w:sz w:val="24"/>
                <w:szCs w:val="24"/>
              </w:rPr>
            </w:pPr>
          </w:p>
        </w:tc>
      </w:tr>
    </w:tbl>
    <w:p>
      <w:pPr>
        <w:rPr>
          <w:rFonts w:hint="eastAsia" w:asciiTheme="minorEastAsia" w:hAnsiTheme="minorEastAsia"/>
          <w:sz w:val="24"/>
          <w:szCs w:val="24"/>
        </w:rPr>
      </w:pPr>
      <w:r>
        <w:rPr>
          <w:rFonts w:hint="eastAsia" w:asciiTheme="minorEastAsia" w:hAnsiTheme="minorEastAsia"/>
          <w:sz w:val="24"/>
          <w:szCs w:val="24"/>
        </w:rPr>
        <w:t>附件材料：</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color w:val="FF0000"/>
          <w:w w:val="90"/>
          <w:sz w:val="84"/>
          <w:szCs w:val="84"/>
        </w:rPr>
      </w:pPr>
      <w:bookmarkStart w:id="335" w:name="_Toc23698_WPSOffice_Level1"/>
      <w:bookmarkStart w:id="336" w:name="_Toc14287"/>
      <w:bookmarkStart w:id="337" w:name="_Toc12025"/>
      <w:bookmarkStart w:id="338" w:name="_Toc15066"/>
      <w:bookmarkStart w:id="339" w:name="_Toc30483"/>
      <w:r>
        <w:rPr>
          <w:rFonts w:hint="eastAsia" w:ascii="华文中宋" w:hAnsi="华文中宋" w:eastAsia="华文中宋"/>
          <w:b/>
          <w:bCs/>
          <w:color w:val="FF0000"/>
          <w:w w:val="90"/>
          <w:sz w:val="84"/>
          <w:szCs w:val="84"/>
        </w:rPr>
        <w:t>XXXXX有限公司文件</w:t>
      </w:r>
      <w:bookmarkEnd w:id="335"/>
      <w:bookmarkEnd w:id="336"/>
      <w:bookmarkEnd w:id="337"/>
      <w:bookmarkEnd w:id="338"/>
      <w:bookmarkEnd w:id="339"/>
    </w:p>
    <w:p>
      <w:pPr>
        <w:spacing w:line="240" w:lineRule="atLeast"/>
        <w:jc w:val="center"/>
        <w:rPr>
          <w:rFonts w:ascii="仿宋_GB2312" w:hAnsi="华文中宋" w:eastAsia="仿宋_GB2312"/>
          <w:b/>
          <w:color w:val="FF0000"/>
          <w:sz w:val="30"/>
          <w:szCs w:val="30"/>
        </w:rPr>
      </w:pPr>
    </w:p>
    <w:p>
      <w:pPr>
        <w:jc w:val="center"/>
        <w:rPr>
          <w:rFonts w:ascii="仿宋_GB2312" w:hAnsi="华文中宋" w:eastAsia="仿宋_GB2312"/>
          <w:b/>
          <w:sz w:val="30"/>
          <w:szCs w:val="30"/>
        </w:rPr>
      </w:pPr>
      <w:bookmarkStart w:id="340" w:name="_Toc29558_WPSOffice_Level1"/>
      <w:r>
        <w:rPr>
          <w:rFonts w:hint="eastAsia" w:ascii="仿宋_GB2312" w:hAnsi="华文中宋" w:eastAsia="仿宋_GB2312"/>
          <w:b/>
          <w:sz w:val="30"/>
          <w:szCs w:val="30"/>
        </w:rPr>
        <w:t>文件号：</w:t>
      </w:r>
      <w:bookmarkEnd w:id="340"/>
    </w:p>
    <w:p>
      <w:pPr>
        <w:jc w:val="center"/>
        <w:rPr>
          <w:rFonts w:ascii="华文中宋" w:hAnsi="华文中宋" w:eastAsia="华文中宋"/>
          <w:b/>
          <w:sz w:val="36"/>
          <w:szCs w:val="36"/>
        </w:rPr>
      </w:pPr>
    </w:p>
    <w:p>
      <w:pPr>
        <w:jc w:val="center"/>
        <w:rPr>
          <w:rFonts w:ascii="华文中宋" w:hAnsi="华文中宋" w:eastAsia="华文中宋"/>
          <w:b/>
          <w:sz w:val="44"/>
          <w:szCs w:val="44"/>
        </w:rPr>
      </w:pPr>
      <w:bookmarkStart w:id="341" w:name="_Toc6660_WPSOffice_Level1"/>
      <w:r>
        <w:rPr>
          <w:rFonts w:hint="eastAsia" w:ascii="华文中宋" w:hAnsi="华文中宋" w:eastAsia="华文中宋"/>
          <w:b/>
          <w:sz w:val="44"/>
          <w:szCs w:val="44"/>
        </w:rPr>
        <w:t>关于落实《特种设备使用单位落实使用安全主体责任监督管理规定》的通知</w:t>
      </w:r>
      <w:bookmarkEnd w:id="341"/>
    </w:p>
    <w:p>
      <w:pPr>
        <w:jc w:val="center"/>
        <w:rPr>
          <w:rFonts w:ascii="华文中宋" w:hAnsi="华文中宋" w:eastAsia="华文中宋"/>
          <w:b/>
          <w:sz w:val="36"/>
          <w:szCs w:val="36"/>
        </w:rPr>
      </w:pPr>
    </w:p>
    <w:p>
      <w:pPr>
        <w:bidi w:val="0"/>
        <w:ind w:left="0" w:leftChars="0" w:firstLine="0" w:firstLineChars="0"/>
      </w:pPr>
      <w:r>
        <w:rPr>
          <w:rFonts w:hint="eastAsia"/>
        </w:rPr>
        <w:t>各分公司、公司各部门：</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根据国家市场监管总局关于落实《特种设备使用单位落实使用安全主体责任监督管理规定》（市场监管总局令第74号）要求，为进一步落实我公司的特种设备使用主体责任，建立长效管理机制，经研究，做出以下部署：</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1.任命XXX为安全总监，任命XXX、XXX</w:t>
      </w:r>
      <w:r>
        <w:t>…</w:t>
      </w:r>
      <w:r>
        <w:rPr>
          <w:rFonts w:hint="eastAsia"/>
        </w:rPr>
        <w:t>为安全员，根据职责规定，负责相应的风险管控和隐患排查工作。</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2.公司组织制定了《XX安全总监职责》、《XX安全员守则》、《XX安全风险管控清单》、《特种设备使用安全风险日管控、周排查、月调度管理制度》等管理制度。</w:t>
      </w: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请公司各部门认真执行。</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rPr>
      </w:pP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580" w:lineRule="exact"/>
        <w:textAlignment w:val="auto"/>
      </w:pPr>
      <w:r>
        <w:rPr>
          <w:rFonts w:hint="eastAsia"/>
        </w:rPr>
        <w:t xml:space="preserve">                                  （盖章）</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rPr>
      </w:pPr>
      <w:r>
        <w:rPr>
          <w:rFonts w:hint="eastAsia"/>
        </w:rPr>
        <w:t xml:space="preserve">                                年   月    日</w:t>
      </w:r>
    </w:p>
    <w:sectPr>
      <w:pgSz w:w="11906" w:h="16838"/>
      <w:pgMar w:top="1587" w:right="1417" w:bottom="1417" w:left="1417" w:header="851" w:footer="992" w:gutter="0"/>
      <w:pgNumType w:fmt="decimal"/>
      <w:cols w:space="0" w:num="1"/>
      <w:rtlGutter w:val="0"/>
      <w:docGrid w:type="lines" w:linePitch="453"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方正小标宋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宋体"/>
    <w:panose1 w:val="03000509000000000000"/>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7"/>
                            <w:rPr>
                              <w:rFonts w:hint="default" w:ascii="Times New Roman" w:hAnsi="Times New Roman" w:eastAsia="宋体" w:cs="Times New Roman"/>
                              <w:sz w:val="28"/>
                              <w:szCs w:val="28"/>
                              <w:lang w:eastAsia="zh-CN"/>
                            </w:rPr>
                          </w:pPr>
                          <w:r>
                            <w:rPr>
                              <w:rFonts w:hint="default" w:ascii="Times New Roman" w:hAnsi="Times New Roman" w:cs="Times New Roman"/>
                              <w:sz w:val="28"/>
                              <w:szCs w:val="28"/>
                              <w:lang w:eastAsia="zh-CN"/>
                            </w:rPr>
                            <w:t>—</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pPr>
                      <w:pStyle w:val="7"/>
                      <w:rPr>
                        <w:rFonts w:hint="default" w:ascii="Times New Roman" w:hAnsi="Times New Roman" w:eastAsia="宋体" w:cs="Times New Roman"/>
                        <w:sz w:val="28"/>
                        <w:szCs w:val="28"/>
                        <w:lang w:eastAsia="zh-CN"/>
                      </w:rPr>
                    </w:pPr>
                    <w:r>
                      <w:rPr>
                        <w:rFonts w:hint="default" w:ascii="Times New Roman" w:hAnsi="Times New Roman" w:cs="Times New Roman"/>
                        <w:sz w:val="28"/>
                        <w:szCs w:val="28"/>
                        <w:lang w:eastAsia="zh-CN"/>
                      </w:rPr>
                      <w:t>—</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eastAsia="zh-CN"/>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7"/>
                            <w:rPr>
                              <w:rFonts w:hint="default" w:ascii="Times New Roman" w:hAnsi="Times New Roman" w:eastAsia="宋体" w:cs="Times New Roman"/>
                              <w:sz w:val="28"/>
                              <w:szCs w:val="28"/>
                              <w:lang w:eastAsia="zh-CN"/>
                            </w:rPr>
                          </w:pPr>
                          <w:r>
                            <w:rPr>
                              <w:rFonts w:hint="default" w:ascii="Times New Roman" w:hAnsi="Times New Roman" w:cs="Times New Roman"/>
                              <w:sz w:val="28"/>
                              <w:szCs w:val="28"/>
                              <w:lang w:eastAsia="zh-CN"/>
                            </w:rPr>
                            <w:t>—</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pPr>
                      <w:pStyle w:val="7"/>
                      <w:rPr>
                        <w:rFonts w:hint="default" w:ascii="Times New Roman" w:hAnsi="Times New Roman" w:eastAsia="宋体" w:cs="Times New Roman"/>
                        <w:sz w:val="28"/>
                        <w:szCs w:val="28"/>
                        <w:lang w:eastAsia="zh-CN"/>
                      </w:rPr>
                    </w:pPr>
                    <w:r>
                      <w:rPr>
                        <w:rFonts w:hint="default" w:ascii="Times New Roman" w:hAnsi="Times New Roman" w:cs="Times New Roman"/>
                        <w:sz w:val="28"/>
                        <w:szCs w:val="28"/>
                        <w:lang w:eastAsia="zh-CN"/>
                      </w:rPr>
                      <w:t>—</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eastAsia="zh-CN"/>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24E0E1"/>
    <w:multiLevelType w:val="singleLevel"/>
    <w:tmpl w:val="9024E0E1"/>
    <w:lvl w:ilvl="0" w:tentative="0">
      <w:start w:val="1"/>
      <w:numFmt w:val="decimal"/>
      <w:suff w:val="nothing"/>
      <w:lvlText w:val="%1．"/>
      <w:lvlJc w:val="left"/>
      <w:pPr>
        <w:ind w:left="0" w:firstLine="400"/>
      </w:pPr>
      <w:rPr>
        <w:rFonts w:hint="default"/>
      </w:rPr>
    </w:lvl>
  </w:abstractNum>
  <w:abstractNum w:abstractNumId="1">
    <w:nsid w:val="9C565924"/>
    <w:multiLevelType w:val="singleLevel"/>
    <w:tmpl w:val="9C565924"/>
    <w:lvl w:ilvl="0" w:tentative="0">
      <w:start w:val="3"/>
      <w:numFmt w:val="decimal"/>
      <w:suff w:val="nothing"/>
      <w:lvlText w:val="%1、"/>
      <w:lvlJc w:val="left"/>
    </w:lvl>
  </w:abstractNum>
  <w:abstractNum w:abstractNumId="2">
    <w:nsid w:val="9D7368B7"/>
    <w:multiLevelType w:val="singleLevel"/>
    <w:tmpl w:val="9D7368B7"/>
    <w:lvl w:ilvl="0" w:tentative="0">
      <w:start w:val="1"/>
      <w:numFmt w:val="decimal"/>
      <w:lvlText w:val="%1."/>
      <w:lvlJc w:val="left"/>
      <w:pPr>
        <w:tabs>
          <w:tab w:val="left" w:pos="312"/>
        </w:tabs>
      </w:pPr>
    </w:lvl>
  </w:abstractNum>
  <w:abstractNum w:abstractNumId="3">
    <w:nsid w:val="ABBAC4DF"/>
    <w:multiLevelType w:val="singleLevel"/>
    <w:tmpl w:val="ABBAC4DF"/>
    <w:lvl w:ilvl="0" w:tentative="0">
      <w:start w:val="1"/>
      <w:numFmt w:val="decimal"/>
      <w:lvlText w:val="%1."/>
      <w:lvlJc w:val="left"/>
      <w:pPr>
        <w:tabs>
          <w:tab w:val="left" w:pos="312"/>
        </w:tabs>
      </w:pPr>
    </w:lvl>
  </w:abstractNum>
  <w:abstractNum w:abstractNumId="4">
    <w:nsid w:val="EAC09E09"/>
    <w:multiLevelType w:val="singleLevel"/>
    <w:tmpl w:val="EAC09E09"/>
    <w:lvl w:ilvl="0" w:tentative="0">
      <w:start w:val="1"/>
      <w:numFmt w:val="decimal"/>
      <w:suff w:val="nothing"/>
      <w:lvlText w:val="%1．"/>
      <w:lvlJc w:val="left"/>
      <w:pPr>
        <w:ind w:left="0" w:firstLine="400"/>
      </w:pPr>
      <w:rPr>
        <w:rFonts w:hint="default"/>
      </w:rPr>
    </w:lvl>
  </w:abstractNum>
  <w:abstractNum w:abstractNumId="5">
    <w:nsid w:val="ED13B037"/>
    <w:multiLevelType w:val="singleLevel"/>
    <w:tmpl w:val="ED13B037"/>
    <w:lvl w:ilvl="0" w:tentative="0">
      <w:start w:val="1"/>
      <w:numFmt w:val="decimal"/>
      <w:lvlText w:val="%1."/>
      <w:lvlJc w:val="left"/>
      <w:pPr>
        <w:tabs>
          <w:tab w:val="left" w:pos="312"/>
        </w:tabs>
      </w:pPr>
    </w:lvl>
  </w:abstractNum>
  <w:abstractNum w:abstractNumId="6">
    <w:nsid w:val="12810404"/>
    <w:multiLevelType w:val="multilevel"/>
    <w:tmpl w:val="12810404"/>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7">
    <w:nsid w:val="1292DF91"/>
    <w:multiLevelType w:val="singleLevel"/>
    <w:tmpl w:val="1292DF91"/>
    <w:lvl w:ilvl="0" w:tentative="0">
      <w:start w:val="6"/>
      <w:numFmt w:val="decimal"/>
      <w:suff w:val="nothing"/>
      <w:lvlText w:val="%1、"/>
      <w:lvlJc w:val="left"/>
    </w:lvl>
  </w:abstractNum>
  <w:abstractNum w:abstractNumId="8">
    <w:nsid w:val="7E524F9C"/>
    <w:multiLevelType w:val="singleLevel"/>
    <w:tmpl w:val="7E524F9C"/>
    <w:lvl w:ilvl="0" w:tentative="0">
      <w:start w:val="1"/>
      <w:numFmt w:val="decimal"/>
      <w:lvlText w:val="%1."/>
      <w:lvlJc w:val="left"/>
      <w:pPr>
        <w:tabs>
          <w:tab w:val="left" w:pos="312"/>
        </w:tabs>
      </w:pPr>
    </w:lvl>
  </w:abstractNum>
  <w:num w:numId="1">
    <w:abstractNumId w:val="0"/>
  </w:num>
  <w:num w:numId="2">
    <w:abstractNumId w:val="3"/>
  </w:num>
  <w:num w:numId="3">
    <w:abstractNumId w:val="2"/>
  </w:num>
  <w:num w:numId="4">
    <w:abstractNumId w:val="5"/>
  </w:num>
  <w:num w:numId="5">
    <w:abstractNumId w:val="6"/>
  </w:num>
  <w:num w:numId="6">
    <w:abstractNumId w:val="8"/>
  </w:num>
  <w:num w:numId="7">
    <w:abstractNumId w:val="4"/>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nforcement="0"/>
  <w:defaultTabStop w:val="420"/>
  <w:hyphenationZone w:val="360"/>
  <w:drawingGridHorizontalSpacing w:val="320"/>
  <w:drawingGridVerticalSpacing w:val="226"/>
  <w:displayHorizontalDrawingGridEvery w:val="1"/>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k1M2UyNjJmZWE5Mjk4OTU2YjI1Y2IzMWYxZjI1NjQifQ=="/>
  </w:docVars>
  <w:rsids>
    <w:rsidRoot w:val="5CC91B0E"/>
    <w:rsid w:val="004A2AF9"/>
    <w:rsid w:val="02EB4148"/>
    <w:rsid w:val="03022992"/>
    <w:rsid w:val="03B403FC"/>
    <w:rsid w:val="05EE69EC"/>
    <w:rsid w:val="07E205CB"/>
    <w:rsid w:val="0BCD0014"/>
    <w:rsid w:val="0D3015AC"/>
    <w:rsid w:val="0E8D7506"/>
    <w:rsid w:val="12CB5325"/>
    <w:rsid w:val="12E806A4"/>
    <w:rsid w:val="142B5F12"/>
    <w:rsid w:val="144D675B"/>
    <w:rsid w:val="15744470"/>
    <w:rsid w:val="159E3C86"/>
    <w:rsid w:val="17BB43CA"/>
    <w:rsid w:val="17C07663"/>
    <w:rsid w:val="18581E27"/>
    <w:rsid w:val="1AF254E9"/>
    <w:rsid w:val="1BFD0D2F"/>
    <w:rsid w:val="20575E51"/>
    <w:rsid w:val="20F315E3"/>
    <w:rsid w:val="21AA1E18"/>
    <w:rsid w:val="22BC607C"/>
    <w:rsid w:val="22E76BBC"/>
    <w:rsid w:val="23520688"/>
    <w:rsid w:val="250E04D9"/>
    <w:rsid w:val="27035654"/>
    <w:rsid w:val="294B7C98"/>
    <w:rsid w:val="2B6E5792"/>
    <w:rsid w:val="2FA46E95"/>
    <w:rsid w:val="2FAC1DD8"/>
    <w:rsid w:val="327A0C4F"/>
    <w:rsid w:val="32812B0C"/>
    <w:rsid w:val="33A1247D"/>
    <w:rsid w:val="34F00E9D"/>
    <w:rsid w:val="374777CC"/>
    <w:rsid w:val="37E73EDF"/>
    <w:rsid w:val="37F33904"/>
    <w:rsid w:val="38C03134"/>
    <w:rsid w:val="3AA8635E"/>
    <w:rsid w:val="3DA20F6C"/>
    <w:rsid w:val="42EA2E44"/>
    <w:rsid w:val="45EF52CA"/>
    <w:rsid w:val="485D77F5"/>
    <w:rsid w:val="48D72274"/>
    <w:rsid w:val="49242109"/>
    <w:rsid w:val="4CCA02B3"/>
    <w:rsid w:val="4D1675E0"/>
    <w:rsid w:val="4F506443"/>
    <w:rsid w:val="4FD60642"/>
    <w:rsid w:val="501151AD"/>
    <w:rsid w:val="505A5D0A"/>
    <w:rsid w:val="535629B9"/>
    <w:rsid w:val="54B77C9B"/>
    <w:rsid w:val="57390206"/>
    <w:rsid w:val="57DC61FC"/>
    <w:rsid w:val="58B6524A"/>
    <w:rsid w:val="59FA62BF"/>
    <w:rsid w:val="5CC91B0E"/>
    <w:rsid w:val="5D441DCE"/>
    <w:rsid w:val="5D99726B"/>
    <w:rsid w:val="5E87415A"/>
    <w:rsid w:val="5EC05CD6"/>
    <w:rsid w:val="63622F9D"/>
    <w:rsid w:val="63FC5329"/>
    <w:rsid w:val="662B32DA"/>
    <w:rsid w:val="6A233DE4"/>
    <w:rsid w:val="6A3D475B"/>
    <w:rsid w:val="6A9A0BDB"/>
    <w:rsid w:val="6B097941"/>
    <w:rsid w:val="6C8C1CC9"/>
    <w:rsid w:val="6EB83684"/>
    <w:rsid w:val="6F423686"/>
    <w:rsid w:val="6F646D12"/>
    <w:rsid w:val="6F6C7207"/>
    <w:rsid w:val="6FBC59B9"/>
    <w:rsid w:val="724203AC"/>
    <w:rsid w:val="72F0605A"/>
    <w:rsid w:val="73855D77"/>
    <w:rsid w:val="76167663"/>
    <w:rsid w:val="79CF54CF"/>
    <w:rsid w:val="7A486D2B"/>
    <w:rsid w:val="7B855E8B"/>
    <w:rsid w:val="7BB613DF"/>
    <w:rsid w:val="7BE82A8C"/>
    <w:rsid w:val="7CB2612E"/>
    <w:rsid w:val="7DBB68B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580" w:lineRule="exact"/>
      <w:ind w:firstLine="420" w:firstLineChars="200"/>
      <w:jc w:val="both"/>
    </w:pPr>
    <w:rPr>
      <w:rFonts w:ascii="宋体" w:hAnsi="宋体" w:eastAsia="方正仿宋_GBK" w:cs="Times New Roman"/>
      <w:kern w:val="2"/>
      <w:sz w:val="32"/>
      <w:szCs w:val="32"/>
      <w:lang w:val="en-US" w:eastAsia="zh-CN" w:bidi="ar-SA"/>
    </w:rPr>
  </w:style>
  <w:style w:type="paragraph" w:styleId="4">
    <w:name w:val="heading 1"/>
    <w:basedOn w:val="1"/>
    <w:next w:val="1"/>
    <w:link w:val="18"/>
    <w:autoRedefine/>
    <w:qFormat/>
    <w:uiPriority w:val="0"/>
    <w:pPr>
      <w:spacing w:beforeAutospacing="0" w:afterAutospacing="0" w:line="720" w:lineRule="exact"/>
      <w:ind w:firstLine="0" w:firstLineChars="0"/>
      <w:jc w:val="center"/>
      <w:textAlignment w:val="center"/>
      <w:outlineLvl w:val="0"/>
    </w:pPr>
    <w:rPr>
      <w:rFonts w:hint="eastAsia" w:eastAsia="方正仿宋_GBK"/>
      <w:b/>
      <w:kern w:val="0"/>
      <w:sz w:val="44"/>
      <w:szCs w:val="44"/>
      <w:lang w:bidi="ar"/>
    </w:rPr>
  </w:style>
  <w:style w:type="paragraph" w:styleId="5">
    <w:name w:val="heading 2"/>
    <w:basedOn w:val="1"/>
    <w:next w:val="1"/>
    <w:autoRedefine/>
    <w:unhideWhenUsed/>
    <w:qFormat/>
    <w:uiPriority w:val="0"/>
    <w:pPr>
      <w:keepNext w:val="0"/>
      <w:keepLines w:val="0"/>
      <w:spacing w:beforeLines="0" w:beforeAutospacing="0" w:afterLines="0" w:afterAutospacing="0" w:line="590" w:lineRule="exact"/>
      <w:outlineLvl w:val="1"/>
    </w:pPr>
    <w:rPr>
      <w:rFonts w:ascii="宋体" w:hAnsi="宋体" w:eastAsia="方正黑体_GBK"/>
    </w:rPr>
  </w:style>
  <w:style w:type="paragraph" w:styleId="6">
    <w:name w:val="heading 3"/>
    <w:basedOn w:val="1"/>
    <w:next w:val="1"/>
    <w:autoRedefine/>
    <w:unhideWhenUsed/>
    <w:qFormat/>
    <w:uiPriority w:val="0"/>
    <w:pPr>
      <w:keepNext w:val="0"/>
      <w:keepLines w:val="0"/>
      <w:spacing w:beforeLines="0" w:beforeAutospacing="0" w:afterLines="0" w:afterAutospacing="0" w:line="580" w:lineRule="exact"/>
      <w:ind w:firstLine="0" w:firstLineChars="0"/>
      <w:jc w:val="center"/>
      <w:outlineLvl w:val="2"/>
    </w:pPr>
    <w:rPr>
      <w:rFonts w:eastAsia="方正楷体_GBK"/>
    </w:rPr>
  </w:style>
  <w:style w:type="character" w:default="1" w:styleId="13">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2">
    <w:name w:val="Body Text First Indent"/>
    <w:basedOn w:val="3"/>
    <w:autoRedefine/>
    <w:unhideWhenUsed/>
    <w:qFormat/>
    <w:uiPriority w:val="99"/>
    <w:pPr>
      <w:widowControl/>
      <w:spacing w:after="120"/>
      <w:ind w:firstLine="100" w:firstLineChars="100"/>
    </w:pPr>
    <w:rPr>
      <w:rFonts w:ascii="Calibri" w:hAnsi="Calibri"/>
    </w:rPr>
  </w:style>
  <w:style w:type="paragraph" w:styleId="3">
    <w:name w:val="Body Text"/>
    <w:basedOn w:val="1"/>
    <w:next w:val="1"/>
    <w:autoRedefine/>
    <w:qFormat/>
    <w:uiPriority w:val="1"/>
    <w:rPr>
      <w:rFonts w:ascii="宋体" w:hAnsi="宋体" w:eastAsia="宋体" w:cs="宋体"/>
      <w:sz w:val="32"/>
      <w:szCs w:val="32"/>
      <w:lang w:val="zh-CN" w:bidi="zh-CN"/>
    </w:rPr>
  </w:style>
  <w:style w:type="paragraph" w:styleId="7">
    <w:name w:val="footer"/>
    <w:basedOn w:val="1"/>
    <w:autoRedefine/>
    <w:qFormat/>
    <w:uiPriority w:val="0"/>
    <w:pPr>
      <w:tabs>
        <w:tab w:val="center" w:pos="4153"/>
        <w:tab w:val="right" w:pos="8306"/>
      </w:tabs>
      <w:snapToGrid w:val="0"/>
      <w:jc w:val="left"/>
    </w:pPr>
    <w:rPr>
      <w:sz w:val="18"/>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autoRedefine/>
    <w:qFormat/>
    <w:uiPriority w:val="0"/>
  </w:style>
  <w:style w:type="paragraph" w:styleId="10">
    <w:name w:val="toc 2"/>
    <w:basedOn w:val="1"/>
    <w:next w:val="1"/>
    <w:link w:val="21"/>
    <w:autoRedefine/>
    <w:qFormat/>
    <w:uiPriority w:val="0"/>
    <w:pPr>
      <w:ind w:left="420" w:leftChars="200"/>
    </w:pPr>
  </w:style>
  <w:style w:type="paragraph" w:styleId="11">
    <w:name w:val="Normal (Web)"/>
    <w:basedOn w:val="1"/>
    <w:autoRedefine/>
    <w:qFormat/>
    <w:uiPriority w:val="0"/>
    <w:pPr>
      <w:spacing w:before="100" w:beforeAutospacing="1" w:after="100" w:afterAutospacing="1"/>
      <w:ind w:left="0" w:right="0"/>
      <w:jc w:val="left"/>
    </w:pPr>
    <w:rPr>
      <w:kern w:val="0"/>
      <w:sz w:val="24"/>
      <w:lang w:val="en-US" w:eastAsia="zh-CN" w:bidi="ar"/>
    </w:rPr>
  </w:style>
  <w:style w:type="character" w:styleId="14">
    <w:name w:val="Strong"/>
    <w:basedOn w:val="13"/>
    <w:autoRedefine/>
    <w:qFormat/>
    <w:uiPriority w:val="0"/>
    <w:rPr>
      <w:b/>
    </w:rPr>
  </w:style>
  <w:style w:type="paragraph" w:customStyle="1" w:styleId="15">
    <w:name w:val="普通(网站)1"/>
    <w:autoRedefine/>
    <w:qFormat/>
    <w:uiPriority w:val="0"/>
    <w:pPr>
      <w:spacing w:before="100" w:after="100"/>
    </w:pPr>
    <w:rPr>
      <w:rFonts w:ascii="Arial Unicode MS" w:hAnsi="Arial Unicode MS" w:eastAsia="Arial Unicode MS" w:cs="Arial Unicode MS"/>
      <w:color w:val="000000"/>
      <w:sz w:val="24"/>
      <w:szCs w:val="24"/>
      <w:lang w:val="en-US" w:eastAsia="zh-CN" w:bidi="mn-Mong-CN"/>
    </w:rPr>
  </w:style>
  <w:style w:type="paragraph" w:styleId="16">
    <w:name w:val="List Paragraph"/>
    <w:basedOn w:val="1"/>
    <w:autoRedefine/>
    <w:qFormat/>
    <w:uiPriority w:val="34"/>
    <w:pPr>
      <w:ind w:firstLine="420" w:firstLineChars="200"/>
    </w:pPr>
  </w:style>
  <w:style w:type="paragraph" w:customStyle="1" w:styleId="17">
    <w:name w:val="_Style 1"/>
    <w:autoRedefine/>
    <w:qFormat/>
    <w:uiPriority w:val="99"/>
    <w:pPr>
      <w:widowControl w:val="0"/>
      <w:jc w:val="both"/>
    </w:pPr>
    <w:rPr>
      <w:rFonts w:ascii="Times New Roman" w:hAnsi="Times New Roman" w:eastAsia="宋体" w:cs="Times New Roman"/>
      <w:kern w:val="2"/>
      <w:sz w:val="32"/>
      <w:szCs w:val="32"/>
      <w:lang w:val="en-US" w:eastAsia="zh-CN" w:bidi="ar-SA"/>
    </w:rPr>
  </w:style>
  <w:style w:type="character" w:customStyle="1" w:styleId="18">
    <w:name w:val="标题 1 Char"/>
    <w:link w:val="4"/>
    <w:autoRedefine/>
    <w:qFormat/>
    <w:uiPriority w:val="0"/>
    <w:rPr>
      <w:rFonts w:hint="eastAsia" w:eastAsia="方正仿宋_GBK"/>
      <w:b/>
      <w:kern w:val="0"/>
      <w:sz w:val="44"/>
      <w:szCs w:val="44"/>
      <w:lang w:bidi="ar"/>
    </w:rPr>
  </w:style>
  <w:style w:type="paragraph" w:customStyle="1" w:styleId="19">
    <w:name w:val="WPSOffice手动目录 1"/>
    <w:autoRedefine/>
    <w:qFormat/>
    <w:uiPriority w:val="0"/>
    <w:pPr>
      <w:ind w:leftChars="0"/>
    </w:pPr>
    <w:rPr>
      <w:rFonts w:ascii="Times New Roman" w:hAnsi="Times New Roman" w:eastAsia="宋体" w:cs="Times New Roman"/>
      <w:sz w:val="20"/>
      <w:szCs w:val="20"/>
    </w:rPr>
  </w:style>
  <w:style w:type="paragraph" w:customStyle="1" w:styleId="20">
    <w:name w:val="WPSOffice手动目录 2"/>
    <w:autoRedefine/>
    <w:qFormat/>
    <w:uiPriority w:val="0"/>
    <w:pPr>
      <w:ind w:leftChars="200"/>
    </w:pPr>
    <w:rPr>
      <w:rFonts w:ascii="Times New Roman" w:hAnsi="Times New Roman" w:eastAsia="宋体" w:cs="Times New Roman"/>
      <w:sz w:val="20"/>
      <w:szCs w:val="20"/>
    </w:rPr>
  </w:style>
  <w:style w:type="character" w:customStyle="1" w:styleId="21">
    <w:name w:val="目录 2 Char"/>
    <w:link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office6\templates\wps\zh_CN\&#20844;&#25991;&#29256;&#24335;.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公文版式.dotx</Template>
  <Company>云南省市场监管局</Company>
  <Pages>114</Pages>
  <Words>42115</Words>
  <Characters>42858</Characters>
  <Lines>0</Lines>
  <Paragraphs>0</Paragraphs>
  <TotalTime>7</TotalTime>
  <ScaleCrop>false</ScaleCrop>
  <LinksUpToDate>false</LinksUpToDate>
  <CharactersWithSpaces>43475</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2023-05-25T07:24:00Z</dcterms:created>
  <dc:creator>T</dc:creator>
  <cp:lastModifiedBy>Administrator</cp:lastModifiedBy>
  <dcterms:modified xsi:type="dcterms:W3CDTF">2024-02-04T02:55:37Z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B1F2ACAA08F04428822ECFD6AF7B5242_13</vt:lpwstr>
  </property>
</Properties>
</file>