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8B77E">
      <w:pPr>
        <w:ind w:firstLine="0" w:firstLineChars="0"/>
        <w:jc w:val="center"/>
        <w:rPr>
          <w:rFonts w:cs="Times New Roman"/>
          <w:b/>
          <w:sz w:val="32"/>
          <w:szCs w:val="32"/>
        </w:rPr>
      </w:pPr>
      <w:r>
        <w:rPr>
          <w:rFonts w:cs="Times New Roman"/>
          <w:b/>
          <w:sz w:val="32"/>
          <w:szCs w:val="32"/>
        </w:rPr>
        <w:t xml:space="preserve"> 《建设项目环境影响报告表》</w:t>
      </w:r>
      <w:bookmarkStart w:id="0" w:name="_Toc467486622"/>
      <w:bookmarkStart w:id="1" w:name="_Toc467775598"/>
      <w:r>
        <w:rPr>
          <w:rFonts w:cs="Times New Roman"/>
          <w:b/>
          <w:sz w:val="32"/>
          <w:szCs w:val="32"/>
        </w:rPr>
        <w:t>编制说明</w:t>
      </w:r>
      <w:bookmarkEnd w:id="0"/>
      <w:bookmarkEnd w:id="1"/>
    </w:p>
    <w:p w14:paraId="25B2788B">
      <w:pPr>
        <w:ind w:firstLine="480"/>
        <w:rPr>
          <w:rFonts w:cs="Times New Roman"/>
        </w:rPr>
      </w:pPr>
    </w:p>
    <w:p w14:paraId="4724FD5B">
      <w:pPr>
        <w:ind w:firstLine="480"/>
        <w:rPr>
          <w:rFonts w:cs="Times New Roman"/>
        </w:rPr>
      </w:pPr>
    </w:p>
    <w:p w14:paraId="74DA3E8D">
      <w:pPr>
        <w:adjustRightInd w:val="0"/>
        <w:snapToGrid w:val="0"/>
        <w:ind w:firstLine="560"/>
        <w:rPr>
          <w:rFonts w:cs="Times New Roman"/>
          <w:sz w:val="28"/>
          <w:szCs w:val="20"/>
        </w:rPr>
      </w:pPr>
      <w:r>
        <w:rPr>
          <w:rFonts w:cs="Times New Roman"/>
          <w:sz w:val="28"/>
          <w:szCs w:val="20"/>
        </w:rPr>
        <w:t>《建设项目环境影响报告表》由具有从事环境影响评价工作资质的单位编。</w:t>
      </w:r>
    </w:p>
    <w:p w14:paraId="54572818">
      <w:pPr>
        <w:adjustRightInd w:val="0"/>
        <w:snapToGrid w:val="0"/>
        <w:ind w:firstLine="560"/>
        <w:rPr>
          <w:rFonts w:cs="Times New Roman"/>
          <w:sz w:val="28"/>
          <w:szCs w:val="20"/>
        </w:rPr>
      </w:pPr>
      <w:r>
        <w:rPr>
          <w:rFonts w:cs="Times New Roman"/>
          <w:sz w:val="28"/>
          <w:szCs w:val="20"/>
        </w:rPr>
        <w:t>1、项目名称——指项目立项批复时的名称，应不超过30个字（两个英文字段作一个汉字）。</w:t>
      </w:r>
    </w:p>
    <w:p w14:paraId="79DF7FEB">
      <w:pPr>
        <w:adjustRightInd w:val="0"/>
        <w:snapToGrid w:val="0"/>
        <w:ind w:firstLine="560"/>
        <w:rPr>
          <w:rFonts w:cs="Times New Roman"/>
          <w:sz w:val="28"/>
          <w:szCs w:val="20"/>
        </w:rPr>
      </w:pPr>
      <w:r>
        <w:rPr>
          <w:rFonts w:cs="Times New Roman"/>
          <w:sz w:val="28"/>
          <w:szCs w:val="20"/>
        </w:rPr>
        <w:t>2、建设地点——指项目所在地详细地址，公路、铁路应填写起止地点。</w:t>
      </w:r>
    </w:p>
    <w:p w14:paraId="4FE37A26">
      <w:pPr>
        <w:adjustRightInd w:val="0"/>
        <w:snapToGrid w:val="0"/>
        <w:ind w:firstLine="560"/>
        <w:rPr>
          <w:rFonts w:cs="Times New Roman"/>
          <w:sz w:val="28"/>
          <w:szCs w:val="20"/>
        </w:rPr>
      </w:pPr>
      <w:r>
        <w:rPr>
          <w:rFonts w:cs="Times New Roman"/>
          <w:sz w:val="28"/>
          <w:szCs w:val="20"/>
        </w:rPr>
        <w:t>3、行业类别——按国标填写。</w:t>
      </w:r>
    </w:p>
    <w:p w14:paraId="4676271D">
      <w:pPr>
        <w:adjustRightInd w:val="0"/>
        <w:snapToGrid w:val="0"/>
        <w:ind w:firstLine="560"/>
        <w:rPr>
          <w:rFonts w:cs="Times New Roman"/>
          <w:sz w:val="28"/>
          <w:szCs w:val="20"/>
        </w:rPr>
      </w:pPr>
      <w:r>
        <w:rPr>
          <w:rFonts w:cs="Times New Roman"/>
          <w:sz w:val="28"/>
          <w:szCs w:val="20"/>
        </w:rPr>
        <w:t>4、总投资——指项目投资总额。</w:t>
      </w:r>
    </w:p>
    <w:p w14:paraId="44A34B71">
      <w:pPr>
        <w:adjustRightInd w:val="0"/>
        <w:snapToGrid w:val="0"/>
        <w:ind w:firstLine="560"/>
        <w:rPr>
          <w:rFonts w:cs="Times New Roman"/>
          <w:sz w:val="28"/>
          <w:szCs w:val="20"/>
        </w:rPr>
      </w:pPr>
      <w:r>
        <w:rPr>
          <w:rFonts w:cs="Times New Roman"/>
          <w:sz w:val="28"/>
          <w:szCs w:val="20"/>
        </w:rPr>
        <w:t>5、主要环境保护目标——指项目周围一定范围内集中居民住宅区、学校、医院、保护文物、风景名胜区、水源地和生态敏感点等，应尽可能给出保护目标、性质、规模和距厂界距离等。</w:t>
      </w:r>
    </w:p>
    <w:p w14:paraId="423F04BC">
      <w:pPr>
        <w:adjustRightInd w:val="0"/>
        <w:snapToGrid w:val="0"/>
        <w:ind w:firstLine="560"/>
        <w:rPr>
          <w:rFonts w:cs="Times New Roman"/>
          <w:sz w:val="28"/>
          <w:szCs w:val="20"/>
        </w:rPr>
      </w:pPr>
      <w:r>
        <w:rPr>
          <w:rFonts w:cs="Times New Roman"/>
          <w:sz w:val="28"/>
          <w:szCs w:val="20"/>
        </w:rPr>
        <w:t>6、结论与建议——给出本项目清洁生产、达标排放和总量控制的分析结论，确定污染防</w:t>
      </w:r>
      <w:r>
        <w:rPr>
          <w:rFonts w:hint="eastAsia" w:cs="Times New Roman"/>
          <w:sz w:val="28"/>
          <w:szCs w:val="20"/>
          <w:lang w:val="en-US" w:eastAsia="zh-CN"/>
        </w:rPr>
        <w:t>治</w:t>
      </w:r>
      <w:r>
        <w:rPr>
          <w:rFonts w:cs="Times New Roman"/>
          <w:sz w:val="28"/>
          <w:szCs w:val="20"/>
        </w:rPr>
        <w:t>措施的有效性，说明本项目对环境造成的影响，给出建设项目环境可行性的明确结论。同时提出减少环境影响的其它建议。</w:t>
      </w:r>
    </w:p>
    <w:p w14:paraId="0BA673E0">
      <w:pPr>
        <w:adjustRightInd w:val="0"/>
        <w:snapToGrid w:val="0"/>
        <w:ind w:firstLine="560"/>
        <w:rPr>
          <w:rFonts w:cs="Times New Roman"/>
          <w:sz w:val="28"/>
          <w:szCs w:val="20"/>
        </w:rPr>
      </w:pPr>
      <w:r>
        <w:rPr>
          <w:rFonts w:cs="Times New Roman"/>
          <w:sz w:val="28"/>
          <w:szCs w:val="20"/>
        </w:rPr>
        <w:t>7、预审意见——由行业主管部门填写答复意见，无主管部门项目，可不填。</w:t>
      </w:r>
    </w:p>
    <w:p w14:paraId="0A9AF7AE">
      <w:pPr>
        <w:ind w:firstLineChars="0"/>
        <w:rPr>
          <w:rFonts w:cs="Times New Roman"/>
          <w:sz w:val="28"/>
          <w:szCs w:val="20"/>
        </w:rPr>
      </w:pPr>
      <w:r>
        <w:rPr>
          <w:rFonts w:cs="Times New Roman"/>
          <w:sz w:val="28"/>
          <w:szCs w:val="20"/>
        </w:rPr>
        <w:t xml:space="preserve">  8、审批意见——由负责审批该项目的环境保护行政主管部门批复。</w:t>
      </w:r>
    </w:p>
    <w:p w14:paraId="29600430">
      <w:pPr>
        <w:ind w:firstLineChars="0"/>
        <w:rPr>
          <w:rFonts w:cs="Times New Roman"/>
          <w:sz w:val="28"/>
          <w:szCs w:val="20"/>
        </w:rPr>
      </w:pPr>
    </w:p>
    <w:p w14:paraId="3C71F50A">
      <w:pPr>
        <w:ind w:firstLineChars="0"/>
        <w:rPr>
          <w:rFonts w:cs="Times New Roman"/>
          <w:sz w:val="28"/>
          <w:szCs w:val="20"/>
        </w:rPr>
      </w:pPr>
    </w:p>
    <w:p w14:paraId="1D02B2CE">
      <w:pPr>
        <w:ind w:firstLineChars="0"/>
        <w:rPr>
          <w:rFonts w:cs="Times New Roman"/>
          <w:sz w:val="28"/>
          <w:szCs w:val="20"/>
        </w:rPr>
      </w:pPr>
    </w:p>
    <w:p w14:paraId="46193CAB">
      <w:pPr>
        <w:ind w:firstLineChars="0"/>
        <w:rPr>
          <w:rFonts w:cs="Times New Roman"/>
          <w:sz w:val="28"/>
          <w:szCs w:val="20"/>
        </w:rPr>
      </w:pPr>
    </w:p>
    <w:p w14:paraId="5E3757CA">
      <w:pPr>
        <w:ind w:firstLine="0" w:firstLineChars="0"/>
        <w:jc w:val="center"/>
        <w:rPr>
          <w:rFonts w:cs="Times New Roman"/>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983" w:bottom="1440" w:left="1797" w:header="851" w:footer="992" w:gutter="0"/>
          <w:cols w:space="425" w:num="1"/>
          <w:docGrid w:type="lines" w:linePitch="312" w:charSpace="0"/>
        </w:sectPr>
      </w:pPr>
    </w:p>
    <w:p w14:paraId="1EA4186B">
      <w:pPr>
        <w:ind w:firstLine="0" w:firstLineChars="0"/>
        <w:jc w:val="center"/>
        <w:rPr>
          <w:rFonts w:cs="Times New Roman"/>
          <w:b/>
          <w:sz w:val="32"/>
          <w:szCs w:val="32"/>
        </w:rPr>
      </w:pPr>
      <w:r>
        <w:rPr>
          <w:rFonts w:cs="Times New Roman"/>
          <w:b/>
          <w:sz w:val="32"/>
          <w:szCs w:val="32"/>
        </w:rPr>
        <w:t>目录</w:t>
      </w:r>
    </w:p>
    <w:p w14:paraId="3E6B5809">
      <w:pPr>
        <w:pStyle w:val="16"/>
        <w:tabs>
          <w:tab w:val="right" w:leader="dot" w:pos="8302"/>
        </w:tabs>
        <w:ind w:firstLine="482"/>
        <w:rPr>
          <w:rFonts w:cs="Times New Roman"/>
          <w:sz w:val="21"/>
        </w:rPr>
      </w:pPr>
      <w:r>
        <w:rPr>
          <w:rFonts w:cs="Times New Roman"/>
          <w:b/>
        </w:rPr>
        <w:fldChar w:fldCharType="begin"/>
      </w:r>
      <w:r>
        <w:rPr>
          <w:rFonts w:cs="Times New Roman"/>
          <w:b/>
        </w:rPr>
        <w:instrText xml:space="preserve"> TOC \o "1-1" \h \z \u </w:instrText>
      </w:r>
      <w:r>
        <w:rPr>
          <w:rFonts w:cs="Times New Roman"/>
          <w:b/>
        </w:rPr>
        <w:fldChar w:fldCharType="separate"/>
      </w:r>
      <w:r>
        <w:fldChar w:fldCharType="begin"/>
      </w:r>
      <w:r>
        <w:instrText xml:space="preserve"> HYPERLINK \l "_Toc509498030" </w:instrText>
      </w:r>
      <w:r>
        <w:fldChar w:fldCharType="separate"/>
      </w:r>
      <w:r>
        <w:rPr>
          <w:rStyle w:val="25"/>
          <w:rFonts w:cs="Times New Roman"/>
          <w:color w:val="auto"/>
        </w:rPr>
        <w:t>表一、建设项目基本情况</w:t>
      </w:r>
      <w:r>
        <w:rPr>
          <w:rFonts w:cs="Times New Roman"/>
        </w:rPr>
        <w:tab/>
      </w:r>
      <w:r>
        <w:rPr>
          <w:rFonts w:cs="Times New Roman"/>
        </w:rPr>
        <w:fldChar w:fldCharType="begin"/>
      </w:r>
      <w:r>
        <w:rPr>
          <w:rFonts w:cs="Times New Roman"/>
        </w:rPr>
        <w:instrText xml:space="preserve"> PAGEREF _Toc509498030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79EBE0E2">
      <w:pPr>
        <w:pStyle w:val="16"/>
        <w:tabs>
          <w:tab w:val="right" w:leader="dot" w:pos="8302"/>
        </w:tabs>
        <w:ind w:firstLine="480"/>
        <w:rPr>
          <w:rFonts w:cs="Times New Roman"/>
          <w:sz w:val="21"/>
        </w:rPr>
      </w:pPr>
      <w:r>
        <w:fldChar w:fldCharType="begin"/>
      </w:r>
      <w:r>
        <w:instrText xml:space="preserve"> HYPERLINK \l "_Toc509498031" </w:instrText>
      </w:r>
      <w:r>
        <w:fldChar w:fldCharType="separate"/>
      </w:r>
      <w:r>
        <w:rPr>
          <w:rStyle w:val="25"/>
          <w:rFonts w:cs="Times New Roman"/>
          <w:color w:val="auto"/>
        </w:rPr>
        <w:t>表二、建设项目所在地自然环境、社会环境概况</w:t>
      </w:r>
      <w:r>
        <w:rPr>
          <w:rFonts w:cs="Times New Roman"/>
        </w:rPr>
        <w:tab/>
      </w:r>
      <w:r>
        <w:rPr>
          <w:rFonts w:cs="Times New Roman"/>
        </w:rPr>
        <w:fldChar w:fldCharType="begin"/>
      </w:r>
      <w:r>
        <w:rPr>
          <w:rFonts w:cs="Times New Roman"/>
        </w:rPr>
        <w:instrText xml:space="preserve"> PAGEREF _Toc509498031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75A4AD4A">
      <w:pPr>
        <w:pStyle w:val="16"/>
        <w:tabs>
          <w:tab w:val="right" w:leader="dot" w:pos="8302"/>
        </w:tabs>
        <w:ind w:firstLine="480"/>
        <w:rPr>
          <w:rFonts w:cs="Times New Roman"/>
          <w:sz w:val="21"/>
        </w:rPr>
      </w:pPr>
      <w:r>
        <w:fldChar w:fldCharType="begin"/>
      </w:r>
      <w:r>
        <w:instrText xml:space="preserve"> HYPERLINK \l "_Toc509498032" </w:instrText>
      </w:r>
      <w:r>
        <w:fldChar w:fldCharType="separate"/>
      </w:r>
      <w:r>
        <w:rPr>
          <w:rStyle w:val="25"/>
          <w:rFonts w:cs="Times New Roman"/>
          <w:color w:val="auto"/>
        </w:rPr>
        <w:t>表三、环境质量状况</w:t>
      </w:r>
      <w:r>
        <w:rPr>
          <w:rFonts w:cs="Times New Roman"/>
        </w:rPr>
        <w:tab/>
      </w:r>
      <w:r>
        <w:rPr>
          <w:rFonts w:cs="Times New Roman"/>
        </w:rPr>
        <w:fldChar w:fldCharType="begin"/>
      </w:r>
      <w:r>
        <w:rPr>
          <w:rFonts w:cs="Times New Roman"/>
        </w:rPr>
        <w:instrText xml:space="preserve"> PAGEREF _Toc509498032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34B95733">
      <w:pPr>
        <w:pStyle w:val="16"/>
        <w:tabs>
          <w:tab w:val="right" w:leader="dot" w:pos="8302"/>
        </w:tabs>
        <w:ind w:firstLine="480"/>
        <w:rPr>
          <w:rFonts w:cs="Times New Roman"/>
          <w:sz w:val="21"/>
        </w:rPr>
      </w:pPr>
      <w:r>
        <w:fldChar w:fldCharType="begin"/>
      </w:r>
      <w:r>
        <w:instrText xml:space="preserve"> HYPERLINK \l "_Toc509498033" </w:instrText>
      </w:r>
      <w:r>
        <w:fldChar w:fldCharType="separate"/>
      </w:r>
      <w:r>
        <w:rPr>
          <w:rStyle w:val="25"/>
          <w:rFonts w:cs="Times New Roman"/>
          <w:color w:val="auto"/>
        </w:rPr>
        <w:t>表四、评价适用标准</w:t>
      </w:r>
      <w:r>
        <w:rPr>
          <w:rFonts w:cs="Times New Roman"/>
        </w:rPr>
        <w:tab/>
      </w:r>
      <w:r>
        <w:rPr>
          <w:rFonts w:cs="Times New Roman"/>
        </w:rPr>
        <w:fldChar w:fldCharType="begin"/>
      </w:r>
      <w:r>
        <w:rPr>
          <w:rFonts w:cs="Times New Roman"/>
        </w:rPr>
        <w:instrText xml:space="preserve"> PAGEREF _Toc509498033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1AC472FE">
      <w:pPr>
        <w:pStyle w:val="16"/>
        <w:tabs>
          <w:tab w:val="right" w:leader="dot" w:pos="8302"/>
        </w:tabs>
        <w:ind w:firstLine="480"/>
        <w:rPr>
          <w:rFonts w:cs="Times New Roman"/>
          <w:sz w:val="21"/>
        </w:rPr>
      </w:pPr>
      <w:r>
        <w:fldChar w:fldCharType="begin"/>
      </w:r>
      <w:r>
        <w:instrText xml:space="preserve"> HYPERLINK \l "_Toc509498034" </w:instrText>
      </w:r>
      <w:r>
        <w:fldChar w:fldCharType="separate"/>
      </w:r>
      <w:r>
        <w:rPr>
          <w:rStyle w:val="25"/>
          <w:rFonts w:cs="Times New Roman"/>
          <w:color w:val="auto"/>
        </w:rPr>
        <w:t>表五、建设项目工程分析及工艺</w:t>
      </w:r>
      <w:r>
        <w:rPr>
          <w:rFonts w:cs="Times New Roman"/>
        </w:rPr>
        <w:tab/>
      </w:r>
      <w:r>
        <w:rPr>
          <w:rFonts w:cs="Times New Roman"/>
        </w:rPr>
        <w:fldChar w:fldCharType="begin"/>
      </w:r>
      <w:r>
        <w:rPr>
          <w:rFonts w:cs="Times New Roman"/>
        </w:rPr>
        <w:instrText xml:space="preserve"> PAGEREF _Toc509498034 \h </w:instrText>
      </w:r>
      <w:r>
        <w:rPr>
          <w:rFonts w:cs="Times New Roman"/>
        </w:rPr>
        <w:fldChar w:fldCharType="separate"/>
      </w:r>
      <w:r>
        <w:rPr>
          <w:rFonts w:cs="Times New Roman"/>
        </w:rPr>
        <w:t>15</w:t>
      </w:r>
      <w:r>
        <w:rPr>
          <w:rFonts w:cs="Times New Roman"/>
        </w:rPr>
        <w:fldChar w:fldCharType="end"/>
      </w:r>
      <w:r>
        <w:rPr>
          <w:rFonts w:cs="Times New Roman"/>
        </w:rPr>
        <w:fldChar w:fldCharType="end"/>
      </w:r>
    </w:p>
    <w:p w14:paraId="19BF0C8A">
      <w:pPr>
        <w:pStyle w:val="16"/>
        <w:tabs>
          <w:tab w:val="right" w:leader="dot" w:pos="8302"/>
        </w:tabs>
        <w:ind w:firstLine="480"/>
        <w:rPr>
          <w:rFonts w:cs="Times New Roman"/>
          <w:sz w:val="21"/>
        </w:rPr>
      </w:pPr>
      <w:r>
        <w:fldChar w:fldCharType="begin"/>
      </w:r>
      <w:r>
        <w:instrText xml:space="preserve"> HYPERLINK \l "_Toc509498035" </w:instrText>
      </w:r>
      <w:r>
        <w:fldChar w:fldCharType="separate"/>
      </w:r>
      <w:r>
        <w:rPr>
          <w:rStyle w:val="25"/>
          <w:rFonts w:cs="Times New Roman"/>
          <w:color w:val="auto"/>
        </w:rPr>
        <w:t>表六、项目主要污染物及预计排放情况</w:t>
      </w:r>
      <w:r>
        <w:rPr>
          <w:rFonts w:cs="Times New Roman"/>
        </w:rPr>
        <w:tab/>
      </w:r>
      <w:r>
        <w:rPr>
          <w:rFonts w:cs="Times New Roman"/>
        </w:rPr>
        <w:fldChar w:fldCharType="begin"/>
      </w:r>
      <w:r>
        <w:rPr>
          <w:rFonts w:cs="Times New Roman"/>
        </w:rPr>
        <w:instrText xml:space="preserve"> PAGEREF _Toc509498035 \h </w:instrText>
      </w:r>
      <w:r>
        <w:rPr>
          <w:rFonts w:cs="Times New Roman"/>
        </w:rPr>
        <w:fldChar w:fldCharType="separate"/>
      </w:r>
      <w:r>
        <w:rPr>
          <w:rFonts w:cs="Times New Roman"/>
        </w:rPr>
        <w:t>30</w:t>
      </w:r>
      <w:r>
        <w:rPr>
          <w:rFonts w:cs="Times New Roman"/>
        </w:rPr>
        <w:fldChar w:fldCharType="end"/>
      </w:r>
      <w:r>
        <w:rPr>
          <w:rFonts w:cs="Times New Roman"/>
        </w:rPr>
        <w:fldChar w:fldCharType="end"/>
      </w:r>
    </w:p>
    <w:p w14:paraId="41F576C6">
      <w:pPr>
        <w:pStyle w:val="16"/>
        <w:tabs>
          <w:tab w:val="right" w:leader="dot" w:pos="8302"/>
        </w:tabs>
        <w:ind w:firstLine="480"/>
        <w:rPr>
          <w:rFonts w:cs="Times New Roman"/>
          <w:sz w:val="21"/>
        </w:rPr>
      </w:pPr>
      <w:r>
        <w:fldChar w:fldCharType="begin"/>
      </w:r>
      <w:r>
        <w:instrText xml:space="preserve"> HYPERLINK \l "_Toc509498036" </w:instrText>
      </w:r>
      <w:r>
        <w:fldChar w:fldCharType="separate"/>
      </w:r>
      <w:r>
        <w:rPr>
          <w:rStyle w:val="25"/>
          <w:rFonts w:cs="Times New Roman"/>
          <w:color w:val="auto"/>
        </w:rPr>
        <w:t>表七、环境影响分析</w:t>
      </w:r>
      <w:r>
        <w:rPr>
          <w:rFonts w:cs="Times New Roman"/>
        </w:rPr>
        <w:tab/>
      </w:r>
      <w:r>
        <w:rPr>
          <w:rFonts w:cs="Times New Roman"/>
        </w:rPr>
        <w:fldChar w:fldCharType="begin"/>
      </w:r>
      <w:r>
        <w:rPr>
          <w:rFonts w:cs="Times New Roman"/>
        </w:rPr>
        <w:instrText xml:space="preserve"> PAGEREF _Toc509498036 \h </w:instrText>
      </w:r>
      <w:r>
        <w:rPr>
          <w:rFonts w:cs="Times New Roman"/>
        </w:rPr>
        <w:fldChar w:fldCharType="separate"/>
      </w:r>
      <w:r>
        <w:rPr>
          <w:rFonts w:cs="Times New Roman"/>
        </w:rPr>
        <w:t>32</w:t>
      </w:r>
      <w:r>
        <w:rPr>
          <w:rFonts w:cs="Times New Roman"/>
        </w:rPr>
        <w:fldChar w:fldCharType="end"/>
      </w:r>
      <w:r>
        <w:rPr>
          <w:rFonts w:cs="Times New Roman"/>
        </w:rPr>
        <w:fldChar w:fldCharType="end"/>
      </w:r>
    </w:p>
    <w:p w14:paraId="7C1BE151">
      <w:pPr>
        <w:pStyle w:val="16"/>
        <w:tabs>
          <w:tab w:val="right" w:leader="dot" w:pos="8302"/>
        </w:tabs>
        <w:ind w:firstLine="480"/>
        <w:rPr>
          <w:rFonts w:cs="Times New Roman"/>
          <w:sz w:val="21"/>
        </w:rPr>
      </w:pPr>
      <w:r>
        <w:fldChar w:fldCharType="begin"/>
      </w:r>
      <w:r>
        <w:instrText xml:space="preserve"> HYPERLINK \l "_Toc509498037" </w:instrText>
      </w:r>
      <w:r>
        <w:fldChar w:fldCharType="separate"/>
      </w:r>
      <w:r>
        <w:rPr>
          <w:rStyle w:val="25"/>
          <w:rFonts w:cs="Times New Roman"/>
          <w:color w:val="auto"/>
        </w:rPr>
        <w:t>表八、建设项目拟采取的防治措施及预期效果</w:t>
      </w:r>
      <w:r>
        <w:rPr>
          <w:rFonts w:cs="Times New Roman"/>
        </w:rPr>
        <w:tab/>
      </w:r>
      <w:r>
        <w:rPr>
          <w:rFonts w:cs="Times New Roman"/>
        </w:rPr>
        <w:fldChar w:fldCharType="begin"/>
      </w:r>
      <w:r>
        <w:rPr>
          <w:rFonts w:cs="Times New Roman"/>
        </w:rPr>
        <w:instrText xml:space="preserve"> PAGEREF _Toc509498037 \h </w:instrText>
      </w:r>
      <w:r>
        <w:rPr>
          <w:rFonts w:cs="Times New Roman"/>
        </w:rPr>
        <w:fldChar w:fldCharType="separate"/>
      </w:r>
      <w:r>
        <w:rPr>
          <w:rFonts w:cs="Times New Roman"/>
        </w:rPr>
        <w:t>55</w:t>
      </w:r>
      <w:r>
        <w:rPr>
          <w:rFonts w:cs="Times New Roman"/>
        </w:rPr>
        <w:fldChar w:fldCharType="end"/>
      </w:r>
      <w:r>
        <w:rPr>
          <w:rFonts w:cs="Times New Roman"/>
        </w:rPr>
        <w:fldChar w:fldCharType="end"/>
      </w:r>
    </w:p>
    <w:p w14:paraId="689ACD32">
      <w:pPr>
        <w:pStyle w:val="16"/>
        <w:tabs>
          <w:tab w:val="right" w:leader="dot" w:pos="8302"/>
        </w:tabs>
        <w:ind w:firstLine="480"/>
        <w:rPr>
          <w:rFonts w:cs="Times New Roman"/>
          <w:sz w:val="21"/>
        </w:rPr>
      </w:pPr>
      <w:r>
        <w:fldChar w:fldCharType="begin"/>
      </w:r>
      <w:r>
        <w:instrText xml:space="preserve"> HYPERLINK \l "_Toc509498038" </w:instrText>
      </w:r>
      <w:r>
        <w:fldChar w:fldCharType="separate"/>
      </w:r>
      <w:r>
        <w:rPr>
          <w:rStyle w:val="25"/>
          <w:rFonts w:cs="Times New Roman"/>
          <w:color w:val="auto"/>
        </w:rPr>
        <w:t>表九、结论与建议</w:t>
      </w:r>
      <w:r>
        <w:rPr>
          <w:rFonts w:cs="Times New Roman"/>
        </w:rPr>
        <w:tab/>
      </w:r>
      <w:r>
        <w:rPr>
          <w:rFonts w:cs="Times New Roman"/>
        </w:rPr>
        <w:fldChar w:fldCharType="begin"/>
      </w:r>
      <w:r>
        <w:rPr>
          <w:rFonts w:cs="Times New Roman"/>
        </w:rPr>
        <w:instrText xml:space="preserve"> PAGEREF _Toc509498038 \h </w:instrText>
      </w:r>
      <w:r>
        <w:rPr>
          <w:rFonts w:cs="Times New Roman"/>
        </w:rPr>
        <w:fldChar w:fldCharType="separate"/>
      </w:r>
      <w:r>
        <w:rPr>
          <w:rFonts w:cs="Times New Roman"/>
        </w:rPr>
        <w:t>57</w:t>
      </w:r>
      <w:r>
        <w:rPr>
          <w:rFonts w:cs="Times New Roman"/>
        </w:rPr>
        <w:fldChar w:fldCharType="end"/>
      </w:r>
      <w:r>
        <w:rPr>
          <w:rFonts w:cs="Times New Roman"/>
        </w:rPr>
        <w:fldChar w:fldCharType="end"/>
      </w:r>
    </w:p>
    <w:p w14:paraId="21518FD2">
      <w:pPr>
        <w:ind w:firstLine="0" w:firstLineChars="0"/>
        <w:rPr>
          <w:rFonts w:cs="Times New Roman"/>
          <w:b/>
        </w:rPr>
      </w:pPr>
      <w:r>
        <w:rPr>
          <w:rFonts w:cs="Times New Roman"/>
          <w:b/>
        </w:rPr>
        <w:fldChar w:fldCharType="end"/>
      </w:r>
      <w:r>
        <w:rPr>
          <w:rFonts w:cs="Times New Roman"/>
          <w:b/>
        </w:rPr>
        <w:br w:type="page"/>
      </w:r>
    </w:p>
    <w:p w14:paraId="6523F431">
      <w:pPr>
        <w:ind w:firstLine="0" w:firstLineChars="0"/>
        <w:rPr>
          <w:rFonts w:cs="Times New Roman"/>
        </w:rPr>
      </w:pPr>
    </w:p>
    <w:p w14:paraId="07A5E379">
      <w:pPr>
        <w:ind w:firstLine="0" w:firstLineChars="0"/>
        <w:rPr>
          <w:rFonts w:cs="Times New Roman"/>
        </w:rPr>
      </w:pPr>
      <w:r>
        <w:rPr>
          <w:rFonts w:cs="Times New Roman"/>
        </w:rPr>
        <w:t>建设项目环评审批基础信息表</w:t>
      </w:r>
    </w:p>
    <w:p w14:paraId="5ECAB686">
      <w:pPr>
        <w:ind w:firstLine="0" w:firstLineChars="0"/>
        <w:rPr>
          <w:rFonts w:cs="Times New Roman"/>
          <w:b/>
        </w:rPr>
      </w:pPr>
    </w:p>
    <w:p w14:paraId="6F8AEDA9">
      <w:pPr>
        <w:ind w:firstLine="0" w:firstLineChars="0"/>
        <w:rPr>
          <w:rFonts w:cs="Times New Roman"/>
          <w:b/>
        </w:rPr>
      </w:pPr>
      <w:r>
        <w:rPr>
          <w:rFonts w:cs="Times New Roman"/>
          <w:b/>
        </w:rPr>
        <w:t>附图：</w:t>
      </w:r>
    </w:p>
    <w:p w14:paraId="3997B858">
      <w:pPr>
        <w:ind w:firstLine="480"/>
        <w:rPr>
          <w:rFonts w:cs="Times New Roman"/>
        </w:rPr>
      </w:pPr>
      <w:r>
        <w:rPr>
          <w:rFonts w:cs="Times New Roman"/>
        </w:rPr>
        <w:t>附图1  项目区地理位置图</w:t>
      </w:r>
    </w:p>
    <w:p w14:paraId="1CFB167D">
      <w:pPr>
        <w:ind w:firstLine="480"/>
        <w:rPr>
          <w:rFonts w:cs="Times New Roman"/>
        </w:rPr>
      </w:pPr>
      <w:r>
        <w:rPr>
          <w:rFonts w:cs="Times New Roman"/>
        </w:rPr>
        <w:t>附图2  项目区水系图</w:t>
      </w:r>
    </w:p>
    <w:p w14:paraId="3C72A34F">
      <w:pPr>
        <w:ind w:firstLine="480"/>
        <w:rPr>
          <w:rFonts w:cs="Times New Roman"/>
        </w:rPr>
      </w:pPr>
      <w:r>
        <w:rPr>
          <w:rFonts w:cs="Times New Roman"/>
        </w:rPr>
        <w:t>附图3  项目总平面布置及开采终了图</w:t>
      </w:r>
    </w:p>
    <w:p w14:paraId="13705DDF">
      <w:pPr>
        <w:ind w:firstLine="480"/>
        <w:rPr>
          <w:rFonts w:cs="Times New Roman"/>
        </w:rPr>
      </w:pPr>
      <w:r>
        <w:rPr>
          <w:rFonts w:cs="Times New Roman"/>
        </w:rPr>
        <w:t>附图4  土地利用现状图</w:t>
      </w:r>
    </w:p>
    <w:p w14:paraId="65F12D5F">
      <w:pPr>
        <w:ind w:firstLine="480"/>
        <w:rPr>
          <w:rFonts w:cs="Times New Roman"/>
        </w:rPr>
      </w:pPr>
      <w:r>
        <w:rPr>
          <w:rFonts w:cs="Times New Roman"/>
        </w:rPr>
        <w:t>附图5  项目区周边关系图</w:t>
      </w:r>
    </w:p>
    <w:p w14:paraId="65BBB3EA">
      <w:pPr>
        <w:ind w:firstLine="480"/>
        <w:rPr>
          <w:rFonts w:cs="Times New Roman"/>
        </w:rPr>
      </w:pPr>
      <w:r>
        <w:rPr>
          <w:rFonts w:cs="Times New Roman"/>
        </w:rPr>
        <w:t>附图6  总平面布置图</w:t>
      </w:r>
    </w:p>
    <w:p w14:paraId="0649A08C">
      <w:pPr>
        <w:ind w:firstLine="480"/>
        <w:rPr>
          <w:rFonts w:cs="Times New Roman"/>
        </w:rPr>
      </w:pPr>
      <w:r>
        <w:rPr>
          <w:rFonts w:cs="Times New Roman"/>
        </w:rPr>
        <w:t>附件7  生态红线查询结果</w:t>
      </w:r>
    </w:p>
    <w:p w14:paraId="6A43D715">
      <w:pPr>
        <w:ind w:firstLine="0" w:firstLineChars="0"/>
        <w:rPr>
          <w:rFonts w:cs="Times New Roman"/>
          <w:b/>
        </w:rPr>
      </w:pPr>
    </w:p>
    <w:p w14:paraId="6C05FA14">
      <w:pPr>
        <w:ind w:firstLine="0" w:firstLineChars="0"/>
        <w:rPr>
          <w:rFonts w:cs="Times New Roman"/>
          <w:b/>
        </w:rPr>
      </w:pPr>
      <w:r>
        <w:rPr>
          <w:rFonts w:cs="Times New Roman"/>
          <w:b/>
        </w:rPr>
        <w:t>附件：</w:t>
      </w:r>
    </w:p>
    <w:p w14:paraId="5BEE4C35">
      <w:pPr>
        <w:ind w:firstLine="480"/>
        <w:rPr>
          <w:rFonts w:cs="Times New Roman"/>
        </w:rPr>
      </w:pPr>
      <w:r>
        <w:rPr>
          <w:rFonts w:cs="Times New Roman"/>
        </w:rPr>
        <w:t>附件1  委托书；</w:t>
      </w:r>
    </w:p>
    <w:p w14:paraId="0249EFDB">
      <w:pPr>
        <w:ind w:firstLine="480"/>
        <w:rPr>
          <w:rFonts w:cs="Times New Roman"/>
        </w:rPr>
      </w:pPr>
      <w:r>
        <w:rPr>
          <w:rFonts w:cs="Times New Roman"/>
        </w:rPr>
        <w:t>附件2  投资备案证；</w:t>
      </w:r>
    </w:p>
    <w:p w14:paraId="162F2570">
      <w:pPr>
        <w:ind w:firstLine="480"/>
        <w:rPr>
          <w:rFonts w:cs="Times New Roman"/>
        </w:rPr>
      </w:pPr>
      <w:r>
        <w:rPr>
          <w:rFonts w:cs="Times New Roman"/>
        </w:rPr>
        <w:t>附件3  整合重组实施方案的批复；</w:t>
      </w:r>
    </w:p>
    <w:p w14:paraId="4F36AAEE">
      <w:pPr>
        <w:ind w:firstLine="480"/>
        <w:rPr>
          <w:rFonts w:cs="Times New Roman"/>
        </w:rPr>
      </w:pPr>
      <w:r>
        <w:rPr>
          <w:rFonts w:cs="Times New Roman"/>
        </w:rPr>
        <w:t>附件4  生产勘探报告评审备案证明及评审意见书；</w:t>
      </w:r>
    </w:p>
    <w:p w14:paraId="5BC75EC1">
      <w:pPr>
        <w:ind w:firstLine="480"/>
        <w:rPr>
          <w:rFonts w:cs="Times New Roman"/>
        </w:rPr>
      </w:pPr>
      <w:r>
        <w:rPr>
          <w:rFonts w:cs="Times New Roman"/>
        </w:rPr>
        <w:t>附件5  各类保护区及相关规划审查意见表；</w:t>
      </w:r>
    </w:p>
    <w:p w14:paraId="3E34D011">
      <w:pPr>
        <w:ind w:firstLine="480"/>
        <w:rPr>
          <w:rFonts w:cs="Times New Roman"/>
        </w:rPr>
      </w:pPr>
      <w:r>
        <w:rPr>
          <w:rFonts w:cs="Times New Roman"/>
        </w:rPr>
        <w:t>附件6  生态环境综合评估意见表；</w:t>
      </w:r>
    </w:p>
    <w:p w14:paraId="1251485B">
      <w:pPr>
        <w:ind w:firstLine="480"/>
        <w:rPr>
          <w:rFonts w:cs="Times New Roman"/>
        </w:rPr>
      </w:pPr>
      <w:r>
        <w:rPr>
          <w:rFonts w:cs="Times New Roman"/>
        </w:rPr>
        <w:t xml:space="preserve">附件7  </w:t>
      </w:r>
      <w:r>
        <w:rPr>
          <w:rFonts w:cs="Times New Roman"/>
          <w:bCs/>
        </w:rPr>
        <w:t>生态红线查询结果</w:t>
      </w:r>
      <w:r>
        <w:rPr>
          <w:rFonts w:cs="Times New Roman"/>
        </w:rPr>
        <w:t>；</w:t>
      </w:r>
    </w:p>
    <w:p w14:paraId="38301D65">
      <w:pPr>
        <w:ind w:firstLine="480"/>
        <w:rPr>
          <w:rFonts w:cs="Times New Roman"/>
          <w:bCs/>
        </w:rPr>
      </w:pPr>
      <w:r>
        <w:rPr>
          <w:rFonts w:cs="Times New Roman"/>
        </w:rPr>
        <w:t>附件8  德宏州生态环境局芒市分局行政处罚决定书及罚款依据</w:t>
      </w:r>
      <w:r>
        <w:rPr>
          <w:rFonts w:cs="Times New Roman"/>
          <w:bCs/>
        </w:rPr>
        <w:t>；</w:t>
      </w:r>
    </w:p>
    <w:p w14:paraId="4E9BBABE">
      <w:pPr>
        <w:ind w:firstLine="480"/>
        <w:rPr>
          <w:rFonts w:cs="Times New Roman"/>
          <w:bCs/>
        </w:rPr>
      </w:pPr>
      <w:r>
        <w:rPr>
          <w:rFonts w:cs="Times New Roman"/>
          <w:bCs/>
        </w:rPr>
        <w:t>附件9  采矿许可证；</w:t>
      </w:r>
    </w:p>
    <w:p w14:paraId="448B296A">
      <w:pPr>
        <w:ind w:firstLine="480"/>
        <w:rPr>
          <w:rFonts w:cs="Times New Roman"/>
          <w:bCs/>
        </w:rPr>
      </w:pPr>
      <w:r>
        <w:rPr>
          <w:rFonts w:cs="Times New Roman"/>
          <w:bCs/>
        </w:rPr>
        <w:t>附件10  进度表及审核表及技术合同。</w:t>
      </w:r>
    </w:p>
    <w:p w14:paraId="15589065">
      <w:pPr>
        <w:ind w:firstLine="480"/>
        <w:rPr>
          <w:rFonts w:cs="Times New Roman"/>
        </w:rPr>
      </w:pPr>
    </w:p>
    <w:p w14:paraId="64E1A348">
      <w:pPr>
        <w:ind w:firstLine="480"/>
        <w:rPr>
          <w:rFonts w:cs="Times New Roman"/>
        </w:rPr>
        <w:sectPr>
          <w:footerReference r:id="rId11" w:type="default"/>
          <w:pgSz w:w="11906" w:h="16838"/>
          <w:pgMar w:top="1440" w:right="1797" w:bottom="1440" w:left="1797" w:header="851" w:footer="992" w:gutter="0"/>
          <w:pgNumType w:fmt="upperRoman" w:start="1"/>
          <w:cols w:space="425" w:num="1"/>
          <w:docGrid w:type="lines" w:linePitch="312" w:charSpace="0"/>
        </w:sectPr>
      </w:pPr>
    </w:p>
    <w:p w14:paraId="6C0B7A12">
      <w:pPr>
        <w:pStyle w:val="3"/>
        <w:rPr>
          <w:rFonts w:cs="Times New Roman"/>
        </w:rPr>
      </w:pPr>
      <w:bookmarkStart w:id="2" w:name="_Toc509498030"/>
      <w:bookmarkStart w:id="3" w:name="_Toc509498231"/>
      <w:bookmarkStart w:id="4" w:name="_Toc480990431"/>
      <w:bookmarkStart w:id="5" w:name="_Toc480991551"/>
      <w:r>
        <w:rPr>
          <w:rFonts w:cs="Times New Roman"/>
        </w:rPr>
        <w:t>表一、建设项目基本情况</w:t>
      </w:r>
      <w:bookmarkEnd w:id="2"/>
      <w:bookmarkEnd w:id="3"/>
      <w:bookmarkEnd w:id="4"/>
      <w:bookmarkEnd w:id="5"/>
    </w:p>
    <w:tbl>
      <w:tblPr>
        <w:tblStyle w:val="22"/>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1493"/>
        <w:gridCol w:w="791"/>
        <w:gridCol w:w="852"/>
        <w:gridCol w:w="237"/>
        <w:gridCol w:w="1619"/>
        <w:gridCol w:w="45"/>
        <w:gridCol w:w="69"/>
        <w:gridCol w:w="1123"/>
        <w:gridCol w:w="318"/>
        <w:gridCol w:w="1183"/>
      </w:tblGrid>
      <w:tr w14:paraId="322A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17CB8472">
            <w:pPr>
              <w:ind w:firstLine="0" w:firstLineChars="0"/>
              <w:jc w:val="center"/>
              <w:rPr>
                <w:rFonts w:cs="Times New Roman"/>
                <w:b/>
                <w:szCs w:val="24"/>
              </w:rPr>
            </w:pPr>
            <w:r>
              <w:rPr>
                <w:rFonts w:cs="Times New Roman"/>
                <w:b/>
                <w:szCs w:val="24"/>
              </w:rPr>
              <w:t>项目名称</w:t>
            </w:r>
          </w:p>
        </w:tc>
        <w:tc>
          <w:tcPr>
            <w:tcW w:w="7730" w:type="dxa"/>
            <w:gridSpan w:val="10"/>
            <w:vAlign w:val="center"/>
          </w:tcPr>
          <w:p w14:paraId="0786CC13">
            <w:pPr>
              <w:ind w:firstLine="0" w:firstLineChars="0"/>
              <w:jc w:val="center"/>
              <w:rPr>
                <w:rFonts w:cs="Times New Roman"/>
                <w:color w:val="FF0000"/>
                <w:szCs w:val="24"/>
              </w:rPr>
            </w:pPr>
            <w:r>
              <w:rPr>
                <w:rFonts w:hint="eastAsia" w:cs="Times New Roman"/>
                <w:color w:val="FF0000"/>
                <w:szCs w:val="24"/>
              </w:rPr>
              <w:t>芒市风平镇户育采石场工程建设项目</w:t>
            </w:r>
          </w:p>
        </w:tc>
      </w:tr>
      <w:tr w14:paraId="43BD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3E651473">
            <w:pPr>
              <w:ind w:firstLine="0" w:firstLineChars="0"/>
              <w:jc w:val="center"/>
              <w:rPr>
                <w:rFonts w:cs="Times New Roman"/>
                <w:b/>
                <w:szCs w:val="24"/>
              </w:rPr>
            </w:pPr>
            <w:r>
              <w:rPr>
                <w:rFonts w:cs="Times New Roman"/>
                <w:b/>
                <w:szCs w:val="24"/>
              </w:rPr>
              <w:t>建设单位</w:t>
            </w:r>
          </w:p>
        </w:tc>
        <w:tc>
          <w:tcPr>
            <w:tcW w:w="7730" w:type="dxa"/>
            <w:gridSpan w:val="10"/>
            <w:vAlign w:val="center"/>
          </w:tcPr>
          <w:p w14:paraId="50766718">
            <w:pPr>
              <w:ind w:firstLine="0" w:firstLineChars="0"/>
              <w:jc w:val="center"/>
              <w:rPr>
                <w:rFonts w:cs="Times New Roman"/>
                <w:szCs w:val="24"/>
              </w:rPr>
            </w:pPr>
            <w:r>
              <w:rPr>
                <w:rFonts w:cs="Times New Roman"/>
                <w:szCs w:val="24"/>
              </w:rPr>
              <w:t>芒市同兴建材有限责任公司</w:t>
            </w:r>
          </w:p>
        </w:tc>
      </w:tr>
      <w:tr w14:paraId="4121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5E2A2290">
            <w:pPr>
              <w:ind w:firstLine="0" w:firstLineChars="0"/>
              <w:jc w:val="center"/>
              <w:rPr>
                <w:rFonts w:cs="Times New Roman"/>
                <w:b/>
                <w:szCs w:val="24"/>
              </w:rPr>
            </w:pPr>
            <w:r>
              <w:rPr>
                <w:rFonts w:cs="Times New Roman"/>
                <w:b/>
                <w:szCs w:val="24"/>
              </w:rPr>
              <w:t>法人代表</w:t>
            </w:r>
          </w:p>
        </w:tc>
        <w:tc>
          <w:tcPr>
            <w:tcW w:w="3136" w:type="dxa"/>
            <w:gridSpan w:val="3"/>
            <w:vAlign w:val="center"/>
          </w:tcPr>
          <w:p w14:paraId="2AB90618">
            <w:pPr>
              <w:ind w:firstLine="0" w:firstLineChars="0"/>
              <w:jc w:val="center"/>
              <w:rPr>
                <w:rFonts w:cs="Times New Roman"/>
                <w:szCs w:val="24"/>
              </w:rPr>
            </w:pPr>
            <w:r>
              <w:rPr>
                <w:rFonts w:cs="Times New Roman"/>
              </w:rPr>
              <w:t xml:space="preserve"> 廖同昌</w:t>
            </w:r>
          </w:p>
        </w:tc>
        <w:tc>
          <w:tcPr>
            <w:tcW w:w="1856" w:type="dxa"/>
            <w:gridSpan w:val="2"/>
            <w:vAlign w:val="center"/>
          </w:tcPr>
          <w:p w14:paraId="5AE88A8F">
            <w:pPr>
              <w:ind w:firstLine="0" w:firstLineChars="0"/>
              <w:jc w:val="center"/>
              <w:rPr>
                <w:rFonts w:cs="Times New Roman"/>
                <w:b/>
                <w:szCs w:val="24"/>
              </w:rPr>
            </w:pPr>
            <w:r>
              <w:rPr>
                <w:rFonts w:cs="Times New Roman"/>
                <w:b/>
                <w:szCs w:val="24"/>
              </w:rPr>
              <w:t>联系人</w:t>
            </w:r>
          </w:p>
        </w:tc>
        <w:tc>
          <w:tcPr>
            <w:tcW w:w="2738" w:type="dxa"/>
            <w:gridSpan w:val="5"/>
            <w:vAlign w:val="center"/>
          </w:tcPr>
          <w:p w14:paraId="24CACF0C">
            <w:pPr>
              <w:ind w:firstLine="0" w:firstLineChars="0"/>
              <w:jc w:val="center"/>
              <w:rPr>
                <w:rFonts w:cs="Times New Roman"/>
                <w:szCs w:val="24"/>
              </w:rPr>
            </w:pPr>
            <w:r>
              <w:rPr>
                <w:rFonts w:cs="Times New Roman"/>
              </w:rPr>
              <w:t>廖同昌</w:t>
            </w:r>
          </w:p>
        </w:tc>
      </w:tr>
      <w:tr w14:paraId="63A7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01C6C05D">
            <w:pPr>
              <w:ind w:firstLine="0" w:firstLineChars="0"/>
              <w:jc w:val="center"/>
              <w:rPr>
                <w:rFonts w:cs="Times New Roman"/>
                <w:b/>
                <w:szCs w:val="24"/>
              </w:rPr>
            </w:pPr>
            <w:r>
              <w:rPr>
                <w:rFonts w:cs="Times New Roman"/>
                <w:b/>
                <w:szCs w:val="24"/>
              </w:rPr>
              <w:t>通讯地址</w:t>
            </w:r>
          </w:p>
        </w:tc>
        <w:tc>
          <w:tcPr>
            <w:tcW w:w="7730" w:type="dxa"/>
            <w:gridSpan w:val="10"/>
            <w:vAlign w:val="center"/>
          </w:tcPr>
          <w:p w14:paraId="34B20F05">
            <w:pPr>
              <w:ind w:firstLine="0" w:firstLineChars="0"/>
              <w:jc w:val="center"/>
              <w:rPr>
                <w:rFonts w:cs="Times New Roman"/>
                <w:szCs w:val="24"/>
              </w:rPr>
            </w:pPr>
            <w:r>
              <w:rPr>
                <w:rFonts w:cs="Times New Roman"/>
                <w:szCs w:val="24"/>
              </w:rPr>
              <w:t>云南省德宏州芒市风平镇户育村</w:t>
            </w:r>
          </w:p>
        </w:tc>
      </w:tr>
      <w:tr w14:paraId="4B4D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67BED867">
            <w:pPr>
              <w:ind w:firstLine="0" w:firstLineChars="0"/>
              <w:jc w:val="center"/>
              <w:rPr>
                <w:rFonts w:cs="Times New Roman"/>
                <w:b/>
                <w:szCs w:val="24"/>
              </w:rPr>
            </w:pPr>
            <w:r>
              <w:rPr>
                <w:rFonts w:cs="Times New Roman"/>
                <w:b/>
                <w:szCs w:val="24"/>
              </w:rPr>
              <w:t>联系电话</w:t>
            </w:r>
          </w:p>
        </w:tc>
        <w:tc>
          <w:tcPr>
            <w:tcW w:w="2284" w:type="dxa"/>
            <w:gridSpan w:val="2"/>
            <w:vAlign w:val="center"/>
          </w:tcPr>
          <w:p w14:paraId="0DF6B665">
            <w:pPr>
              <w:ind w:firstLine="0" w:firstLineChars="0"/>
              <w:jc w:val="center"/>
              <w:rPr>
                <w:rFonts w:cs="Times New Roman"/>
                <w:szCs w:val="24"/>
              </w:rPr>
            </w:pPr>
            <w:r>
              <w:rPr>
                <w:rFonts w:cs="Times New Roman"/>
              </w:rPr>
              <w:t xml:space="preserve"> 133</w:t>
            </w:r>
            <w:r>
              <w:rPr>
                <w:rFonts w:hint="eastAsia" w:cs="Times New Roman"/>
                <w:lang w:val="en-US" w:eastAsia="zh-CN"/>
              </w:rPr>
              <w:t>*****</w:t>
            </w:r>
            <w:r>
              <w:rPr>
                <w:rFonts w:cs="Times New Roman"/>
              </w:rPr>
              <w:t>127</w:t>
            </w:r>
          </w:p>
        </w:tc>
        <w:tc>
          <w:tcPr>
            <w:tcW w:w="852" w:type="dxa"/>
            <w:vAlign w:val="center"/>
          </w:tcPr>
          <w:p w14:paraId="29FD0CD6">
            <w:pPr>
              <w:ind w:firstLine="0" w:firstLineChars="0"/>
              <w:jc w:val="center"/>
              <w:rPr>
                <w:rFonts w:cs="Times New Roman"/>
                <w:b/>
                <w:szCs w:val="24"/>
              </w:rPr>
            </w:pPr>
            <w:r>
              <w:rPr>
                <w:rFonts w:cs="Times New Roman"/>
                <w:b/>
                <w:szCs w:val="24"/>
              </w:rPr>
              <w:t>传真</w:t>
            </w:r>
          </w:p>
        </w:tc>
        <w:tc>
          <w:tcPr>
            <w:tcW w:w="1970" w:type="dxa"/>
            <w:gridSpan w:val="4"/>
            <w:vAlign w:val="center"/>
          </w:tcPr>
          <w:p w14:paraId="534F5240">
            <w:pPr>
              <w:ind w:firstLine="0" w:firstLineChars="0"/>
              <w:jc w:val="center"/>
              <w:rPr>
                <w:rFonts w:cs="Times New Roman"/>
                <w:szCs w:val="24"/>
              </w:rPr>
            </w:pPr>
            <w:r>
              <w:rPr>
                <w:rFonts w:cs="Times New Roman"/>
                <w:szCs w:val="24"/>
              </w:rPr>
              <w:t>/</w:t>
            </w:r>
          </w:p>
        </w:tc>
        <w:tc>
          <w:tcPr>
            <w:tcW w:w="1123" w:type="dxa"/>
            <w:vAlign w:val="center"/>
          </w:tcPr>
          <w:p w14:paraId="2BFC702B">
            <w:pPr>
              <w:ind w:firstLine="0" w:firstLineChars="0"/>
              <w:jc w:val="center"/>
              <w:rPr>
                <w:rFonts w:cs="Times New Roman"/>
                <w:b/>
                <w:szCs w:val="24"/>
              </w:rPr>
            </w:pPr>
            <w:r>
              <w:rPr>
                <w:rFonts w:cs="Times New Roman"/>
                <w:b/>
                <w:szCs w:val="24"/>
              </w:rPr>
              <w:t>邮编</w:t>
            </w:r>
          </w:p>
        </w:tc>
        <w:tc>
          <w:tcPr>
            <w:tcW w:w="1501" w:type="dxa"/>
            <w:gridSpan w:val="2"/>
            <w:vAlign w:val="center"/>
          </w:tcPr>
          <w:p w14:paraId="0058BE4E">
            <w:pPr>
              <w:ind w:firstLine="0" w:firstLineChars="0"/>
              <w:jc w:val="center"/>
              <w:rPr>
                <w:rFonts w:cs="Times New Roman"/>
                <w:szCs w:val="24"/>
              </w:rPr>
            </w:pPr>
            <w:r>
              <w:rPr>
                <w:rFonts w:cs="Times New Roman"/>
              </w:rPr>
              <w:t xml:space="preserve"> 678407</w:t>
            </w:r>
          </w:p>
        </w:tc>
      </w:tr>
      <w:tr w14:paraId="57F4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17058CE2">
            <w:pPr>
              <w:ind w:firstLine="0" w:firstLineChars="0"/>
              <w:jc w:val="center"/>
              <w:rPr>
                <w:rFonts w:cs="Times New Roman"/>
                <w:b/>
                <w:szCs w:val="24"/>
              </w:rPr>
            </w:pPr>
            <w:r>
              <w:rPr>
                <w:rFonts w:cs="Times New Roman"/>
                <w:b/>
                <w:szCs w:val="24"/>
              </w:rPr>
              <w:t>建设地点</w:t>
            </w:r>
          </w:p>
        </w:tc>
        <w:tc>
          <w:tcPr>
            <w:tcW w:w="7730" w:type="dxa"/>
            <w:gridSpan w:val="10"/>
            <w:vAlign w:val="center"/>
          </w:tcPr>
          <w:p w14:paraId="058CD0B5">
            <w:pPr>
              <w:ind w:firstLine="0" w:firstLineChars="0"/>
              <w:jc w:val="center"/>
              <w:rPr>
                <w:rFonts w:cs="Times New Roman"/>
                <w:szCs w:val="24"/>
              </w:rPr>
            </w:pPr>
            <w:r>
              <w:rPr>
                <w:rFonts w:cs="Times New Roman"/>
                <w:szCs w:val="24"/>
              </w:rPr>
              <w:t>云南省德宏州芒市风平镇户育村</w:t>
            </w:r>
          </w:p>
        </w:tc>
      </w:tr>
      <w:tr w14:paraId="75D6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0B5F9A2A">
            <w:pPr>
              <w:ind w:firstLine="0" w:firstLineChars="0"/>
              <w:jc w:val="center"/>
              <w:rPr>
                <w:rFonts w:cs="Times New Roman"/>
                <w:b/>
                <w:szCs w:val="24"/>
              </w:rPr>
            </w:pPr>
            <w:r>
              <w:rPr>
                <w:rFonts w:cs="Times New Roman"/>
                <w:b/>
                <w:szCs w:val="24"/>
              </w:rPr>
              <w:t>立项审批部门</w:t>
            </w:r>
          </w:p>
        </w:tc>
        <w:tc>
          <w:tcPr>
            <w:tcW w:w="3373" w:type="dxa"/>
            <w:gridSpan w:val="4"/>
            <w:vAlign w:val="center"/>
          </w:tcPr>
          <w:p w14:paraId="3BE2DFD5">
            <w:pPr>
              <w:ind w:firstLine="0" w:firstLineChars="0"/>
              <w:jc w:val="center"/>
              <w:rPr>
                <w:rFonts w:cs="Times New Roman"/>
                <w:szCs w:val="24"/>
              </w:rPr>
            </w:pPr>
            <w:r>
              <w:rPr>
                <w:rFonts w:cs="Times New Roman"/>
                <w:szCs w:val="24"/>
              </w:rPr>
              <w:t>芒市发展和改革局</w:t>
            </w:r>
          </w:p>
        </w:tc>
        <w:tc>
          <w:tcPr>
            <w:tcW w:w="1664" w:type="dxa"/>
            <w:gridSpan w:val="2"/>
            <w:vAlign w:val="center"/>
          </w:tcPr>
          <w:p w14:paraId="39EB8A28">
            <w:pPr>
              <w:ind w:firstLine="0" w:firstLineChars="0"/>
              <w:jc w:val="center"/>
              <w:rPr>
                <w:rFonts w:cs="Times New Roman"/>
                <w:b/>
                <w:szCs w:val="24"/>
              </w:rPr>
            </w:pPr>
            <w:r>
              <w:rPr>
                <w:rFonts w:cs="Times New Roman"/>
                <w:b/>
                <w:szCs w:val="24"/>
              </w:rPr>
              <w:t>备案项目编码</w:t>
            </w:r>
          </w:p>
        </w:tc>
        <w:tc>
          <w:tcPr>
            <w:tcW w:w="2693" w:type="dxa"/>
            <w:gridSpan w:val="4"/>
            <w:vAlign w:val="center"/>
          </w:tcPr>
          <w:p w14:paraId="7A6C3675">
            <w:pPr>
              <w:spacing w:line="240" w:lineRule="auto"/>
              <w:ind w:firstLine="0" w:firstLineChars="0"/>
              <w:jc w:val="center"/>
              <w:rPr>
                <w:rFonts w:cs="Times New Roman"/>
                <w:szCs w:val="24"/>
              </w:rPr>
            </w:pPr>
            <w:r>
              <w:rPr>
                <w:rFonts w:hint="eastAsia" w:cs="Times New Roman"/>
              </w:rPr>
              <w:t>2019-533103-12-03-049309</w:t>
            </w:r>
          </w:p>
        </w:tc>
      </w:tr>
      <w:tr w14:paraId="5DD3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4C410358">
            <w:pPr>
              <w:ind w:firstLine="0" w:firstLineChars="0"/>
              <w:jc w:val="center"/>
              <w:rPr>
                <w:rFonts w:cs="Times New Roman"/>
                <w:b/>
                <w:szCs w:val="24"/>
              </w:rPr>
            </w:pPr>
            <w:r>
              <w:rPr>
                <w:rFonts w:cs="Times New Roman"/>
                <w:b/>
                <w:szCs w:val="24"/>
              </w:rPr>
              <w:t>建设性质</w:t>
            </w:r>
          </w:p>
        </w:tc>
        <w:tc>
          <w:tcPr>
            <w:tcW w:w="3373" w:type="dxa"/>
            <w:gridSpan w:val="4"/>
            <w:vAlign w:val="center"/>
          </w:tcPr>
          <w:p w14:paraId="431FD30F">
            <w:pPr>
              <w:ind w:firstLine="0" w:firstLineChars="0"/>
              <w:jc w:val="center"/>
              <w:rPr>
                <w:rFonts w:cs="Times New Roman"/>
                <w:szCs w:val="24"/>
              </w:rPr>
            </w:pPr>
            <w:r>
              <w:rPr>
                <w:rFonts w:cs="Times New Roman"/>
                <w:color w:val="FF0000"/>
              </w:rPr>
              <w:t>新建□</w:t>
            </w:r>
            <w:r>
              <w:rPr>
                <w:rFonts w:hint="eastAsia" w:cs="Times New Roman"/>
              </w:rPr>
              <w:t xml:space="preserve"> </w:t>
            </w:r>
            <w:r>
              <w:rPr>
                <w:rFonts w:cs="Times New Roman"/>
                <w:color w:val="FF0000"/>
              </w:rPr>
              <w:t>改扩建√</w:t>
            </w:r>
            <w:r>
              <w:rPr>
                <w:rFonts w:hint="eastAsia" w:cs="Times New Roman"/>
                <w:color w:val="FF0000"/>
              </w:rPr>
              <w:t xml:space="preserve"> </w:t>
            </w:r>
            <w:r>
              <w:rPr>
                <w:rFonts w:cs="Times New Roman"/>
              </w:rPr>
              <w:t>技改□</w:t>
            </w:r>
          </w:p>
        </w:tc>
        <w:tc>
          <w:tcPr>
            <w:tcW w:w="1664" w:type="dxa"/>
            <w:gridSpan w:val="2"/>
            <w:vAlign w:val="center"/>
          </w:tcPr>
          <w:p w14:paraId="56D1D756">
            <w:pPr>
              <w:ind w:firstLine="0" w:firstLineChars="0"/>
              <w:jc w:val="center"/>
              <w:rPr>
                <w:rFonts w:cs="Times New Roman"/>
                <w:b/>
                <w:szCs w:val="24"/>
              </w:rPr>
            </w:pPr>
            <w:r>
              <w:rPr>
                <w:rFonts w:cs="Times New Roman"/>
                <w:b/>
                <w:szCs w:val="24"/>
              </w:rPr>
              <w:t>行业类别及代码</w:t>
            </w:r>
          </w:p>
        </w:tc>
        <w:tc>
          <w:tcPr>
            <w:tcW w:w="2693" w:type="dxa"/>
            <w:gridSpan w:val="4"/>
            <w:vAlign w:val="center"/>
          </w:tcPr>
          <w:p w14:paraId="2919E8E6">
            <w:pPr>
              <w:ind w:firstLine="0" w:firstLineChars="0"/>
              <w:jc w:val="center"/>
              <w:rPr>
                <w:rFonts w:cs="Times New Roman"/>
                <w:szCs w:val="24"/>
              </w:rPr>
            </w:pPr>
            <w:r>
              <w:rPr>
                <w:rFonts w:cs="Times New Roman"/>
              </w:rPr>
              <w:t>粘土及其他土砂开采（B1019）</w:t>
            </w:r>
          </w:p>
        </w:tc>
      </w:tr>
      <w:tr w14:paraId="75C0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00F52122">
            <w:pPr>
              <w:ind w:firstLine="0" w:firstLineChars="0"/>
              <w:jc w:val="center"/>
              <w:rPr>
                <w:rFonts w:cs="Times New Roman"/>
                <w:b/>
                <w:szCs w:val="24"/>
              </w:rPr>
            </w:pPr>
            <w:r>
              <w:rPr>
                <w:rFonts w:cs="Times New Roman"/>
                <w:b/>
                <w:szCs w:val="24"/>
              </w:rPr>
              <w:t>占地面积</w:t>
            </w:r>
          </w:p>
          <w:p w14:paraId="28BFC59A">
            <w:pPr>
              <w:ind w:firstLine="0" w:firstLineChars="0"/>
              <w:jc w:val="center"/>
              <w:rPr>
                <w:rFonts w:cs="Times New Roman"/>
                <w:b/>
                <w:szCs w:val="24"/>
              </w:rPr>
            </w:pPr>
            <w:r>
              <w:rPr>
                <w:rFonts w:cs="Times New Roman"/>
                <w:b/>
                <w:szCs w:val="24"/>
              </w:rPr>
              <w:t>（平方米）</w:t>
            </w:r>
          </w:p>
        </w:tc>
        <w:tc>
          <w:tcPr>
            <w:tcW w:w="3373" w:type="dxa"/>
            <w:gridSpan w:val="4"/>
            <w:vAlign w:val="center"/>
          </w:tcPr>
          <w:p w14:paraId="47FF85F9">
            <w:pPr>
              <w:ind w:firstLine="0" w:firstLineChars="0"/>
              <w:jc w:val="center"/>
              <w:rPr>
                <w:rFonts w:cs="Times New Roman"/>
                <w:szCs w:val="24"/>
              </w:rPr>
            </w:pPr>
            <w:r>
              <w:rPr>
                <w:rFonts w:cs="Times New Roman"/>
                <w:szCs w:val="24"/>
              </w:rPr>
              <w:t>292000</w:t>
            </w:r>
          </w:p>
        </w:tc>
        <w:tc>
          <w:tcPr>
            <w:tcW w:w="1664" w:type="dxa"/>
            <w:gridSpan w:val="2"/>
            <w:vAlign w:val="center"/>
          </w:tcPr>
          <w:p w14:paraId="653BADD5">
            <w:pPr>
              <w:ind w:firstLine="0" w:firstLineChars="0"/>
              <w:jc w:val="center"/>
              <w:rPr>
                <w:rFonts w:cs="Times New Roman"/>
                <w:b/>
                <w:szCs w:val="24"/>
              </w:rPr>
            </w:pPr>
            <w:r>
              <w:rPr>
                <w:rFonts w:cs="Times New Roman"/>
                <w:b/>
                <w:szCs w:val="24"/>
              </w:rPr>
              <w:t>绿化面积</w:t>
            </w:r>
          </w:p>
          <w:p w14:paraId="401BDEE3">
            <w:pPr>
              <w:ind w:firstLine="0" w:firstLineChars="0"/>
              <w:jc w:val="center"/>
              <w:rPr>
                <w:rFonts w:cs="Times New Roman"/>
                <w:szCs w:val="24"/>
              </w:rPr>
            </w:pPr>
            <w:r>
              <w:rPr>
                <w:rFonts w:cs="Times New Roman"/>
                <w:b/>
                <w:szCs w:val="24"/>
              </w:rPr>
              <w:t>（平方米）</w:t>
            </w:r>
          </w:p>
        </w:tc>
        <w:tc>
          <w:tcPr>
            <w:tcW w:w="2693" w:type="dxa"/>
            <w:gridSpan w:val="4"/>
            <w:vAlign w:val="center"/>
          </w:tcPr>
          <w:p w14:paraId="478B2450">
            <w:pPr>
              <w:ind w:firstLine="0" w:firstLineChars="0"/>
              <w:jc w:val="center"/>
              <w:rPr>
                <w:rFonts w:cs="Times New Roman"/>
                <w:szCs w:val="24"/>
              </w:rPr>
            </w:pPr>
            <w:r>
              <w:rPr>
                <w:rFonts w:cs="Times New Roman"/>
                <w:szCs w:val="24"/>
              </w:rPr>
              <w:t xml:space="preserve"> 4000</w:t>
            </w:r>
          </w:p>
        </w:tc>
      </w:tr>
      <w:tr w14:paraId="1589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75C003A9">
            <w:pPr>
              <w:ind w:firstLine="0" w:firstLineChars="0"/>
              <w:jc w:val="center"/>
              <w:rPr>
                <w:rFonts w:cs="Times New Roman"/>
                <w:b/>
                <w:szCs w:val="24"/>
              </w:rPr>
            </w:pPr>
            <w:r>
              <w:rPr>
                <w:rFonts w:cs="Times New Roman"/>
                <w:b/>
                <w:szCs w:val="24"/>
              </w:rPr>
              <w:t>总投资</w:t>
            </w:r>
          </w:p>
          <w:p w14:paraId="3CAD4FA4">
            <w:pPr>
              <w:ind w:firstLine="0" w:firstLineChars="0"/>
              <w:jc w:val="center"/>
              <w:rPr>
                <w:rFonts w:cs="Times New Roman"/>
                <w:b/>
                <w:szCs w:val="24"/>
              </w:rPr>
            </w:pPr>
            <w:r>
              <w:rPr>
                <w:rFonts w:cs="Times New Roman"/>
                <w:b/>
                <w:szCs w:val="24"/>
              </w:rPr>
              <w:t>（万元）</w:t>
            </w:r>
          </w:p>
        </w:tc>
        <w:tc>
          <w:tcPr>
            <w:tcW w:w="1493" w:type="dxa"/>
            <w:vAlign w:val="center"/>
          </w:tcPr>
          <w:p w14:paraId="374C227A">
            <w:pPr>
              <w:ind w:firstLine="0" w:firstLineChars="0"/>
              <w:jc w:val="center"/>
              <w:rPr>
                <w:rFonts w:cs="Times New Roman"/>
                <w:color w:val="FF0000"/>
                <w:szCs w:val="24"/>
              </w:rPr>
            </w:pPr>
            <w:r>
              <w:rPr>
                <w:rFonts w:hint="eastAsia" w:cs="Times New Roman"/>
                <w:color w:val="FF0000"/>
                <w:szCs w:val="24"/>
              </w:rPr>
              <w:t>2729.8</w:t>
            </w:r>
          </w:p>
        </w:tc>
        <w:tc>
          <w:tcPr>
            <w:tcW w:w="1880" w:type="dxa"/>
            <w:gridSpan w:val="3"/>
            <w:vAlign w:val="center"/>
          </w:tcPr>
          <w:p w14:paraId="669FA60C">
            <w:pPr>
              <w:ind w:firstLine="0" w:firstLineChars="0"/>
              <w:jc w:val="center"/>
              <w:rPr>
                <w:rFonts w:cs="Times New Roman"/>
                <w:b/>
                <w:szCs w:val="24"/>
              </w:rPr>
            </w:pPr>
            <w:r>
              <w:rPr>
                <w:rFonts w:cs="Times New Roman"/>
                <w:b/>
                <w:szCs w:val="24"/>
              </w:rPr>
              <w:t>其中：环保投资（万元）</w:t>
            </w:r>
          </w:p>
        </w:tc>
        <w:tc>
          <w:tcPr>
            <w:tcW w:w="1664" w:type="dxa"/>
            <w:gridSpan w:val="2"/>
            <w:vAlign w:val="center"/>
          </w:tcPr>
          <w:p w14:paraId="18E75814">
            <w:pPr>
              <w:ind w:firstLine="0" w:firstLineChars="0"/>
              <w:jc w:val="center"/>
              <w:rPr>
                <w:rFonts w:cs="Times New Roman"/>
                <w:color w:val="FF0000"/>
                <w:szCs w:val="24"/>
              </w:rPr>
            </w:pPr>
            <w:r>
              <w:rPr>
                <w:rFonts w:cs="Times New Roman"/>
                <w:szCs w:val="24"/>
              </w:rPr>
              <w:t xml:space="preserve"> </w:t>
            </w:r>
            <w:r>
              <w:rPr>
                <w:rFonts w:cs="Times New Roman"/>
                <w:color w:val="FF0000"/>
                <w:szCs w:val="24"/>
              </w:rPr>
              <w:t>1</w:t>
            </w:r>
            <w:r>
              <w:rPr>
                <w:rFonts w:hint="eastAsia" w:cs="Times New Roman"/>
                <w:color w:val="FF0000"/>
                <w:szCs w:val="24"/>
              </w:rPr>
              <w:t>3</w:t>
            </w:r>
            <w:r>
              <w:rPr>
                <w:rFonts w:cs="Times New Roman"/>
                <w:color w:val="FF0000"/>
                <w:szCs w:val="24"/>
              </w:rPr>
              <w:t>2.9</w:t>
            </w:r>
          </w:p>
        </w:tc>
        <w:tc>
          <w:tcPr>
            <w:tcW w:w="1510" w:type="dxa"/>
            <w:gridSpan w:val="3"/>
            <w:vAlign w:val="center"/>
          </w:tcPr>
          <w:p w14:paraId="4B05B404">
            <w:pPr>
              <w:ind w:firstLine="0" w:firstLineChars="0"/>
              <w:jc w:val="center"/>
              <w:rPr>
                <w:rFonts w:cs="Times New Roman"/>
                <w:b/>
                <w:szCs w:val="24"/>
              </w:rPr>
            </w:pPr>
            <w:r>
              <w:rPr>
                <w:rFonts w:cs="Times New Roman"/>
                <w:b/>
                <w:szCs w:val="24"/>
              </w:rPr>
              <w:t>环保投资占总投资比例</w:t>
            </w:r>
          </w:p>
        </w:tc>
        <w:tc>
          <w:tcPr>
            <w:tcW w:w="1183" w:type="dxa"/>
            <w:vAlign w:val="center"/>
          </w:tcPr>
          <w:p w14:paraId="056A1EF6">
            <w:pPr>
              <w:ind w:firstLine="0" w:firstLineChars="0"/>
              <w:jc w:val="center"/>
              <w:rPr>
                <w:rFonts w:cs="Times New Roman"/>
                <w:szCs w:val="24"/>
              </w:rPr>
            </w:pPr>
            <w:r>
              <w:rPr>
                <w:rFonts w:cs="Times New Roman"/>
                <w:szCs w:val="24"/>
              </w:rPr>
              <w:t>4</w:t>
            </w:r>
            <w:r>
              <w:rPr>
                <w:rFonts w:hint="eastAsia" w:cs="Times New Roman"/>
                <w:szCs w:val="24"/>
              </w:rPr>
              <w:t>.87</w:t>
            </w:r>
            <w:r>
              <w:rPr>
                <w:rFonts w:cs="Times New Roman"/>
                <w:szCs w:val="24"/>
              </w:rPr>
              <w:t>%</w:t>
            </w:r>
          </w:p>
        </w:tc>
      </w:tr>
      <w:tr w14:paraId="2283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93" w:type="dxa"/>
            <w:vAlign w:val="center"/>
          </w:tcPr>
          <w:p w14:paraId="3439E483">
            <w:pPr>
              <w:ind w:firstLine="0" w:firstLineChars="0"/>
              <w:jc w:val="center"/>
              <w:rPr>
                <w:rFonts w:cs="Times New Roman"/>
                <w:b/>
                <w:szCs w:val="24"/>
              </w:rPr>
            </w:pPr>
            <w:r>
              <w:rPr>
                <w:rFonts w:cs="Times New Roman"/>
                <w:b/>
                <w:szCs w:val="24"/>
              </w:rPr>
              <w:t>评价经费</w:t>
            </w:r>
          </w:p>
          <w:p w14:paraId="387795DF">
            <w:pPr>
              <w:ind w:firstLine="0" w:firstLineChars="0"/>
              <w:jc w:val="center"/>
              <w:rPr>
                <w:rFonts w:cs="Times New Roman"/>
                <w:b/>
                <w:szCs w:val="24"/>
              </w:rPr>
            </w:pPr>
            <w:r>
              <w:rPr>
                <w:rFonts w:cs="Times New Roman"/>
                <w:b/>
                <w:szCs w:val="24"/>
              </w:rPr>
              <w:t>（万元）</w:t>
            </w:r>
          </w:p>
        </w:tc>
        <w:tc>
          <w:tcPr>
            <w:tcW w:w="3373" w:type="dxa"/>
            <w:gridSpan w:val="4"/>
            <w:vAlign w:val="center"/>
          </w:tcPr>
          <w:p w14:paraId="5ED29804">
            <w:pPr>
              <w:ind w:firstLine="0" w:firstLineChars="0"/>
              <w:jc w:val="center"/>
              <w:rPr>
                <w:rFonts w:cs="Times New Roman"/>
                <w:szCs w:val="24"/>
              </w:rPr>
            </w:pPr>
            <w:r>
              <w:rPr>
                <w:rFonts w:cs="Times New Roman"/>
                <w:szCs w:val="24"/>
              </w:rPr>
              <w:t>/</w:t>
            </w:r>
          </w:p>
        </w:tc>
        <w:tc>
          <w:tcPr>
            <w:tcW w:w="1664" w:type="dxa"/>
            <w:gridSpan w:val="2"/>
            <w:vAlign w:val="center"/>
          </w:tcPr>
          <w:p w14:paraId="0CEEBA8E">
            <w:pPr>
              <w:ind w:firstLine="0" w:firstLineChars="0"/>
              <w:jc w:val="center"/>
              <w:rPr>
                <w:rFonts w:cs="Times New Roman"/>
                <w:b/>
                <w:szCs w:val="24"/>
              </w:rPr>
            </w:pPr>
            <w:r>
              <w:rPr>
                <w:rFonts w:cs="Times New Roman"/>
                <w:b/>
                <w:szCs w:val="24"/>
              </w:rPr>
              <w:t>投产日期</w:t>
            </w:r>
          </w:p>
        </w:tc>
        <w:tc>
          <w:tcPr>
            <w:tcW w:w="2693" w:type="dxa"/>
            <w:gridSpan w:val="4"/>
            <w:vAlign w:val="center"/>
          </w:tcPr>
          <w:p w14:paraId="258924EB">
            <w:pPr>
              <w:ind w:firstLine="0" w:firstLineChars="0"/>
              <w:jc w:val="center"/>
              <w:rPr>
                <w:rFonts w:cs="Times New Roman"/>
                <w:szCs w:val="24"/>
              </w:rPr>
            </w:pPr>
            <w:r>
              <w:rPr>
                <w:rFonts w:cs="Times New Roman"/>
                <w:szCs w:val="24"/>
              </w:rPr>
              <w:t>已投产，补办手续</w:t>
            </w:r>
          </w:p>
        </w:tc>
      </w:tr>
      <w:tr w14:paraId="117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11"/>
            <w:vAlign w:val="center"/>
          </w:tcPr>
          <w:p w14:paraId="056B0285">
            <w:pPr>
              <w:pStyle w:val="90"/>
              <w:numPr>
                <w:ilvl w:val="0"/>
                <w:numId w:val="1"/>
              </w:numPr>
              <w:ind w:firstLineChars="0"/>
              <w:rPr>
                <w:rFonts w:cs="Times New Roman"/>
                <w:b/>
              </w:rPr>
            </w:pPr>
            <w:r>
              <w:rPr>
                <w:rFonts w:cs="Times New Roman"/>
                <w:b/>
              </w:rPr>
              <w:t>任务由来</w:t>
            </w:r>
          </w:p>
          <w:p w14:paraId="5E60AAE6">
            <w:pPr>
              <w:pStyle w:val="12"/>
              <w:spacing w:line="560" w:lineRule="exact"/>
              <w:ind w:left="-2" w:leftChars="-1" w:firstLine="480" w:firstLineChars="200"/>
              <w:rPr>
                <w:rFonts w:ascii="Times New Roman" w:hAnsi="Times New Roman"/>
                <w:sz w:val="24"/>
                <w:szCs w:val="24"/>
              </w:rPr>
            </w:pPr>
            <w:r>
              <w:rPr>
                <w:rFonts w:ascii="Times New Roman" w:hAnsi="Times New Roman"/>
                <w:sz w:val="24"/>
                <w:szCs w:val="24"/>
              </w:rPr>
              <w:t>风平镇户育矿区位于芒市240°方向，平距约17.6km，矿区中心点地理坐标（西安80坐标）为东经98°26′48″，北纬24°20′50″；行政区划属芒市风平镇。该矿区共有三座矿山，分别为德宏州三象通用水泥有限责任公司户育石场、芒市风平镇明杨采石场、芒市风平镇明强采石场。三座矿山存在许多隐患及生态环境问题：一、矿区范围相邻，无安全距离；二、三座矿山的生产规模都不符合最小开采规模标准；三、三座矿山均未实施自上而下分台阶（层）开采，矿山现状不符合设计和安全规程；采场已形成高陡边坡，隐患突出；四、生态环境破坏问题突出。</w:t>
            </w:r>
          </w:p>
          <w:p w14:paraId="556A8B37">
            <w:pPr>
              <w:ind w:firstLine="480"/>
              <w:rPr>
                <w:rFonts w:cs="Times New Roman"/>
                <w:szCs w:val="24"/>
              </w:rPr>
            </w:pPr>
            <w:r>
              <w:rPr>
                <w:rFonts w:cs="Times New Roman"/>
                <w:szCs w:val="24"/>
              </w:rPr>
              <w:t>根据《云南省人民政府关于促进非煤矿山转型升级的实施意见》（云政发〔2015〕38号）、《云南省金属非金属矿山转型升级工作联席会议办公室关于德宏州非煤矿山转型升级实施方案的审查意见》（云安监管函〔2016〕80号）、《芒市人民政府关于印发非煤矿山转型升级实施方案的通知》（芒政办发〔2015〕166号），需对风平镇户育矿区三座矿山进行整合重组。由芒市同兴建材有限责任公司作为整合主体对三座矿山进行整合，编制了《芒市风平镇户育矿区整合重组实施方案 》，芒市非煤矿山转型升级联席会议办公室对该方案进行了批复。根据《芒市非煤矿山转型升级联席会议办公室关于芒市风平镇户育矿区整合重组实施方案的批复》，同意整合重组后矿山生产规模为60万t/a。</w:t>
            </w:r>
          </w:p>
          <w:p w14:paraId="230AAD1D">
            <w:pPr>
              <w:ind w:firstLine="480"/>
              <w:rPr>
                <w:rFonts w:cs="Times New Roman"/>
                <w:szCs w:val="24"/>
              </w:rPr>
            </w:pPr>
            <w:r>
              <w:rPr>
                <w:rFonts w:cs="Times New Roman"/>
                <w:szCs w:val="24"/>
              </w:rPr>
              <w:t>经芒市工业信息化局批复同意，2016年3月6日，德宏州三象通用水泥有限责任公司(甲方)与芒市同兴建材有限责任公司（乙方）达成了矿山转让协议，甲方将户育矿山以780万元的价格转让给乙方，故矿区整合重组的主体调整为：芒市同兴建材有限责任公司。本次整合由芒市同兴建材有限公司作为整合主体将户育石场、芒市风平镇明杨采石场、明强采石场三座矿山整合为一座。具体整合方式：关闭明杨采石场、明强采石场共计0.1308 km</w:t>
            </w:r>
            <w:r>
              <w:rPr>
                <w:rFonts w:cs="Times New Roman"/>
                <w:szCs w:val="24"/>
                <w:vertAlign w:val="superscript"/>
              </w:rPr>
              <w:t>2</w:t>
            </w:r>
            <w:r>
              <w:rPr>
                <w:rFonts w:cs="Times New Roman"/>
                <w:szCs w:val="24"/>
              </w:rPr>
              <w:t>的面积并自行按照要求进行恢复治理；保留户育石场总面积0.3744 km</w:t>
            </w:r>
            <w:r>
              <w:rPr>
                <w:rFonts w:cs="Times New Roman"/>
                <w:szCs w:val="24"/>
                <w:vertAlign w:val="superscript"/>
              </w:rPr>
              <w:t>2</w:t>
            </w:r>
            <w:r>
              <w:rPr>
                <w:rFonts w:cs="Times New Roman"/>
                <w:szCs w:val="24"/>
              </w:rPr>
              <w:t>，生产规模为60万t/a。整合后矿山的开采布置、开采规模、安全距离等都满足转型升级的要求，有利于矿山的安全发展。目前明杨采石场、明强采石场两家均已完全关闭，按照</w:t>
            </w:r>
            <w:r>
              <w:rPr>
                <w:rFonts w:cs="Times New Roman"/>
                <w:szCs w:val="28"/>
              </w:rPr>
              <w:t>芒市自然资源局</w:t>
            </w:r>
            <w:r>
              <w:rPr>
                <w:rFonts w:cs="Times New Roman"/>
                <w:szCs w:val="24"/>
              </w:rPr>
              <w:t>的要求实施恢复治理，明强采石场已经完成恢复治理工作，明杨石场恢复治理也正实施。</w:t>
            </w:r>
          </w:p>
          <w:p w14:paraId="43B5869D">
            <w:pPr>
              <w:ind w:firstLine="480"/>
              <w:jc w:val="both"/>
              <w:rPr>
                <w:rFonts w:cs="Times New Roman"/>
                <w:bCs/>
              </w:rPr>
            </w:pPr>
            <w:r>
              <w:rPr>
                <w:rFonts w:cs="Times New Roman"/>
                <w:bCs/>
              </w:rPr>
              <w:t>2019年2月，芒市同兴建材有限责任公司（以下简称“建设单位”）委托云南省地质工程勘察总公司完成了《云南省芒市户育石灰岩矿生产勘探报告》，并取得了芒市自然资源局的备案证明（芒国土资储备字[2019]01号）；2019年4月，建设单位委托中国建筑材料工业地质勘查中心云南总队编制完成了《云南省芒市户育水泥用石灰岩矿矿产资源开发利用方案》。</w:t>
            </w:r>
          </w:p>
          <w:p w14:paraId="38BDEAF8">
            <w:pPr>
              <w:ind w:firstLine="480"/>
              <w:rPr>
                <w:rFonts w:cs="Times New Roman"/>
                <w:bCs/>
                <w:szCs w:val="24"/>
              </w:rPr>
            </w:pPr>
            <w:r>
              <w:rPr>
                <w:rFonts w:cs="Times New Roman"/>
                <w:bCs/>
              </w:rPr>
              <w:t>根据开发利用方案，项目按照生产规模为60万</w:t>
            </w:r>
            <w:r>
              <w:rPr>
                <w:rFonts w:cs="Times New Roman"/>
                <w:bCs/>
                <w:szCs w:val="24"/>
              </w:rPr>
              <w:t>吨/年（</w:t>
            </w:r>
            <w:r>
              <w:rPr>
                <w:rFonts w:cs="Times New Roman"/>
                <w:kern w:val="0"/>
                <w:szCs w:val="24"/>
              </w:rPr>
              <w:t>22.30万m</w:t>
            </w:r>
            <w:r>
              <w:rPr>
                <w:rFonts w:cs="Times New Roman"/>
                <w:kern w:val="0"/>
                <w:szCs w:val="24"/>
                <w:vertAlign w:val="superscript"/>
              </w:rPr>
              <w:t>3</w:t>
            </w:r>
            <w:r>
              <w:rPr>
                <w:rFonts w:cs="Times New Roman"/>
                <w:kern w:val="0"/>
                <w:szCs w:val="24"/>
              </w:rPr>
              <w:t>/a</w:t>
            </w:r>
            <w:r>
              <w:rPr>
                <w:rFonts w:cs="Times New Roman"/>
                <w:bCs/>
                <w:szCs w:val="24"/>
              </w:rPr>
              <w:t>）建设，</w:t>
            </w:r>
            <w:r>
              <w:rPr>
                <w:rFonts w:cs="Times New Roman"/>
                <w:bCs/>
              </w:rPr>
              <w:t>开采方式为半凹陷式露天开采，整合后矿区拐点为23个拐点，</w:t>
            </w:r>
            <w:r>
              <w:rPr>
                <w:rFonts w:cs="Times New Roman"/>
                <w:szCs w:val="24"/>
              </w:rPr>
              <w:t>本次设计开采范围全部位于采矿权内的资源储量估算范围内，矿产核算面积0.3744km</w:t>
            </w:r>
            <w:r>
              <w:rPr>
                <w:rFonts w:cs="Times New Roman"/>
                <w:szCs w:val="24"/>
                <w:vertAlign w:val="superscript"/>
              </w:rPr>
              <w:t>2</w:t>
            </w:r>
            <w:r>
              <w:rPr>
                <w:rFonts w:cs="Times New Roman"/>
                <w:szCs w:val="24"/>
              </w:rPr>
              <w:t>，最低开采标高830m</w:t>
            </w:r>
            <w:r>
              <w:rPr>
                <w:rFonts w:cs="Times New Roman"/>
                <w:bCs/>
                <w:szCs w:val="24"/>
              </w:rPr>
              <w:t>。</w:t>
            </w:r>
          </w:p>
          <w:p w14:paraId="0ACD4D42">
            <w:pPr>
              <w:ind w:firstLine="480"/>
              <w:rPr>
                <w:rFonts w:cs="Times New Roman"/>
                <w:szCs w:val="24"/>
              </w:rPr>
            </w:pPr>
            <w:r>
              <w:rPr>
                <w:rFonts w:cs="Times New Roman"/>
                <w:szCs w:val="24"/>
              </w:rPr>
              <w:t>芒市同兴建材有限责任公司转让过来户育矿山后，对矿区已实施了工程建设，于2018年1月完成了1#、2#破碎生产线的建设并投入了生产。德宏州生态环境局芒市分局于2018年3月17日下发了行政处罚决定书（芒环罚字【2018】4号），建设单位按要求缴纳了罚款。</w:t>
            </w:r>
          </w:p>
          <w:p w14:paraId="09DA5219">
            <w:pPr>
              <w:ind w:firstLine="480"/>
              <w:rPr>
                <w:rFonts w:cs="Times New Roman"/>
                <w:bCs/>
              </w:rPr>
            </w:pPr>
            <w:r>
              <w:rPr>
                <w:rFonts w:cs="Times New Roman"/>
                <w:bCs/>
              </w:rPr>
              <w:t>根据《建设项目环境影响评价分类管理名录》，中华人民共和国环境保护部令第44号（2018年4月28日生态环境保护部1号令修订修正）第四十五条“非金属矿采选业”中的137条“土砂石、石材开采加工”须编制环境影响报告表。为此，</w:t>
            </w:r>
            <w:r>
              <w:rPr>
                <w:rFonts w:cs="Times New Roman"/>
                <w:szCs w:val="24"/>
              </w:rPr>
              <w:t>芒市同兴建材有限责任公司</w:t>
            </w:r>
            <w:r>
              <w:rPr>
                <w:rFonts w:cs="Times New Roman"/>
                <w:bCs/>
              </w:rPr>
              <w:t>委托“银发环保股份有限公司”（以下简称“我单位” ）对本项目进行环境影响评价工作，补办完善环保手续。接受委托后，我单位专业技术人员进行了现场踏勘并收集有关资料，依据相关的法律法规及技术导则，编制完成了《</w:t>
            </w:r>
            <w:r>
              <w:rPr>
                <w:rFonts w:hint="eastAsia" w:cs="Times New Roman"/>
                <w:color w:val="FF0000"/>
                <w:szCs w:val="24"/>
              </w:rPr>
              <w:t>芒市风平镇户育采石场工程建设项目</w:t>
            </w:r>
            <w:r>
              <w:rPr>
                <w:rFonts w:cs="Times New Roman"/>
                <w:bCs/>
              </w:rPr>
              <w:t>环境影响报告表》，供建设单位上报审查。</w:t>
            </w:r>
          </w:p>
          <w:p w14:paraId="02A80A61">
            <w:pPr>
              <w:ind w:firstLine="0" w:firstLineChars="0"/>
              <w:rPr>
                <w:rFonts w:cs="Times New Roman"/>
                <w:b/>
                <w:bCs/>
              </w:rPr>
            </w:pPr>
            <w:r>
              <w:rPr>
                <w:rFonts w:cs="Times New Roman"/>
                <w:b/>
                <w:bCs/>
              </w:rPr>
              <w:t>二、工程概况</w:t>
            </w:r>
          </w:p>
          <w:p w14:paraId="12F9B61E">
            <w:pPr>
              <w:ind w:firstLine="482"/>
              <w:rPr>
                <w:rFonts w:cs="Times New Roman"/>
                <w:b/>
                <w:bCs/>
              </w:rPr>
            </w:pPr>
            <w:r>
              <w:rPr>
                <w:rFonts w:cs="Times New Roman"/>
                <w:b/>
                <w:bCs/>
              </w:rPr>
              <w:t>1、项目基本情况</w:t>
            </w:r>
          </w:p>
          <w:p w14:paraId="705BF964">
            <w:pPr>
              <w:ind w:firstLine="480"/>
              <w:rPr>
                <w:rFonts w:cs="Times New Roman"/>
                <w:bCs/>
              </w:rPr>
            </w:pPr>
            <w:r>
              <w:rPr>
                <w:rFonts w:cs="Times New Roman"/>
                <w:bCs/>
              </w:rPr>
              <w:t>项目名称：</w:t>
            </w:r>
            <w:r>
              <w:rPr>
                <w:rFonts w:hint="eastAsia" w:cs="Times New Roman"/>
                <w:color w:val="FF0000"/>
                <w:szCs w:val="24"/>
              </w:rPr>
              <w:t>芒市风平镇户育采石场工程建设项目</w:t>
            </w:r>
            <w:r>
              <w:rPr>
                <w:rFonts w:cs="Times New Roman"/>
                <w:szCs w:val="24"/>
              </w:rPr>
              <w:t>；</w:t>
            </w:r>
          </w:p>
          <w:p w14:paraId="166F89BA">
            <w:pPr>
              <w:ind w:firstLine="480"/>
              <w:rPr>
                <w:rFonts w:cs="Times New Roman"/>
                <w:bCs/>
              </w:rPr>
            </w:pPr>
            <w:r>
              <w:rPr>
                <w:rFonts w:cs="Times New Roman"/>
                <w:bCs/>
              </w:rPr>
              <w:t>建设单位：</w:t>
            </w:r>
            <w:r>
              <w:rPr>
                <w:rFonts w:cs="Times New Roman"/>
                <w:szCs w:val="24"/>
              </w:rPr>
              <w:t>芒市同兴建材有限责任公司；</w:t>
            </w:r>
          </w:p>
          <w:p w14:paraId="4B02C609">
            <w:pPr>
              <w:ind w:firstLine="480"/>
              <w:rPr>
                <w:rFonts w:cs="Times New Roman"/>
                <w:bCs/>
              </w:rPr>
            </w:pPr>
            <w:r>
              <w:rPr>
                <w:rFonts w:cs="Times New Roman"/>
                <w:bCs/>
              </w:rPr>
              <w:t>建设地点：</w:t>
            </w:r>
            <w:r>
              <w:rPr>
                <w:rFonts w:cs="Times New Roman"/>
                <w:szCs w:val="24"/>
              </w:rPr>
              <w:t>云南省德宏州芒市风平镇户育村；</w:t>
            </w:r>
          </w:p>
          <w:p w14:paraId="112A9926">
            <w:pPr>
              <w:ind w:firstLine="480"/>
              <w:rPr>
                <w:rFonts w:cs="Times New Roman"/>
                <w:bCs/>
              </w:rPr>
            </w:pPr>
            <w:r>
              <w:rPr>
                <w:rFonts w:cs="Times New Roman"/>
                <w:bCs/>
              </w:rPr>
              <w:t>建设性质：</w:t>
            </w:r>
            <w:r>
              <w:rPr>
                <w:rFonts w:hint="eastAsia" w:cs="Times New Roman"/>
                <w:bCs/>
                <w:color w:val="FF0000"/>
              </w:rPr>
              <w:t>扩建</w:t>
            </w:r>
            <w:r>
              <w:rPr>
                <w:rFonts w:cs="Times New Roman"/>
                <w:bCs/>
                <w:color w:val="FF0000"/>
              </w:rPr>
              <w:t>；</w:t>
            </w:r>
          </w:p>
          <w:p w14:paraId="0D532DA8">
            <w:pPr>
              <w:ind w:firstLine="480"/>
              <w:rPr>
                <w:rFonts w:cs="Times New Roman"/>
                <w:bCs/>
              </w:rPr>
            </w:pPr>
            <w:r>
              <w:rPr>
                <w:rFonts w:cs="Times New Roman"/>
                <w:bCs/>
              </w:rPr>
              <w:t>项目总投资：</w:t>
            </w:r>
            <w:r>
              <w:rPr>
                <w:rFonts w:cs="Times New Roman"/>
                <w:color w:val="FF0000"/>
                <w:szCs w:val="24"/>
              </w:rPr>
              <w:t>2729.8</w:t>
            </w:r>
            <w:r>
              <w:rPr>
                <w:rFonts w:cs="Times New Roman"/>
                <w:bCs/>
              </w:rPr>
              <w:t>元；</w:t>
            </w:r>
          </w:p>
          <w:p w14:paraId="10EA2ECC">
            <w:pPr>
              <w:ind w:firstLine="480"/>
              <w:rPr>
                <w:rFonts w:cs="Times New Roman"/>
                <w:bCs/>
              </w:rPr>
            </w:pPr>
            <w:r>
              <w:rPr>
                <w:rFonts w:cs="Times New Roman"/>
                <w:bCs/>
              </w:rPr>
              <w:t xml:space="preserve">生产规模： </w:t>
            </w:r>
            <w:r>
              <w:rPr>
                <w:rFonts w:hint="eastAsia" w:cs="Times New Roman"/>
                <w:bCs/>
                <w:color w:val="FF0000"/>
              </w:rPr>
              <w:t>项目设置2条生产线，生产能力为</w:t>
            </w:r>
            <w:r>
              <w:rPr>
                <w:rFonts w:cs="Times New Roman"/>
                <w:bCs/>
                <w:color w:val="FF0000"/>
              </w:rPr>
              <w:t>60万吨</w:t>
            </w:r>
            <w:r>
              <w:rPr>
                <w:rFonts w:cs="Times New Roman"/>
                <w:bCs/>
                <w:szCs w:val="24"/>
              </w:rPr>
              <w:t>/年（</w:t>
            </w:r>
            <w:r>
              <w:rPr>
                <w:rFonts w:cs="Times New Roman"/>
                <w:kern w:val="0"/>
                <w:szCs w:val="24"/>
              </w:rPr>
              <w:t>22.30万m</w:t>
            </w:r>
            <w:r>
              <w:rPr>
                <w:rFonts w:cs="Times New Roman"/>
                <w:kern w:val="0"/>
                <w:szCs w:val="24"/>
                <w:vertAlign w:val="superscript"/>
              </w:rPr>
              <w:t>3</w:t>
            </w:r>
            <w:r>
              <w:rPr>
                <w:rFonts w:cs="Times New Roman"/>
                <w:kern w:val="0"/>
                <w:szCs w:val="24"/>
              </w:rPr>
              <w:t>/a</w:t>
            </w:r>
            <w:r>
              <w:rPr>
                <w:rFonts w:cs="Times New Roman"/>
                <w:bCs/>
                <w:szCs w:val="24"/>
              </w:rPr>
              <w:t>）；</w:t>
            </w:r>
          </w:p>
          <w:p w14:paraId="1B46F70C">
            <w:pPr>
              <w:ind w:firstLine="480"/>
              <w:rPr>
                <w:rFonts w:cs="Times New Roman"/>
                <w:bCs/>
              </w:rPr>
            </w:pPr>
            <w:r>
              <w:rPr>
                <w:rFonts w:cs="Times New Roman"/>
                <w:bCs/>
              </w:rPr>
              <w:t>矿区范围：矿区面积为</w:t>
            </w:r>
            <w:r>
              <w:rPr>
                <w:rFonts w:cs="Times New Roman"/>
                <w:szCs w:val="24"/>
              </w:rPr>
              <w:t>0.3744</w:t>
            </w:r>
            <w:r>
              <w:rPr>
                <w:rFonts w:cs="Times New Roman"/>
                <w:bCs/>
              </w:rPr>
              <w:t>km</w:t>
            </w:r>
            <w:r>
              <w:rPr>
                <w:rFonts w:cs="Times New Roman"/>
                <w:bCs/>
                <w:vertAlign w:val="superscript"/>
              </w:rPr>
              <w:t>2</w:t>
            </w:r>
            <w:r>
              <w:rPr>
                <w:rFonts w:cs="Times New Roman"/>
                <w:bCs/>
              </w:rPr>
              <w:t>，开采标高1225m~830m；</w:t>
            </w:r>
          </w:p>
          <w:p w14:paraId="2D40580E">
            <w:pPr>
              <w:ind w:firstLine="480"/>
              <w:rPr>
                <w:rFonts w:cs="Times New Roman"/>
                <w:bCs/>
              </w:rPr>
            </w:pPr>
            <w:r>
              <w:rPr>
                <w:rFonts w:cs="Times New Roman"/>
                <w:bCs/>
              </w:rPr>
              <w:t>服务年限：22.6年；</w:t>
            </w:r>
          </w:p>
          <w:p w14:paraId="593396EB">
            <w:pPr>
              <w:ind w:firstLine="480"/>
              <w:rPr>
                <w:rFonts w:cs="Times New Roman"/>
                <w:bCs/>
              </w:rPr>
            </w:pPr>
            <w:r>
              <w:rPr>
                <w:rFonts w:cs="Times New Roman"/>
                <w:bCs/>
              </w:rPr>
              <w:t>露天采</w:t>
            </w:r>
            <w:r>
              <w:rPr>
                <w:rFonts w:cs="Times New Roman"/>
                <w:bCs/>
                <w:szCs w:val="24"/>
              </w:rPr>
              <w:t>场面积：</w:t>
            </w:r>
            <w:r>
              <w:rPr>
                <w:rFonts w:cs="Times New Roman"/>
                <w:szCs w:val="24"/>
              </w:rPr>
              <w:t>0.2920km</w:t>
            </w:r>
            <w:r>
              <w:rPr>
                <w:rFonts w:cs="Times New Roman"/>
                <w:szCs w:val="24"/>
                <w:vertAlign w:val="superscript"/>
              </w:rPr>
              <w:t>2</w:t>
            </w:r>
            <w:r>
              <w:rPr>
                <w:rFonts w:cs="Times New Roman"/>
                <w:bCs/>
                <w:szCs w:val="24"/>
              </w:rPr>
              <w:t>。</w:t>
            </w:r>
          </w:p>
          <w:p w14:paraId="7EC99A12">
            <w:pPr>
              <w:ind w:firstLine="482"/>
              <w:rPr>
                <w:rFonts w:cs="Times New Roman"/>
                <w:b/>
                <w:bCs/>
              </w:rPr>
            </w:pPr>
            <w:r>
              <w:rPr>
                <w:rFonts w:cs="Times New Roman"/>
                <w:b/>
                <w:bCs/>
              </w:rPr>
              <w:t>2、项目组成</w:t>
            </w:r>
          </w:p>
          <w:p w14:paraId="22060AD8">
            <w:pPr>
              <w:ind w:firstLine="480"/>
              <w:rPr>
                <w:rFonts w:cs="Times New Roman"/>
                <w:bCs/>
              </w:rPr>
            </w:pPr>
            <w:r>
              <w:rPr>
                <w:rFonts w:cs="Times New Roman"/>
              </w:rPr>
              <w:t>本项目主要由露天采场、生产加工区、堆料场、弃渣场、办公生活区等组成</w:t>
            </w:r>
            <w:r>
              <w:rPr>
                <w:rFonts w:cs="Times New Roman"/>
                <w:bCs/>
              </w:rPr>
              <w:t>，项目工程组成内容详见表1-1，项目大部分设施已经建设完成。</w:t>
            </w:r>
          </w:p>
          <w:p w14:paraId="41474A44">
            <w:pPr>
              <w:ind w:firstLine="482"/>
              <w:jc w:val="center"/>
              <w:rPr>
                <w:rFonts w:cs="Times New Roman"/>
                <w:b/>
                <w:szCs w:val="24"/>
              </w:rPr>
            </w:pPr>
            <w:r>
              <w:rPr>
                <w:rFonts w:cs="Times New Roman"/>
                <w:b/>
                <w:szCs w:val="24"/>
              </w:rPr>
              <w:t>表1-1   项目工程组成一览表</w:t>
            </w:r>
          </w:p>
          <w:tbl>
            <w:tblPr>
              <w:tblStyle w:val="21"/>
              <w:tblW w:w="9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479"/>
              <w:gridCol w:w="567"/>
              <w:gridCol w:w="1701"/>
              <w:gridCol w:w="4961"/>
              <w:gridCol w:w="1588"/>
            </w:tblGrid>
            <w:tr w14:paraId="1623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Align w:val="center"/>
                </w:tcPr>
                <w:p w14:paraId="5869B91A">
                  <w:pPr>
                    <w:pStyle w:val="52"/>
                    <w:rPr>
                      <w:color w:val="auto"/>
                    </w:rPr>
                  </w:pPr>
                  <w:r>
                    <w:rPr>
                      <w:color w:val="auto"/>
                    </w:rPr>
                    <w:t>工程分类</w:t>
                  </w:r>
                </w:p>
              </w:tc>
              <w:tc>
                <w:tcPr>
                  <w:tcW w:w="2747" w:type="dxa"/>
                  <w:gridSpan w:val="3"/>
                  <w:vAlign w:val="center"/>
                </w:tcPr>
                <w:p w14:paraId="605C2FB7">
                  <w:pPr>
                    <w:pStyle w:val="52"/>
                    <w:rPr>
                      <w:color w:val="auto"/>
                    </w:rPr>
                  </w:pPr>
                  <w:r>
                    <w:rPr>
                      <w:color w:val="auto"/>
                    </w:rPr>
                    <w:t>项目</w:t>
                  </w:r>
                </w:p>
              </w:tc>
              <w:tc>
                <w:tcPr>
                  <w:tcW w:w="4961" w:type="dxa"/>
                  <w:tcBorders>
                    <w:right w:val="single" w:color="auto" w:sz="4" w:space="0"/>
                  </w:tcBorders>
                  <w:vAlign w:val="center"/>
                </w:tcPr>
                <w:p w14:paraId="7E49D717">
                  <w:pPr>
                    <w:pStyle w:val="52"/>
                    <w:rPr>
                      <w:color w:val="auto"/>
                    </w:rPr>
                  </w:pPr>
                  <w:r>
                    <w:rPr>
                      <w:color w:val="auto"/>
                    </w:rPr>
                    <w:t>主要内容及规模</w:t>
                  </w:r>
                </w:p>
              </w:tc>
              <w:tc>
                <w:tcPr>
                  <w:tcW w:w="1588" w:type="dxa"/>
                  <w:tcBorders>
                    <w:left w:val="single" w:color="auto" w:sz="4" w:space="0"/>
                  </w:tcBorders>
                  <w:vAlign w:val="center"/>
                </w:tcPr>
                <w:p w14:paraId="0A72826B">
                  <w:pPr>
                    <w:pStyle w:val="52"/>
                    <w:rPr>
                      <w:color w:val="auto"/>
                    </w:rPr>
                  </w:pPr>
                  <w:r>
                    <w:rPr>
                      <w:color w:val="auto"/>
                    </w:rPr>
                    <w:t>备注</w:t>
                  </w:r>
                </w:p>
              </w:tc>
            </w:tr>
            <w:tr w14:paraId="136C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1B31EBA5">
                  <w:pPr>
                    <w:pStyle w:val="52"/>
                    <w:rPr>
                      <w:color w:val="auto"/>
                    </w:rPr>
                  </w:pPr>
                  <w:r>
                    <w:rPr>
                      <w:color w:val="auto"/>
                    </w:rPr>
                    <w:t>主体工程</w:t>
                  </w:r>
                </w:p>
              </w:tc>
              <w:tc>
                <w:tcPr>
                  <w:tcW w:w="2747" w:type="dxa"/>
                  <w:gridSpan w:val="3"/>
                  <w:vAlign w:val="center"/>
                </w:tcPr>
                <w:p w14:paraId="32663777">
                  <w:pPr>
                    <w:pStyle w:val="52"/>
                    <w:rPr>
                      <w:color w:val="auto"/>
                    </w:rPr>
                  </w:pPr>
                  <w:r>
                    <w:rPr>
                      <w:color w:val="auto"/>
                    </w:rPr>
                    <w:t>露天采场</w:t>
                  </w:r>
                </w:p>
              </w:tc>
              <w:tc>
                <w:tcPr>
                  <w:tcW w:w="4961" w:type="dxa"/>
                  <w:tcBorders>
                    <w:right w:val="single" w:color="auto" w:sz="4" w:space="0"/>
                  </w:tcBorders>
                  <w:vAlign w:val="center"/>
                </w:tcPr>
                <w:p w14:paraId="075AB76A">
                  <w:pPr>
                    <w:pStyle w:val="52"/>
                    <w:jc w:val="left"/>
                    <w:rPr>
                      <w:bCs/>
                      <w:color w:val="auto"/>
                      <w:szCs w:val="21"/>
                    </w:rPr>
                  </w:pPr>
                  <w:r>
                    <w:rPr>
                      <w:bCs/>
                      <w:color w:val="auto"/>
                      <w:szCs w:val="21"/>
                    </w:rPr>
                    <w:t>项目露天采场面积为</w:t>
                  </w:r>
                  <w:r>
                    <w:rPr>
                      <w:color w:val="auto"/>
                      <w:szCs w:val="21"/>
                    </w:rPr>
                    <w:t>0.2920km</w:t>
                  </w:r>
                  <w:r>
                    <w:rPr>
                      <w:color w:val="auto"/>
                      <w:szCs w:val="21"/>
                      <w:vertAlign w:val="superscript"/>
                    </w:rPr>
                    <w:t>2</w:t>
                  </w:r>
                  <w:r>
                    <w:rPr>
                      <w:color w:val="auto"/>
                      <w:szCs w:val="21"/>
                    </w:rPr>
                    <w:t>，开采标高为</w:t>
                  </w:r>
                  <w:r>
                    <w:rPr>
                      <w:bCs/>
                      <w:color w:val="auto"/>
                    </w:rPr>
                    <w:t>1225m~830m</w:t>
                  </w:r>
                  <w:r>
                    <w:rPr>
                      <w:color w:val="auto"/>
                      <w:szCs w:val="21"/>
                    </w:rPr>
                    <w:t>，主要开采水泥用灰岩矿。</w:t>
                  </w:r>
                </w:p>
              </w:tc>
              <w:tc>
                <w:tcPr>
                  <w:tcW w:w="1588" w:type="dxa"/>
                  <w:tcBorders>
                    <w:left w:val="single" w:color="auto" w:sz="4" w:space="0"/>
                  </w:tcBorders>
                  <w:vAlign w:val="center"/>
                </w:tcPr>
                <w:p w14:paraId="24F6AB48">
                  <w:pPr>
                    <w:pStyle w:val="52"/>
                    <w:rPr>
                      <w:color w:val="FF0000"/>
                      <w:szCs w:val="21"/>
                    </w:rPr>
                  </w:pPr>
                  <w:r>
                    <w:rPr>
                      <w:rFonts w:hint="eastAsia"/>
                      <w:color w:val="FF0000"/>
                      <w:szCs w:val="21"/>
                    </w:rPr>
                    <w:t>已建好</w:t>
                  </w:r>
                </w:p>
              </w:tc>
            </w:tr>
            <w:tr w14:paraId="2147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7E28AC0">
                  <w:pPr>
                    <w:pStyle w:val="52"/>
                    <w:rPr>
                      <w:color w:val="auto"/>
                    </w:rPr>
                  </w:pPr>
                </w:p>
              </w:tc>
              <w:tc>
                <w:tcPr>
                  <w:tcW w:w="2747" w:type="dxa"/>
                  <w:gridSpan w:val="3"/>
                  <w:vAlign w:val="center"/>
                </w:tcPr>
                <w:p w14:paraId="6EC9EF8E">
                  <w:pPr>
                    <w:pStyle w:val="52"/>
                    <w:rPr>
                      <w:color w:val="auto"/>
                    </w:rPr>
                  </w:pPr>
                  <w:r>
                    <w:rPr>
                      <w:color w:val="auto"/>
                    </w:rPr>
                    <w:t>生产加工区</w:t>
                  </w:r>
                </w:p>
              </w:tc>
              <w:tc>
                <w:tcPr>
                  <w:tcW w:w="4961" w:type="dxa"/>
                  <w:tcBorders>
                    <w:right w:val="single" w:color="auto" w:sz="4" w:space="0"/>
                  </w:tcBorders>
                  <w:vAlign w:val="center"/>
                </w:tcPr>
                <w:p w14:paraId="73A45322">
                  <w:pPr>
                    <w:pStyle w:val="52"/>
                    <w:jc w:val="left"/>
                    <w:rPr>
                      <w:color w:val="auto"/>
                    </w:rPr>
                  </w:pPr>
                  <w:r>
                    <w:rPr>
                      <w:color w:val="auto"/>
                    </w:rPr>
                    <w:t>位于采场东北侧，占地面积4000m</w:t>
                  </w:r>
                  <w:r>
                    <w:rPr>
                      <w:color w:val="auto"/>
                      <w:vertAlign w:val="superscript"/>
                    </w:rPr>
                    <w:t>2</w:t>
                  </w:r>
                  <w:r>
                    <w:rPr>
                      <w:color w:val="auto"/>
                    </w:rPr>
                    <w:t>，共包括2条生产线，即1#、2#生产线，配备除尘设施。每条生产线设备有振动给料机、颚式破碎机、反击破、平筛等。</w:t>
                  </w:r>
                </w:p>
              </w:tc>
              <w:tc>
                <w:tcPr>
                  <w:tcW w:w="1588" w:type="dxa"/>
                  <w:tcBorders>
                    <w:left w:val="single" w:color="auto" w:sz="4" w:space="0"/>
                  </w:tcBorders>
                  <w:vAlign w:val="center"/>
                </w:tcPr>
                <w:p w14:paraId="2216012C">
                  <w:pPr>
                    <w:pStyle w:val="52"/>
                    <w:jc w:val="left"/>
                    <w:rPr>
                      <w:color w:val="auto"/>
                      <w:sz w:val="24"/>
                    </w:rPr>
                  </w:pPr>
                  <w:r>
                    <w:rPr>
                      <w:color w:val="auto"/>
                    </w:rPr>
                    <w:t>1#、2#生产线大部分已建设完成，部分辅助的需完善</w:t>
                  </w:r>
                </w:p>
              </w:tc>
            </w:tr>
            <w:tr w14:paraId="48BF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9F26D34">
                  <w:pPr>
                    <w:pStyle w:val="52"/>
                    <w:rPr>
                      <w:color w:val="auto"/>
                    </w:rPr>
                  </w:pPr>
                </w:p>
              </w:tc>
              <w:tc>
                <w:tcPr>
                  <w:tcW w:w="2747" w:type="dxa"/>
                  <w:gridSpan w:val="3"/>
                  <w:vAlign w:val="center"/>
                </w:tcPr>
                <w:p w14:paraId="4541E1D0">
                  <w:pPr>
                    <w:pStyle w:val="52"/>
                    <w:rPr>
                      <w:color w:val="auto"/>
                    </w:rPr>
                  </w:pPr>
                  <w:r>
                    <w:rPr>
                      <w:color w:val="auto"/>
                    </w:rPr>
                    <w:t>堆料场</w:t>
                  </w:r>
                </w:p>
              </w:tc>
              <w:tc>
                <w:tcPr>
                  <w:tcW w:w="4961" w:type="dxa"/>
                  <w:tcBorders>
                    <w:right w:val="single" w:color="auto" w:sz="4" w:space="0"/>
                  </w:tcBorders>
                  <w:vAlign w:val="center"/>
                </w:tcPr>
                <w:p w14:paraId="5B903D16">
                  <w:pPr>
                    <w:pStyle w:val="52"/>
                    <w:jc w:val="left"/>
                    <w:rPr>
                      <w:color w:val="auto"/>
                    </w:rPr>
                  </w:pPr>
                  <w:r>
                    <w:rPr>
                      <w:color w:val="auto"/>
                    </w:rPr>
                    <w:t>位于采场东北侧，生产加工区东北侧，用于4种产品的堆放，占地面积为10000m</w:t>
                  </w:r>
                  <w:r>
                    <w:rPr>
                      <w:color w:val="auto"/>
                      <w:vertAlign w:val="superscript"/>
                    </w:rPr>
                    <w:t>2</w:t>
                  </w:r>
                </w:p>
              </w:tc>
              <w:tc>
                <w:tcPr>
                  <w:tcW w:w="1588" w:type="dxa"/>
                  <w:tcBorders>
                    <w:left w:val="single" w:color="auto" w:sz="4" w:space="0"/>
                  </w:tcBorders>
                  <w:vAlign w:val="center"/>
                </w:tcPr>
                <w:p w14:paraId="091A6F0F">
                  <w:pPr>
                    <w:pStyle w:val="52"/>
                    <w:rPr>
                      <w:color w:val="auto"/>
                    </w:rPr>
                  </w:pPr>
                  <w:r>
                    <w:rPr>
                      <w:color w:val="auto"/>
                      <w:szCs w:val="21"/>
                    </w:rPr>
                    <w:t>已建好</w:t>
                  </w:r>
                </w:p>
              </w:tc>
            </w:tr>
            <w:tr w14:paraId="20DD9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BFA9D7A">
                  <w:pPr>
                    <w:pStyle w:val="52"/>
                    <w:rPr>
                      <w:color w:val="auto"/>
                    </w:rPr>
                  </w:pPr>
                </w:p>
              </w:tc>
              <w:tc>
                <w:tcPr>
                  <w:tcW w:w="2747" w:type="dxa"/>
                  <w:gridSpan w:val="3"/>
                  <w:vAlign w:val="center"/>
                </w:tcPr>
                <w:p w14:paraId="5F4471CC">
                  <w:pPr>
                    <w:pStyle w:val="52"/>
                    <w:rPr>
                      <w:color w:val="auto"/>
                    </w:rPr>
                  </w:pPr>
                  <w:r>
                    <w:rPr>
                      <w:color w:val="auto"/>
                    </w:rPr>
                    <w:t>弃渣场</w:t>
                  </w:r>
                </w:p>
              </w:tc>
              <w:tc>
                <w:tcPr>
                  <w:tcW w:w="4961" w:type="dxa"/>
                  <w:tcBorders>
                    <w:right w:val="single" w:color="auto" w:sz="4" w:space="0"/>
                  </w:tcBorders>
                  <w:vAlign w:val="center"/>
                </w:tcPr>
                <w:p w14:paraId="6B6CB3A9">
                  <w:pPr>
                    <w:pStyle w:val="52"/>
                    <w:jc w:val="left"/>
                    <w:rPr>
                      <w:color w:val="auto"/>
                    </w:rPr>
                  </w:pPr>
                  <w:r>
                    <w:rPr>
                      <w:color w:val="auto"/>
                      <w:kern w:val="10"/>
                    </w:rPr>
                    <w:t>选取矿区北部岩溶低洼地作为弃渣场，最低处920m，堆放最高平台948m，占地面积60000m</w:t>
                  </w:r>
                  <w:r>
                    <w:rPr>
                      <w:color w:val="auto"/>
                      <w:kern w:val="10"/>
                      <w:vertAlign w:val="superscript"/>
                    </w:rPr>
                    <w:t>2</w:t>
                  </w:r>
                  <w:r>
                    <w:rPr>
                      <w:color w:val="auto"/>
                      <w:kern w:val="10"/>
                    </w:rPr>
                    <w:t>，平均堆放高度26m，则库容量约156万m</w:t>
                  </w:r>
                  <w:r>
                    <w:rPr>
                      <w:color w:val="auto"/>
                      <w:kern w:val="10"/>
                      <w:vertAlign w:val="superscript"/>
                    </w:rPr>
                    <w:t>3</w:t>
                  </w:r>
                  <w:r>
                    <w:rPr>
                      <w:color w:val="auto"/>
                      <w:kern w:val="10"/>
                    </w:rPr>
                    <w:t>。弃渣场下游修建拦渣坝</w:t>
                  </w:r>
                  <w:r>
                    <w:rPr>
                      <w:color w:val="auto"/>
                    </w:rPr>
                    <w:t>（60m×0.5m×3.5m），拦渣坝须由资质单位设计建设。</w:t>
                  </w:r>
                </w:p>
              </w:tc>
              <w:tc>
                <w:tcPr>
                  <w:tcW w:w="1588" w:type="dxa"/>
                  <w:tcBorders>
                    <w:left w:val="single" w:color="auto" w:sz="4" w:space="0"/>
                  </w:tcBorders>
                  <w:vAlign w:val="center"/>
                </w:tcPr>
                <w:p w14:paraId="769A7024">
                  <w:pPr>
                    <w:pStyle w:val="52"/>
                    <w:rPr>
                      <w:color w:val="auto"/>
                    </w:rPr>
                  </w:pPr>
                  <w:r>
                    <w:rPr>
                      <w:color w:val="auto"/>
                    </w:rPr>
                    <w:t>利用已有的改造</w:t>
                  </w:r>
                </w:p>
              </w:tc>
            </w:tr>
            <w:tr w14:paraId="092FF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1331DABA">
                  <w:pPr>
                    <w:pStyle w:val="52"/>
                    <w:rPr>
                      <w:color w:val="auto"/>
                    </w:rPr>
                  </w:pPr>
                  <w:r>
                    <w:rPr>
                      <w:color w:val="auto"/>
                    </w:rPr>
                    <w:t>辅助工程</w:t>
                  </w:r>
                </w:p>
              </w:tc>
              <w:tc>
                <w:tcPr>
                  <w:tcW w:w="2747" w:type="dxa"/>
                  <w:gridSpan w:val="3"/>
                  <w:vAlign w:val="center"/>
                </w:tcPr>
                <w:p w14:paraId="1CA49ED5">
                  <w:pPr>
                    <w:pStyle w:val="52"/>
                    <w:rPr>
                      <w:color w:val="auto"/>
                    </w:rPr>
                  </w:pPr>
                  <w:r>
                    <w:rPr>
                      <w:color w:val="auto"/>
                    </w:rPr>
                    <w:t>柴油储存区</w:t>
                  </w:r>
                </w:p>
              </w:tc>
              <w:tc>
                <w:tcPr>
                  <w:tcW w:w="4961" w:type="dxa"/>
                  <w:tcBorders>
                    <w:right w:val="single" w:color="auto" w:sz="4" w:space="0"/>
                  </w:tcBorders>
                  <w:vAlign w:val="center"/>
                </w:tcPr>
                <w:p w14:paraId="3252FE21">
                  <w:pPr>
                    <w:pStyle w:val="52"/>
                    <w:jc w:val="left"/>
                    <w:rPr>
                      <w:color w:val="auto"/>
                    </w:rPr>
                  </w:pPr>
                  <w:r>
                    <w:rPr>
                      <w:color w:val="auto"/>
                    </w:rPr>
                    <w:t>位于北侧的办公生活区，设置地埋式柴油储罐2个，每个储罐的柴油储存量为20t（30m</w:t>
                  </w:r>
                  <w:r>
                    <w:rPr>
                      <w:color w:val="auto"/>
                      <w:vertAlign w:val="superscript"/>
                    </w:rPr>
                    <w:t>3</w:t>
                  </w:r>
                  <w:r>
                    <w:rPr>
                      <w:color w:val="auto"/>
                    </w:rPr>
                    <w:t>），已对储罐底部及四周墙体进行防渗处理。</w:t>
                  </w:r>
                </w:p>
              </w:tc>
              <w:tc>
                <w:tcPr>
                  <w:tcW w:w="1588" w:type="dxa"/>
                  <w:tcBorders>
                    <w:left w:val="single" w:color="auto" w:sz="4" w:space="0"/>
                  </w:tcBorders>
                  <w:vAlign w:val="center"/>
                </w:tcPr>
                <w:p w14:paraId="05CCD4BE">
                  <w:pPr>
                    <w:pStyle w:val="52"/>
                    <w:rPr>
                      <w:bCs/>
                      <w:color w:val="auto"/>
                    </w:rPr>
                  </w:pPr>
                  <w:r>
                    <w:rPr>
                      <w:bCs/>
                      <w:color w:val="auto"/>
                    </w:rPr>
                    <w:t>已建好</w:t>
                  </w:r>
                </w:p>
              </w:tc>
            </w:tr>
            <w:tr w14:paraId="14FB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685" w:type="dxa"/>
                  <w:vMerge w:val="continue"/>
                  <w:vAlign w:val="center"/>
                </w:tcPr>
                <w:p w14:paraId="1627B4BD">
                  <w:pPr>
                    <w:pStyle w:val="52"/>
                    <w:rPr>
                      <w:color w:val="auto"/>
                    </w:rPr>
                  </w:pPr>
                </w:p>
              </w:tc>
              <w:tc>
                <w:tcPr>
                  <w:tcW w:w="2747" w:type="dxa"/>
                  <w:gridSpan w:val="3"/>
                  <w:vAlign w:val="center"/>
                </w:tcPr>
                <w:p w14:paraId="1E957D2E">
                  <w:pPr>
                    <w:pStyle w:val="52"/>
                    <w:rPr>
                      <w:color w:val="auto"/>
                    </w:rPr>
                  </w:pPr>
                  <w:r>
                    <w:rPr>
                      <w:color w:val="auto"/>
                    </w:rPr>
                    <w:t>矿山道路</w:t>
                  </w:r>
                </w:p>
              </w:tc>
              <w:tc>
                <w:tcPr>
                  <w:tcW w:w="4961" w:type="dxa"/>
                  <w:tcBorders>
                    <w:right w:val="single" w:color="auto" w:sz="4" w:space="0"/>
                  </w:tcBorders>
                  <w:vAlign w:val="center"/>
                </w:tcPr>
                <w:p w14:paraId="32214C9B">
                  <w:pPr>
                    <w:pStyle w:val="52"/>
                    <w:rPr>
                      <w:color w:val="auto"/>
                    </w:rPr>
                  </w:pPr>
                  <w:r>
                    <w:rPr>
                      <w:bCs/>
                      <w:color w:val="auto"/>
                    </w:rPr>
                    <w:t>矿区内部建设2800m的道路连接到</w:t>
                  </w:r>
                  <w:r>
                    <w:rPr>
                      <w:color w:val="auto"/>
                    </w:rPr>
                    <w:t>开采区及生产加工区，能满足矿石运输需要，占地面积14000m</w:t>
                  </w:r>
                  <w:r>
                    <w:rPr>
                      <w:color w:val="auto"/>
                      <w:vertAlign w:val="superscript"/>
                    </w:rPr>
                    <w:t>2</w:t>
                  </w:r>
                </w:p>
              </w:tc>
              <w:tc>
                <w:tcPr>
                  <w:tcW w:w="1588" w:type="dxa"/>
                  <w:tcBorders>
                    <w:left w:val="single" w:color="auto" w:sz="4" w:space="0"/>
                  </w:tcBorders>
                  <w:vAlign w:val="center"/>
                </w:tcPr>
                <w:p w14:paraId="1179C62A">
                  <w:pPr>
                    <w:pStyle w:val="52"/>
                    <w:rPr>
                      <w:color w:val="auto"/>
                    </w:rPr>
                  </w:pPr>
                  <w:r>
                    <w:rPr>
                      <w:color w:val="auto"/>
                    </w:rPr>
                    <w:t>已建好</w:t>
                  </w:r>
                </w:p>
              </w:tc>
            </w:tr>
            <w:tr w14:paraId="77FBE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2D0EA100">
                  <w:pPr>
                    <w:pStyle w:val="52"/>
                    <w:rPr>
                      <w:color w:val="auto"/>
                    </w:rPr>
                  </w:pPr>
                </w:p>
              </w:tc>
              <w:tc>
                <w:tcPr>
                  <w:tcW w:w="2747" w:type="dxa"/>
                  <w:gridSpan w:val="3"/>
                  <w:vAlign w:val="center"/>
                </w:tcPr>
                <w:p w14:paraId="344DDA9B">
                  <w:pPr>
                    <w:pStyle w:val="52"/>
                    <w:rPr>
                      <w:color w:val="auto"/>
                    </w:rPr>
                  </w:pPr>
                  <w:r>
                    <w:rPr>
                      <w:color w:val="auto"/>
                    </w:rPr>
                    <w:t>办公生活区</w:t>
                  </w:r>
                </w:p>
              </w:tc>
              <w:tc>
                <w:tcPr>
                  <w:tcW w:w="4961" w:type="dxa"/>
                  <w:tcBorders>
                    <w:right w:val="single" w:color="auto" w:sz="4" w:space="0"/>
                  </w:tcBorders>
                  <w:vAlign w:val="center"/>
                </w:tcPr>
                <w:p w14:paraId="5FCCA5BA">
                  <w:pPr>
                    <w:pStyle w:val="52"/>
                    <w:rPr>
                      <w:color w:val="auto"/>
                    </w:rPr>
                  </w:pPr>
                  <w:r>
                    <w:rPr>
                      <w:color w:val="auto"/>
                    </w:rPr>
                    <w:t>位于矿区东北侧，占地面积为1424m</w:t>
                  </w:r>
                  <w:r>
                    <w:rPr>
                      <w:color w:val="auto"/>
                      <w:vertAlign w:val="superscript"/>
                    </w:rPr>
                    <w:t>2</w:t>
                  </w:r>
                </w:p>
              </w:tc>
              <w:tc>
                <w:tcPr>
                  <w:tcW w:w="1588" w:type="dxa"/>
                  <w:vMerge w:val="restart"/>
                  <w:tcBorders>
                    <w:left w:val="single" w:color="auto" w:sz="4" w:space="0"/>
                  </w:tcBorders>
                  <w:vAlign w:val="center"/>
                </w:tcPr>
                <w:p w14:paraId="468DD06C">
                  <w:pPr>
                    <w:pStyle w:val="52"/>
                    <w:rPr>
                      <w:color w:val="auto"/>
                    </w:rPr>
                  </w:pPr>
                  <w:r>
                    <w:rPr>
                      <w:color w:val="auto"/>
                      <w:szCs w:val="21"/>
                    </w:rPr>
                    <w:t>已建好</w:t>
                  </w:r>
                </w:p>
              </w:tc>
            </w:tr>
            <w:tr w14:paraId="0584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DFBC989">
                  <w:pPr>
                    <w:pStyle w:val="52"/>
                    <w:rPr>
                      <w:color w:val="auto"/>
                    </w:rPr>
                  </w:pPr>
                </w:p>
              </w:tc>
              <w:tc>
                <w:tcPr>
                  <w:tcW w:w="479" w:type="dxa"/>
                  <w:vMerge w:val="restart"/>
                  <w:tcBorders>
                    <w:right w:val="single" w:color="auto" w:sz="4" w:space="0"/>
                  </w:tcBorders>
                  <w:vAlign w:val="center"/>
                </w:tcPr>
                <w:p w14:paraId="551DCBB5">
                  <w:pPr>
                    <w:pStyle w:val="52"/>
                    <w:rPr>
                      <w:color w:val="auto"/>
                    </w:rPr>
                  </w:pPr>
                  <w:r>
                    <w:rPr>
                      <w:color w:val="auto"/>
                    </w:rPr>
                    <w:t>其中</w:t>
                  </w:r>
                </w:p>
              </w:tc>
              <w:tc>
                <w:tcPr>
                  <w:tcW w:w="2268" w:type="dxa"/>
                  <w:gridSpan w:val="2"/>
                  <w:tcBorders>
                    <w:left w:val="single" w:color="auto" w:sz="4" w:space="0"/>
                  </w:tcBorders>
                  <w:vAlign w:val="center"/>
                </w:tcPr>
                <w:p w14:paraId="07C0D0EC">
                  <w:pPr>
                    <w:pStyle w:val="52"/>
                    <w:rPr>
                      <w:color w:val="auto"/>
                    </w:rPr>
                  </w:pPr>
                  <w:r>
                    <w:rPr>
                      <w:color w:val="auto"/>
                    </w:rPr>
                    <w:t>办公区</w:t>
                  </w:r>
                </w:p>
              </w:tc>
              <w:tc>
                <w:tcPr>
                  <w:tcW w:w="4961" w:type="dxa"/>
                  <w:tcBorders>
                    <w:right w:val="single" w:color="auto" w:sz="4" w:space="0"/>
                  </w:tcBorders>
                  <w:vAlign w:val="center"/>
                </w:tcPr>
                <w:p w14:paraId="4C46D5CA">
                  <w:pPr>
                    <w:pStyle w:val="52"/>
                    <w:jc w:val="left"/>
                    <w:rPr>
                      <w:color w:val="auto"/>
                    </w:rPr>
                  </w:pPr>
                  <w:r>
                    <w:rPr>
                      <w:color w:val="auto"/>
                    </w:rPr>
                    <w:t>位于矿区外东北侧，建筑面积为100m</w:t>
                  </w:r>
                  <w:r>
                    <w:rPr>
                      <w:color w:val="auto"/>
                      <w:vertAlign w:val="superscript"/>
                    </w:rPr>
                    <w:t>2</w:t>
                  </w:r>
                  <w:r>
                    <w:rPr>
                      <w:color w:val="auto"/>
                    </w:rPr>
                    <w:t>，设有2间办公室。</w:t>
                  </w:r>
                </w:p>
              </w:tc>
              <w:tc>
                <w:tcPr>
                  <w:tcW w:w="1588" w:type="dxa"/>
                  <w:vMerge w:val="continue"/>
                  <w:tcBorders>
                    <w:left w:val="single" w:color="auto" w:sz="4" w:space="0"/>
                  </w:tcBorders>
                  <w:vAlign w:val="center"/>
                </w:tcPr>
                <w:p w14:paraId="39EEED62">
                  <w:pPr>
                    <w:pStyle w:val="52"/>
                    <w:rPr>
                      <w:color w:val="auto"/>
                    </w:rPr>
                  </w:pPr>
                </w:p>
              </w:tc>
            </w:tr>
            <w:tr w14:paraId="4787D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52FE7C5">
                  <w:pPr>
                    <w:pStyle w:val="52"/>
                    <w:rPr>
                      <w:color w:val="auto"/>
                    </w:rPr>
                  </w:pPr>
                </w:p>
              </w:tc>
              <w:tc>
                <w:tcPr>
                  <w:tcW w:w="479" w:type="dxa"/>
                  <w:vMerge w:val="continue"/>
                  <w:tcBorders>
                    <w:right w:val="single" w:color="auto" w:sz="4" w:space="0"/>
                  </w:tcBorders>
                  <w:vAlign w:val="center"/>
                </w:tcPr>
                <w:p w14:paraId="2C6EA760">
                  <w:pPr>
                    <w:pStyle w:val="52"/>
                    <w:rPr>
                      <w:color w:val="auto"/>
                    </w:rPr>
                  </w:pPr>
                </w:p>
              </w:tc>
              <w:tc>
                <w:tcPr>
                  <w:tcW w:w="2268" w:type="dxa"/>
                  <w:gridSpan w:val="2"/>
                  <w:tcBorders>
                    <w:left w:val="single" w:color="auto" w:sz="4" w:space="0"/>
                  </w:tcBorders>
                  <w:vAlign w:val="center"/>
                </w:tcPr>
                <w:p w14:paraId="52716588">
                  <w:pPr>
                    <w:pStyle w:val="52"/>
                    <w:rPr>
                      <w:color w:val="auto"/>
                    </w:rPr>
                  </w:pPr>
                  <w:r>
                    <w:rPr>
                      <w:color w:val="auto"/>
                    </w:rPr>
                    <w:t>生活区</w:t>
                  </w:r>
                </w:p>
              </w:tc>
              <w:tc>
                <w:tcPr>
                  <w:tcW w:w="4961" w:type="dxa"/>
                  <w:tcBorders>
                    <w:right w:val="single" w:color="auto" w:sz="4" w:space="0"/>
                  </w:tcBorders>
                  <w:vAlign w:val="center"/>
                </w:tcPr>
                <w:p w14:paraId="320903BB">
                  <w:pPr>
                    <w:pStyle w:val="52"/>
                    <w:rPr>
                      <w:color w:val="auto"/>
                    </w:rPr>
                  </w:pPr>
                  <w:r>
                    <w:rPr>
                      <w:color w:val="auto"/>
                    </w:rPr>
                    <w:t>位于项目区北侧，</w:t>
                  </w:r>
                  <w:r>
                    <w:rPr>
                      <w:bCs/>
                      <w:color w:val="auto"/>
                    </w:rPr>
                    <w:t>包括宿舍、厨房及厕所等</w:t>
                  </w:r>
                </w:p>
              </w:tc>
              <w:tc>
                <w:tcPr>
                  <w:tcW w:w="1588" w:type="dxa"/>
                  <w:vMerge w:val="continue"/>
                  <w:tcBorders>
                    <w:left w:val="single" w:color="auto" w:sz="4" w:space="0"/>
                  </w:tcBorders>
                  <w:vAlign w:val="center"/>
                </w:tcPr>
                <w:p w14:paraId="251E79A1">
                  <w:pPr>
                    <w:pStyle w:val="52"/>
                    <w:rPr>
                      <w:color w:val="auto"/>
                    </w:rPr>
                  </w:pPr>
                </w:p>
              </w:tc>
            </w:tr>
            <w:tr w14:paraId="0E12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819533F">
                  <w:pPr>
                    <w:pStyle w:val="52"/>
                    <w:rPr>
                      <w:color w:val="auto"/>
                    </w:rPr>
                  </w:pPr>
                </w:p>
              </w:tc>
              <w:tc>
                <w:tcPr>
                  <w:tcW w:w="479" w:type="dxa"/>
                  <w:vMerge w:val="continue"/>
                  <w:tcBorders>
                    <w:right w:val="single" w:color="auto" w:sz="4" w:space="0"/>
                  </w:tcBorders>
                  <w:vAlign w:val="center"/>
                </w:tcPr>
                <w:p w14:paraId="180E1ED9">
                  <w:pPr>
                    <w:pStyle w:val="52"/>
                    <w:rPr>
                      <w:color w:val="auto"/>
                    </w:rPr>
                  </w:pPr>
                </w:p>
              </w:tc>
              <w:tc>
                <w:tcPr>
                  <w:tcW w:w="567" w:type="dxa"/>
                  <w:vMerge w:val="restart"/>
                  <w:tcBorders>
                    <w:left w:val="single" w:color="auto" w:sz="4" w:space="0"/>
                    <w:right w:val="single" w:color="auto" w:sz="4" w:space="0"/>
                  </w:tcBorders>
                  <w:vAlign w:val="center"/>
                </w:tcPr>
                <w:p w14:paraId="78B1C809">
                  <w:pPr>
                    <w:pStyle w:val="52"/>
                    <w:rPr>
                      <w:color w:val="auto"/>
                    </w:rPr>
                  </w:pPr>
                  <w:r>
                    <w:rPr>
                      <w:color w:val="auto"/>
                    </w:rPr>
                    <w:t>其中</w:t>
                  </w:r>
                </w:p>
              </w:tc>
              <w:tc>
                <w:tcPr>
                  <w:tcW w:w="1701" w:type="dxa"/>
                  <w:tcBorders>
                    <w:left w:val="single" w:color="auto" w:sz="4" w:space="0"/>
                  </w:tcBorders>
                  <w:vAlign w:val="center"/>
                </w:tcPr>
                <w:p w14:paraId="255D3FE5">
                  <w:pPr>
                    <w:pStyle w:val="52"/>
                    <w:rPr>
                      <w:color w:val="auto"/>
                    </w:rPr>
                  </w:pPr>
                  <w:r>
                    <w:rPr>
                      <w:color w:val="auto"/>
                    </w:rPr>
                    <w:t>职工宿舍</w:t>
                  </w:r>
                </w:p>
              </w:tc>
              <w:tc>
                <w:tcPr>
                  <w:tcW w:w="4961" w:type="dxa"/>
                  <w:tcBorders>
                    <w:right w:val="single" w:color="auto" w:sz="4" w:space="0"/>
                  </w:tcBorders>
                  <w:vAlign w:val="center"/>
                </w:tcPr>
                <w:p w14:paraId="727D78C4">
                  <w:pPr>
                    <w:pStyle w:val="52"/>
                    <w:jc w:val="left"/>
                    <w:rPr>
                      <w:color w:val="auto"/>
                    </w:rPr>
                  </w:pPr>
                  <w:r>
                    <w:rPr>
                      <w:bCs/>
                      <w:color w:val="auto"/>
                    </w:rPr>
                    <w:t>建筑面积460m</w:t>
                  </w:r>
                  <w:r>
                    <w:rPr>
                      <w:bCs/>
                      <w:color w:val="auto"/>
                      <w:vertAlign w:val="superscript"/>
                    </w:rPr>
                    <w:t>2</w:t>
                  </w:r>
                  <w:r>
                    <w:rPr>
                      <w:bCs/>
                      <w:color w:val="auto"/>
                    </w:rPr>
                    <w:t>，位于生活区</w:t>
                  </w:r>
                  <w:r>
                    <w:rPr>
                      <w:color w:val="auto"/>
                    </w:rPr>
                    <w:t>西南侧，共8间，提供员工住宿使用。</w:t>
                  </w:r>
                </w:p>
              </w:tc>
              <w:tc>
                <w:tcPr>
                  <w:tcW w:w="1588" w:type="dxa"/>
                  <w:vMerge w:val="continue"/>
                  <w:tcBorders>
                    <w:left w:val="single" w:color="auto" w:sz="4" w:space="0"/>
                  </w:tcBorders>
                  <w:vAlign w:val="center"/>
                </w:tcPr>
                <w:p w14:paraId="73E19C23">
                  <w:pPr>
                    <w:pStyle w:val="52"/>
                    <w:rPr>
                      <w:color w:val="auto"/>
                    </w:rPr>
                  </w:pPr>
                </w:p>
              </w:tc>
            </w:tr>
            <w:tr w14:paraId="6BAB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25DB93B4">
                  <w:pPr>
                    <w:pStyle w:val="52"/>
                    <w:rPr>
                      <w:color w:val="auto"/>
                    </w:rPr>
                  </w:pPr>
                </w:p>
              </w:tc>
              <w:tc>
                <w:tcPr>
                  <w:tcW w:w="479" w:type="dxa"/>
                  <w:vMerge w:val="continue"/>
                  <w:tcBorders>
                    <w:right w:val="single" w:color="auto" w:sz="4" w:space="0"/>
                  </w:tcBorders>
                  <w:vAlign w:val="center"/>
                </w:tcPr>
                <w:p w14:paraId="557A4A39">
                  <w:pPr>
                    <w:pStyle w:val="52"/>
                    <w:rPr>
                      <w:color w:val="auto"/>
                    </w:rPr>
                  </w:pPr>
                </w:p>
              </w:tc>
              <w:tc>
                <w:tcPr>
                  <w:tcW w:w="567" w:type="dxa"/>
                  <w:vMerge w:val="continue"/>
                  <w:tcBorders>
                    <w:left w:val="single" w:color="auto" w:sz="4" w:space="0"/>
                    <w:right w:val="single" w:color="auto" w:sz="4" w:space="0"/>
                  </w:tcBorders>
                  <w:vAlign w:val="center"/>
                </w:tcPr>
                <w:p w14:paraId="274E9B63">
                  <w:pPr>
                    <w:pStyle w:val="52"/>
                    <w:rPr>
                      <w:color w:val="auto"/>
                    </w:rPr>
                  </w:pPr>
                </w:p>
              </w:tc>
              <w:tc>
                <w:tcPr>
                  <w:tcW w:w="1701" w:type="dxa"/>
                  <w:tcBorders>
                    <w:left w:val="single" w:color="auto" w:sz="4" w:space="0"/>
                  </w:tcBorders>
                  <w:vAlign w:val="center"/>
                </w:tcPr>
                <w:p w14:paraId="09D8D5ED">
                  <w:pPr>
                    <w:pStyle w:val="52"/>
                    <w:rPr>
                      <w:color w:val="auto"/>
                    </w:rPr>
                  </w:pPr>
                  <w:r>
                    <w:rPr>
                      <w:color w:val="auto"/>
                    </w:rPr>
                    <w:t>厨房</w:t>
                  </w:r>
                </w:p>
              </w:tc>
              <w:tc>
                <w:tcPr>
                  <w:tcW w:w="4961" w:type="dxa"/>
                  <w:tcBorders>
                    <w:right w:val="single" w:color="auto" w:sz="4" w:space="0"/>
                  </w:tcBorders>
                  <w:vAlign w:val="center"/>
                </w:tcPr>
                <w:p w14:paraId="59E80AC4">
                  <w:pPr>
                    <w:pStyle w:val="52"/>
                    <w:jc w:val="left"/>
                    <w:rPr>
                      <w:color w:val="auto"/>
                    </w:rPr>
                  </w:pPr>
                  <w:r>
                    <w:rPr>
                      <w:color w:val="auto"/>
                    </w:rPr>
                    <w:t>设有1间厨房，建筑面积45m</w:t>
                  </w:r>
                  <w:r>
                    <w:rPr>
                      <w:color w:val="auto"/>
                      <w:vertAlign w:val="superscript"/>
                    </w:rPr>
                    <w:t>2</w:t>
                  </w:r>
                  <w:r>
                    <w:rPr>
                      <w:color w:val="auto"/>
                    </w:rPr>
                    <w:t>，</w:t>
                  </w:r>
                  <w:r>
                    <w:rPr>
                      <w:bCs/>
                      <w:color w:val="auto"/>
                    </w:rPr>
                    <w:t>位于生活区</w:t>
                  </w:r>
                  <w:r>
                    <w:rPr>
                      <w:color w:val="auto"/>
                    </w:rPr>
                    <w:t>东侧，提供员工就餐使用，配备1个炒灶。</w:t>
                  </w:r>
                </w:p>
              </w:tc>
              <w:tc>
                <w:tcPr>
                  <w:tcW w:w="1588" w:type="dxa"/>
                  <w:vMerge w:val="continue"/>
                  <w:tcBorders>
                    <w:left w:val="single" w:color="auto" w:sz="4" w:space="0"/>
                  </w:tcBorders>
                  <w:vAlign w:val="center"/>
                </w:tcPr>
                <w:p w14:paraId="3AA04F40">
                  <w:pPr>
                    <w:pStyle w:val="52"/>
                    <w:rPr>
                      <w:color w:val="auto"/>
                    </w:rPr>
                  </w:pPr>
                </w:p>
              </w:tc>
            </w:tr>
            <w:tr w14:paraId="0137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72585E3">
                  <w:pPr>
                    <w:pStyle w:val="52"/>
                    <w:rPr>
                      <w:color w:val="auto"/>
                    </w:rPr>
                  </w:pPr>
                </w:p>
              </w:tc>
              <w:tc>
                <w:tcPr>
                  <w:tcW w:w="479" w:type="dxa"/>
                  <w:vMerge w:val="continue"/>
                  <w:tcBorders>
                    <w:right w:val="single" w:color="auto" w:sz="4" w:space="0"/>
                  </w:tcBorders>
                  <w:vAlign w:val="center"/>
                </w:tcPr>
                <w:p w14:paraId="1D445011">
                  <w:pPr>
                    <w:pStyle w:val="52"/>
                    <w:rPr>
                      <w:color w:val="auto"/>
                    </w:rPr>
                  </w:pPr>
                </w:p>
              </w:tc>
              <w:tc>
                <w:tcPr>
                  <w:tcW w:w="567" w:type="dxa"/>
                  <w:vMerge w:val="continue"/>
                  <w:tcBorders>
                    <w:left w:val="single" w:color="auto" w:sz="4" w:space="0"/>
                    <w:right w:val="single" w:color="auto" w:sz="4" w:space="0"/>
                  </w:tcBorders>
                  <w:vAlign w:val="center"/>
                </w:tcPr>
                <w:p w14:paraId="65A86329">
                  <w:pPr>
                    <w:pStyle w:val="52"/>
                    <w:rPr>
                      <w:color w:val="auto"/>
                    </w:rPr>
                  </w:pPr>
                </w:p>
              </w:tc>
              <w:tc>
                <w:tcPr>
                  <w:tcW w:w="1701" w:type="dxa"/>
                  <w:tcBorders>
                    <w:left w:val="single" w:color="auto" w:sz="4" w:space="0"/>
                  </w:tcBorders>
                  <w:vAlign w:val="center"/>
                </w:tcPr>
                <w:p w14:paraId="412B8CEB">
                  <w:pPr>
                    <w:pStyle w:val="52"/>
                    <w:rPr>
                      <w:color w:val="auto"/>
                    </w:rPr>
                  </w:pPr>
                  <w:r>
                    <w:rPr>
                      <w:color w:val="auto"/>
                    </w:rPr>
                    <w:t>厕所</w:t>
                  </w:r>
                </w:p>
              </w:tc>
              <w:tc>
                <w:tcPr>
                  <w:tcW w:w="4961" w:type="dxa"/>
                  <w:tcBorders>
                    <w:right w:val="single" w:color="auto" w:sz="4" w:space="0"/>
                  </w:tcBorders>
                  <w:vAlign w:val="center"/>
                </w:tcPr>
                <w:p w14:paraId="434F8057">
                  <w:pPr>
                    <w:pStyle w:val="52"/>
                    <w:jc w:val="left"/>
                    <w:rPr>
                      <w:color w:val="auto"/>
                    </w:rPr>
                  </w:pPr>
                  <w:r>
                    <w:rPr>
                      <w:color w:val="auto"/>
                    </w:rPr>
                    <w:t>设有2个厕所，建筑面积20m</w:t>
                  </w:r>
                  <w:r>
                    <w:rPr>
                      <w:color w:val="auto"/>
                      <w:vertAlign w:val="superscript"/>
                    </w:rPr>
                    <w:t>2</w:t>
                  </w:r>
                  <w:r>
                    <w:rPr>
                      <w:color w:val="auto"/>
                    </w:rPr>
                    <w:t>，分别</w:t>
                  </w:r>
                  <w:r>
                    <w:rPr>
                      <w:bCs/>
                      <w:color w:val="auto"/>
                    </w:rPr>
                    <w:t>位于生活区和办公区</w:t>
                  </w:r>
                  <w:r>
                    <w:rPr>
                      <w:color w:val="auto"/>
                    </w:rPr>
                    <w:t>，供员工使用。</w:t>
                  </w:r>
                </w:p>
              </w:tc>
              <w:tc>
                <w:tcPr>
                  <w:tcW w:w="1588" w:type="dxa"/>
                  <w:vMerge w:val="continue"/>
                  <w:tcBorders>
                    <w:left w:val="single" w:color="auto" w:sz="4" w:space="0"/>
                  </w:tcBorders>
                  <w:vAlign w:val="center"/>
                </w:tcPr>
                <w:p w14:paraId="4C1A24EA">
                  <w:pPr>
                    <w:pStyle w:val="52"/>
                    <w:rPr>
                      <w:color w:val="auto"/>
                    </w:rPr>
                  </w:pPr>
                </w:p>
              </w:tc>
            </w:tr>
            <w:tr w14:paraId="4C4E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25737D2F">
                  <w:pPr>
                    <w:pStyle w:val="52"/>
                    <w:rPr>
                      <w:color w:val="auto"/>
                    </w:rPr>
                  </w:pPr>
                </w:p>
              </w:tc>
              <w:tc>
                <w:tcPr>
                  <w:tcW w:w="2747" w:type="dxa"/>
                  <w:gridSpan w:val="3"/>
                  <w:vAlign w:val="center"/>
                </w:tcPr>
                <w:p w14:paraId="1723FDAB">
                  <w:pPr>
                    <w:pStyle w:val="52"/>
                    <w:rPr>
                      <w:color w:val="auto"/>
                    </w:rPr>
                  </w:pPr>
                  <w:r>
                    <w:rPr>
                      <w:color w:val="auto"/>
                    </w:rPr>
                    <w:t>配电房</w:t>
                  </w:r>
                </w:p>
              </w:tc>
              <w:tc>
                <w:tcPr>
                  <w:tcW w:w="4961" w:type="dxa"/>
                  <w:tcBorders>
                    <w:right w:val="single" w:color="auto" w:sz="4" w:space="0"/>
                  </w:tcBorders>
                  <w:vAlign w:val="center"/>
                </w:tcPr>
                <w:p w14:paraId="0BFF7D16">
                  <w:pPr>
                    <w:pStyle w:val="52"/>
                    <w:rPr>
                      <w:color w:val="auto"/>
                    </w:rPr>
                  </w:pPr>
                  <w:r>
                    <w:rPr>
                      <w:color w:val="auto"/>
                    </w:rPr>
                    <w:t>位于原1#和2#生产线的中间，占地面积为50m</w:t>
                  </w:r>
                  <w:r>
                    <w:rPr>
                      <w:color w:val="auto"/>
                      <w:vertAlign w:val="superscript"/>
                    </w:rPr>
                    <w:t>2</w:t>
                  </w:r>
                </w:p>
              </w:tc>
              <w:tc>
                <w:tcPr>
                  <w:tcW w:w="1588" w:type="dxa"/>
                  <w:tcBorders>
                    <w:left w:val="single" w:color="auto" w:sz="4" w:space="0"/>
                  </w:tcBorders>
                  <w:vAlign w:val="center"/>
                </w:tcPr>
                <w:p w14:paraId="5D1793B1">
                  <w:pPr>
                    <w:pStyle w:val="52"/>
                    <w:rPr>
                      <w:color w:val="auto"/>
                    </w:rPr>
                  </w:pPr>
                  <w:r>
                    <w:rPr>
                      <w:color w:val="auto"/>
                      <w:szCs w:val="21"/>
                    </w:rPr>
                    <w:t>已建好</w:t>
                  </w:r>
                </w:p>
              </w:tc>
            </w:tr>
            <w:tr w14:paraId="18D9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45257A30">
                  <w:pPr>
                    <w:pStyle w:val="52"/>
                    <w:rPr>
                      <w:color w:val="auto"/>
                    </w:rPr>
                  </w:pPr>
                  <w:r>
                    <w:rPr>
                      <w:color w:val="auto"/>
                    </w:rPr>
                    <w:t>公用工程</w:t>
                  </w:r>
                </w:p>
              </w:tc>
              <w:tc>
                <w:tcPr>
                  <w:tcW w:w="2747" w:type="dxa"/>
                  <w:gridSpan w:val="3"/>
                  <w:vAlign w:val="center"/>
                </w:tcPr>
                <w:p w14:paraId="2D1B0944">
                  <w:pPr>
                    <w:pStyle w:val="52"/>
                    <w:rPr>
                      <w:color w:val="auto"/>
                    </w:rPr>
                  </w:pPr>
                  <w:r>
                    <w:rPr>
                      <w:color w:val="auto"/>
                    </w:rPr>
                    <w:t>供电</w:t>
                  </w:r>
                </w:p>
              </w:tc>
              <w:tc>
                <w:tcPr>
                  <w:tcW w:w="4961" w:type="dxa"/>
                  <w:tcBorders>
                    <w:right w:val="single" w:color="auto" w:sz="4" w:space="0"/>
                  </w:tcBorders>
                  <w:vAlign w:val="center"/>
                </w:tcPr>
                <w:p w14:paraId="4C4A8F83">
                  <w:pPr>
                    <w:pStyle w:val="52"/>
                    <w:jc w:val="left"/>
                    <w:rPr>
                      <w:color w:val="auto"/>
                      <w:szCs w:val="21"/>
                    </w:rPr>
                  </w:pPr>
                  <w:r>
                    <w:rPr>
                      <w:snapToGrid w:val="0"/>
                      <w:color w:val="auto"/>
                      <w:szCs w:val="21"/>
                    </w:rPr>
                    <w:t>矿区供电主要从</w:t>
                  </w:r>
                  <w:r>
                    <w:rPr>
                      <w:color w:val="auto"/>
                      <w:szCs w:val="21"/>
                    </w:rPr>
                    <w:t>附近供电所高压线路接入，需输入电压10KV，矿区装机容量400KW负荷率70%，安装S-9型500KVA变压器1台。</w:t>
                  </w:r>
                </w:p>
              </w:tc>
              <w:tc>
                <w:tcPr>
                  <w:tcW w:w="1588" w:type="dxa"/>
                  <w:tcBorders>
                    <w:left w:val="single" w:color="auto" w:sz="4" w:space="0"/>
                  </w:tcBorders>
                  <w:vAlign w:val="center"/>
                </w:tcPr>
                <w:p w14:paraId="2EBC1FB7">
                  <w:pPr>
                    <w:pStyle w:val="52"/>
                    <w:rPr>
                      <w:color w:val="auto"/>
                    </w:rPr>
                  </w:pPr>
                  <w:r>
                    <w:rPr>
                      <w:color w:val="auto"/>
                      <w:szCs w:val="21"/>
                    </w:rPr>
                    <w:t>已建好</w:t>
                  </w:r>
                </w:p>
              </w:tc>
            </w:tr>
            <w:tr w14:paraId="699A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0A64A73">
                  <w:pPr>
                    <w:pStyle w:val="52"/>
                    <w:rPr>
                      <w:color w:val="auto"/>
                    </w:rPr>
                  </w:pPr>
                </w:p>
              </w:tc>
              <w:tc>
                <w:tcPr>
                  <w:tcW w:w="2747" w:type="dxa"/>
                  <w:gridSpan w:val="3"/>
                  <w:vAlign w:val="center"/>
                </w:tcPr>
                <w:p w14:paraId="453E04D3">
                  <w:pPr>
                    <w:pStyle w:val="52"/>
                    <w:rPr>
                      <w:color w:val="auto"/>
                    </w:rPr>
                  </w:pPr>
                  <w:r>
                    <w:rPr>
                      <w:color w:val="auto"/>
                    </w:rPr>
                    <w:t>供水</w:t>
                  </w:r>
                </w:p>
              </w:tc>
              <w:tc>
                <w:tcPr>
                  <w:tcW w:w="4961" w:type="dxa"/>
                  <w:tcBorders>
                    <w:right w:val="single" w:color="auto" w:sz="4" w:space="0"/>
                  </w:tcBorders>
                  <w:vAlign w:val="center"/>
                </w:tcPr>
                <w:p w14:paraId="06DCAF81">
                  <w:pPr>
                    <w:pStyle w:val="52"/>
                    <w:jc w:val="left"/>
                    <w:rPr>
                      <w:color w:val="auto"/>
                      <w:szCs w:val="21"/>
                    </w:rPr>
                  </w:pPr>
                  <w:r>
                    <w:rPr>
                      <w:bCs/>
                      <w:color w:val="auto"/>
                      <w:szCs w:val="21"/>
                    </w:rPr>
                    <w:t>生活用水和生产用水均来自于箐沟水，建设单位于矿区西南侧标高1200m处设置了1个高位水池，容积为400m</w:t>
                  </w:r>
                  <w:r>
                    <w:rPr>
                      <w:bCs/>
                      <w:color w:val="auto"/>
                      <w:szCs w:val="21"/>
                      <w:vertAlign w:val="superscript"/>
                    </w:rPr>
                    <w:t>3</w:t>
                  </w:r>
                  <w:r>
                    <w:rPr>
                      <w:bCs/>
                      <w:color w:val="auto"/>
                      <w:szCs w:val="21"/>
                    </w:rPr>
                    <w:t>，自流供水。</w:t>
                  </w:r>
                </w:p>
              </w:tc>
              <w:tc>
                <w:tcPr>
                  <w:tcW w:w="1588" w:type="dxa"/>
                  <w:tcBorders>
                    <w:left w:val="single" w:color="auto" w:sz="4" w:space="0"/>
                  </w:tcBorders>
                  <w:vAlign w:val="center"/>
                </w:tcPr>
                <w:p w14:paraId="7FCF9541">
                  <w:pPr>
                    <w:pStyle w:val="52"/>
                    <w:rPr>
                      <w:color w:val="auto"/>
                    </w:rPr>
                  </w:pPr>
                  <w:r>
                    <w:rPr>
                      <w:color w:val="auto"/>
                      <w:szCs w:val="21"/>
                    </w:rPr>
                    <w:t>已建好</w:t>
                  </w:r>
                </w:p>
              </w:tc>
            </w:tr>
            <w:tr w14:paraId="0A3F2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685" w:type="dxa"/>
                  <w:vMerge w:val="continue"/>
                  <w:vAlign w:val="center"/>
                </w:tcPr>
                <w:p w14:paraId="31A5C3D5">
                  <w:pPr>
                    <w:pStyle w:val="52"/>
                    <w:rPr>
                      <w:color w:val="auto"/>
                    </w:rPr>
                  </w:pPr>
                </w:p>
              </w:tc>
              <w:tc>
                <w:tcPr>
                  <w:tcW w:w="2747" w:type="dxa"/>
                  <w:gridSpan w:val="3"/>
                  <w:vMerge w:val="restart"/>
                  <w:vAlign w:val="center"/>
                </w:tcPr>
                <w:p w14:paraId="131436D4">
                  <w:pPr>
                    <w:pStyle w:val="52"/>
                    <w:rPr>
                      <w:color w:val="auto"/>
                    </w:rPr>
                  </w:pPr>
                  <w:r>
                    <w:rPr>
                      <w:color w:val="auto"/>
                    </w:rPr>
                    <w:t>排水</w:t>
                  </w:r>
                </w:p>
              </w:tc>
              <w:tc>
                <w:tcPr>
                  <w:tcW w:w="4961" w:type="dxa"/>
                  <w:tcBorders>
                    <w:right w:val="single" w:color="auto" w:sz="4" w:space="0"/>
                  </w:tcBorders>
                  <w:vAlign w:val="center"/>
                </w:tcPr>
                <w:p w14:paraId="34D6A1A5">
                  <w:pPr>
                    <w:pStyle w:val="52"/>
                    <w:jc w:val="left"/>
                    <w:rPr>
                      <w:color w:val="auto"/>
                      <w:szCs w:val="21"/>
                    </w:rPr>
                  </w:pPr>
                  <w:r>
                    <w:rPr>
                      <w:bCs/>
                      <w:color w:val="auto"/>
                      <w:szCs w:val="21"/>
                    </w:rPr>
                    <w:t>本项目</w:t>
                  </w:r>
                  <w:r>
                    <w:rPr>
                      <w:color w:val="auto"/>
                      <w:szCs w:val="21"/>
                    </w:rPr>
                    <w:t>实行雨污分流</w:t>
                  </w:r>
                  <w:r>
                    <w:rPr>
                      <w:bCs/>
                      <w:color w:val="auto"/>
                      <w:szCs w:val="21"/>
                    </w:rPr>
                    <w:t>。</w:t>
                  </w:r>
                  <w:r>
                    <w:rPr>
                      <w:color w:val="auto"/>
                      <w:szCs w:val="21"/>
                    </w:rPr>
                    <w:t>员工厨房废水经隔油池（2m</w:t>
                  </w:r>
                  <w:r>
                    <w:rPr>
                      <w:color w:val="auto"/>
                      <w:szCs w:val="21"/>
                      <w:vertAlign w:val="superscript"/>
                    </w:rPr>
                    <w:t>3</w:t>
                  </w:r>
                  <w:r>
                    <w:rPr>
                      <w:color w:val="auto"/>
                      <w:szCs w:val="21"/>
                    </w:rPr>
                    <w:t>）处理后和员工办公区生活废水排入5 m</w:t>
                  </w:r>
                  <w:r>
                    <w:rPr>
                      <w:color w:val="auto"/>
                      <w:szCs w:val="21"/>
                      <w:vertAlign w:val="superscript"/>
                    </w:rPr>
                    <w:t>3</w:t>
                  </w:r>
                  <w:r>
                    <w:rPr>
                      <w:color w:val="auto"/>
                      <w:szCs w:val="21"/>
                    </w:rPr>
                    <w:t>的化粪池，住宿废水排入12m</w:t>
                  </w:r>
                  <w:r>
                    <w:rPr>
                      <w:color w:val="auto"/>
                      <w:szCs w:val="21"/>
                      <w:vertAlign w:val="superscript"/>
                    </w:rPr>
                    <w:t>3</w:t>
                  </w:r>
                  <w:r>
                    <w:rPr>
                      <w:color w:val="auto"/>
                      <w:szCs w:val="21"/>
                    </w:rPr>
                    <w:t>化粪池处理，回用作绿化底肥，不外排；</w:t>
                  </w:r>
                </w:p>
              </w:tc>
              <w:tc>
                <w:tcPr>
                  <w:tcW w:w="1588" w:type="dxa"/>
                  <w:tcBorders>
                    <w:left w:val="single" w:color="auto" w:sz="4" w:space="0"/>
                  </w:tcBorders>
                  <w:vAlign w:val="center"/>
                </w:tcPr>
                <w:p w14:paraId="518598D5">
                  <w:pPr>
                    <w:pStyle w:val="52"/>
                    <w:rPr>
                      <w:color w:val="auto"/>
                    </w:rPr>
                  </w:pPr>
                  <w:r>
                    <w:rPr>
                      <w:color w:val="auto"/>
                    </w:rPr>
                    <w:t>已</w:t>
                  </w:r>
                  <w:r>
                    <w:rPr>
                      <w:rFonts w:hint="eastAsia"/>
                      <w:color w:val="auto"/>
                    </w:rPr>
                    <w:t>建好</w:t>
                  </w:r>
                </w:p>
              </w:tc>
            </w:tr>
            <w:tr w14:paraId="7E1B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685" w:type="dxa"/>
                  <w:vMerge w:val="continue"/>
                  <w:vAlign w:val="center"/>
                </w:tcPr>
                <w:p w14:paraId="682EEF76">
                  <w:pPr>
                    <w:pStyle w:val="52"/>
                    <w:rPr>
                      <w:color w:val="auto"/>
                    </w:rPr>
                  </w:pPr>
                </w:p>
              </w:tc>
              <w:tc>
                <w:tcPr>
                  <w:tcW w:w="2747" w:type="dxa"/>
                  <w:gridSpan w:val="3"/>
                  <w:vMerge w:val="continue"/>
                  <w:vAlign w:val="center"/>
                </w:tcPr>
                <w:p w14:paraId="02E42964">
                  <w:pPr>
                    <w:pStyle w:val="52"/>
                    <w:rPr>
                      <w:color w:val="auto"/>
                    </w:rPr>
                  </w:pPr>
                </w:p>
              </w:tc>
              <w:tc>
                <w:tcPr>
                  <w:tcW w:w="4961" w:type="dxa"/>
                  <w:tcBorders>
                    <w:right w:val="single" w:color="auto" w:sz="4" w:space="0"/>
                  </w:tcBorders>
                  <w:vAlign w:val="center"/>
                </w:tcPr>
                <w:p w14:paraId="293E30A9">
                  <w:pPr>
                    <w:pStyle w:val="52"/>
                    <w:jc w:val="left"/>
                    <w:rPr>
                      <w:bCs/>
                      <w:color w:val="auto"/>
                      <w:szCs w:val="21"/>
                    </w:rPr>
                  </w:pPr>
                  <w:r>
                    <w:rPr>
                      <w:color w:val="auto"/>
                    </w:rPr>
                    <w:t>弃渣场和露天采场分别设置了</w:t>
                  </w:r>
                  <w:r>
                    <w:rPr>
                      <w:color w:val="FF0000"/>
                    </w:rPr>
                    <w:t>120 m</w:t>
                  </w:r>
                  <w:r>
                    <w:rPr>
                      <w:color w:val="FF0000"/>
                      <w:vertAlign w:val="superscript"/>
                    </w:rPr>
                    <w:t>3</w:t>
                  </w:r>
                  <w:r>
                    <w:rPr>
                      <w:color w:val="auto"/>
                    </w:rPr>
                    <w:t>和100m</w:t>
                  </w:r>
                  <w:r>
                    <w:rPr>
                      <w:color w:val="auto"/>
                      <w:vertAlign w:val="superscript"/>
                    </w:rPr>
                    <w:t>3</w:t>
                  </w:r>
                  <w:r>
                    <w:rPr>
                      <w:color w:val="auto"/>
                    </w:rPr>
                    <w:t>初期</w:t>
                  </w:r>
                  <w:r>
                    <w:rPr>
                      <w:rFonts w:hint="eastAsia"/>
                      <w:bCs/>
                      <w:color w:val="FF0000"/>
                    </w:rPr>
                    <w:t>初期雨水</w:t>
                  </w:r>
                  <w:r>
                    <w:rPr>
                      <w:color w:val="auto"/>
                    </w:rPr>
                    <w:t>经雨水沉淀池沉淀后外排。</w:t>
                  </w:r>
                </w:p>
              </w:tc>
              <w:tc>
                <w:tcPr>
                  <w:tcW w:w="1588" w:type="dxa"/>
                  <w:tcBorders>
                    <w:left w:val="single" w:color="auto" w:sz="4" w:space="0"/>
                  </w:tcBorders>
                  <w:vAlign w:val="center"/>
                </w:tcPr>
                <w:p w14:paraId="463F202A">
                  <w:pPr>
                    <w:pStyle w:val="52"/>
                    <w:rPr>
                      <w:color w:val="auto"/>
                    </w:rPr>
                  </w:pPr>
                  <w:r>
                    <w:rPr>
                      <w:color w:val="auto"/>
                    </w:rPr>
                    <w:t>新建</w:t>
                  </w:r>
                </w:p>
              </w:tc>
            </w:tr>
            <w:tr w14:paraId="3648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1346752C">
                  <w:pPr>
                    <w:pStyle w:val="52"/>
                    <w:rPr>
                      <w:color w:val="auto"/>
                    </w:rPr>
                  </w:pPr>
                  <w:r>
                    <w:rPr>
                      <w:color w:val="auto"/>
                    </w:rPr>
                    <w:t>环保工程</w:t>
                  </w:r>
                </w:p>
              </w:tc>
              <w:tc>
                <w:tcPr>
                  <w:tcW w:w="1046" w:type="dxa"/>
                  <w:gridSpan w:val="2"/>
                  <w:vMerge w:val="restart"/>
                  <w:tcBorders>
                    <w:right w:val="single" w:color="auto" w:sz="4" w:space="0"/>
                  </w:tcBorders>
                  <w:vAlign w:val="center"/>
                </w:tcPr>
                <w:p w14:paraId="11096F3C">
                  <w:pPr>
                    <w:pStyle w:val="52"/>
                    <w:rPr>
                      <w:color w:val="auto"/>
                    </w:rPr>
                  </w:pPr>
                  <w:r>
                    <w:rPr>
                      <w:color w:val="auto"/>
                    </w:rPr>
                    <w:t>废水</w:t>
                  </w:r>
                </w:p>
              </w:tc>
              <w:tc>
                <w:tcPr>
                  <w:tcW w:w="1701" w:type="dxa"/>
                  <w:tcBorders>
                    <w:left w:val="single" w:color="auto" w:sz="4" w:space="0"/>
                  </w:tcBorders>
                  <w:vAlign w:val="center"/>
                </w:tcPr>
                <w:p w14:paraId="45EDCFBB">
                  <w:pPr>
                    <w:pStyle w:val="52"/>
                    <w:rPr>
                      <w:color w:val="auto"/>
                    </w:rPr>
                  </w:pPr>
                  <w:r>
                    <w:rPr>
                      <w:color w:val="auto"/>
                    </w:rPr>
                    <w:t>隔油池</w:t>
                  </w:r>
                </w:p>
              </w:tc>
              <w:tc>
                <w:tcPr>
                  <w:tcW w:w="4961" w:type="dxa"/>
                  <w:tcBorders>
                    <w:right w:val="single" w:color="auto" w:sz="4" w:space="0"/>
                  </w:tcBorders>
                  <w:vAlign w:val="center"/>
                </w:tcPr>
                <w:p w14:paraId="66D48A3D">
                  <w:pPr>
                    <w:pStyle w:val="52"/>
                    <w:rPr>
                      <w:color w:val="auto"/>
                    </w:rPr>
                  </w:pPr>
                  <w:r>
                    <w:rPr>
                      <w:color w:val="auto"/>
                    </w:rPr>
                    <w:t>位于厨房东侧，容积为2m</w:t>
                  </w:r>
                  <w:r>
                    <w:rPr>
                      <w:color w:val="auto"/>
                      <w:vertAlign w:val="superscript"/>
                    </w:rPr>
                    <w:t>3</w:t>
                  </w:r>
                  <w:r>
                    <w:rPr>
                      <w:color w:val="auto"/>
                    </w:rPr>
                    <w:t>。</w:t>
                  </w:r>
                </w:p>
              </w:tc>
              <w:tc>
                <w:tcPr>
                  <w:tcW w:w="1588" w:type="dxa"/>
                  <w:tcBorders>
                    <w:left w:val="single" w:color="auto" w:sz="4" w:space="0"/>
                  </w:tcBorders>
                  <w:vAlign w:val="center"/>
                </w:tcPr>
                <w:p w14:paraId="2B6CB9F2">
                  <w:pPr>
                    <w:pStyle w:val="52"/>
                    <w:rPr>
                      <w:color w:val="auto"/>
                    </w:rPr>
                  </w:pPr>
                  <w:r>
                    <w:rPr>
                      <w:color w:val="auto"/>
                    </w:rPr>
                    <w:t>新建</w:t>
                  </w:r>
                </w:p>
              </w:tc>
            </w:tr>
            <w:tr w14:paraId="2F51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59BFE30">
                  <w:pPr>
                    <w:pStyle w:val="52"/>
                    <w:rPr>
                      <w:color w:val="auto"/>
                    </w:rPr>
                  </w:pPr>
                </w:p>
              </w:tc>
              <w:tc>
                <w:tcPr>
                  <w:tcW w:w="1046" w:type="dxa"/>
                  <w:gridSpan w:val="2"/>
                  <w:vMerge w:val="continue"/>
                  <w:tcBorders>
                    <w:right w:val="single" w:color="auto" w:sz="4" w:space="0"/>
                  </w:tcBorders>
                  <w:vAlign w:val="center"/>
                </w:tcPr>
                <w:p w14:paraId="0020BAC4">
                  <w:pPr>
                    <w:pStyle w:val="52"/>
                    <w:rPr>
                      <w:color w:val="auto"/>
                    </w:rPr>
                  </w:pPr>
                </w:p>
              </w:tc>
              <w:tc>
                <w:tcPr>
                  <w:tcW w:w="1701" w:type="dxa"/>
                  <w:tcBorders>
                    <w:left w:val="single" w:color="auto" w:sz="4" w:space="0"/>
                  </w:tcBorders>
                  <w:vAlign w:val="center"/>
                </w:tcPr>
                <w:p w14:paraId="61507E20">
                  <w:pPr>
                    <w:pStyle w:val="52"/>
                    <w:rPr>
                      <w:color w:val="auto"/>
                    </w:rPr>
                  </w:pPr>
                  <w:r>
                    <w:rPr>
                      <w:color w:val="auto"/>
                    </w:rPr>
                    <w:t>化粪池</w:t>
                  </w:r>
                </w:p>
              </w:tc>
              <w:tc>
                <w:tcPr>
                  <w:tcW w:w="4961" w:type="dxa"/>
                  <w:tcBorders>
                    <w:right w:val="single" w:color="auto" w:sz="4" w:space="0"/>
                  </w:tcBorders>
                  <w:vAlign w:val="center"/>
                </w:tcPr>
                <w:p w14:paraId="3E4922F1">
                  <w:pPr>
                    <w:pStyle w:val="52"/>
                    <w:rPr>
                      <w:color w:val="auto"/>
                    </w:rPr>
                  </w:pPr>
                  <w:r>
                    <w:rPr>
                      <w:color w:val="auto"/>
                    </w:rPr>
                    <w:t>一个位于生活区西侧，容积为12m</w:t>
                  </w:r>
                  <w:r>
                    <w:rPr>
                      <w:color w:val="auto"/>
                      <w:vertAlign w:val="superscript"/>
                    </w:rPr>
                    <w:t>3</w:t>
                  </w:r>
                  <w:r>
                    <w:rPr>
                      <w:color w:val="auto"/>
                    </w:rPr>
                    <w:t>；一个位于办公区东侧，容积为5m</w:t>
                  </w:r>
                  <w:r>
                    <w:rPr>
                      <w:color w:val="auto"/>
                      <w:vertAlign w:val="superscript"/>
                    </w:rPr>
                    <w:t>3</w:t>
                  </w:r>
                </w:p>
              </w:tc>
              <w:tc>
                <w:tcPr>
                  <w:tcW w:w="1588" w:type="dxa"/>
                  <w:tcBorders>
                    <w:left w:val="single" w:color="auto" w:sz="4" w:space="0"/>
                  </w:tcBorders>
                  <w:vAlign w:val="center"/>
                </w:tcPr>
                <w:p w14:paraId="54E871BE">
                  <w:pPr>
                    <w:pStyle w:val="52"/>
                    <w:rPr>
                      <w:color w:val="auto"/>
                    </w:rPr>
                  </w:pPr>
                  <w:r>
                    <w:rPr>
                      <w:rFonts w:hint="eastAsia"/>
                      <w:color w:val="auto"/>
                    </w:rPr>
                    <w:t>已建好</w:t>
                  </w:r>
                </w:p>
              </w:tc>
            </w:tr>
            <w:tr w14:paraId="2E95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25BD688">
                  <w:pPr>
                    <w:pStyle w:val="52"/>
                    <w:rPr>
                      <w:color w:val="auto"/>
                    </w:rPr>
                  </w:pPr>
                </w:p>
              </w:tc>
              <w:tc>
                <w:tcPr>
                  <w:tcW w:w="1046" w:type="dxa"/>
                  <w:gridSpan w:val="2"/>
                  <w:vMerge w:val="continue"/>
                  <w:tcBorders>
                    <w:right w:val="single" w:color="auto" w:sz="4" w:space="0"/>
                  </w:tcBorders>
                  <w:vAlign w:val="center"/>
                </w:tcPr>
                <w:p w14:paraId="022E3435">
                  <w:pPr>
                    <w:pStyle w:val="52"/>
                    <w:rPr>
                      <w:color w:val="auto"/>
                    </w:rPr>
                  </w:pPr>
                </w:p>
              </w:tc>
              <w:tc>
                <w:tcPr>
                  <w:tcW w:w="1701" w:type="dxa"/>
                  <w:tcBorders>
                    <w:left w:val="single" w:color="auto" w:sz="4" w:space="0"/>
                  </w:tcBorders>
                  <w:vAlign w:val="center"/>
                </w:tcPr>
                <w:p w14:paraId="53C501E9">
                  <w:pPr>
                    <w:pStyle w:val="52"/>
                    <w:rPr>
                      <w:color w:val="auto"/>
                    </w:rPr>
                  </w:pPr>
                  <w:r>
                    <w:rPr>
                      <w:color w:val="auto"/>
                    </w:rPr>
                    <w:t>排水沟、雨水沉淀池</w:t>
                  </w:r>
                </w:p>
              </w:tc>
              <w:tc>
                <w:tcPr>
                  <w:tcW w:w="4961" w:type="dxa"/>
                  <w:tcBorders>
                    <w:right w:val="single" w:color="auto" w:sz="4" w:space="0"/>
                  </w:tcBorders>
                  <w:vAlign w:val="center"/>
                </w:tcPr>
                <w:p w14:paraId="5B6CC9D2">
                  <w:pPr>
                    <w:pStyle w:val="52"/>
                    <w:jc w:val="left"/>
                    <w:rPr>
                      <w:color w:val="auto"/>
                    </w:rPr>
                  </w:pPr>
                  <w:r>
                    <w:rPr>
                      <w:color w:val="auto"/>
                    </w:rPr>
                    <w:t>在生活区和堆料场的中间设置约250m的雨水沟，在其末端设置1个雨水沉淀池，容积100m</w:t>
                  </w:r>
                  <w:r>
                    <w:rPr>
                      <w:color w:val="auto"/>
                      <w:vertAlign w:val="superscript"/>
                    </w:rPr>
                    <w:t>3</w:t>
                  </w:r>
                  <w:r>
                    <w:rPr>
                      <w:color w:val="auto"/>
                    </w:rPr>
                    <w:t>。</w:t>
                  </w:r>
                </w:p>
              </w:tc>
              <w:tc>
                <w:tcPr>
                  <w:tcW w:w="1588" w:type="dxa"/>
                  <w:tcBorders>
                    <w:left w:val="single" w:color="auto" w:sz="4" w:space="0"/>
                  </w:tcBorders>
                  <w:vAlign w:val="center"/>
                </w:tcPr>
                <w:p w14:paraId="748D7C73">
                  <w:pPr>
                    <w:pStyle w:val="52"/>
                    <w:rPr>
                      <w:color w:val="auto"/>
                    </w:rPr>
                  </w:pPr>
                  <w:r>
                    <w:rPr>
                      <w:color w:val="auto"/>
                    </w:rPr>
                    <w:t>新建</w:t>
                  </w:r>
                </w:p>
              </w:tc>
            </w:tr>
            <w:tr w14:paraId="35E4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tcBorders>
                    <w:bottom w:val="single" w:color="000000" w:sz="4" w:space="0"/>
                  </w:tcBorders>
                  <w:vAlign w:val="center"/>
                </w:tcPr>
                <w:p w14:paraId="303AEF8F">
                  <w:pPr>
                    <w:pStyle w:val="52"/>
                    <w:rPr>
                      <w:color w:val="auto"/>
                    </w:rPr>
                  </w:pPr>
                </w:p>
              </w:tc>
              <w:tc>
                <w:tcPr>
                  <w:tcW w:w="1046" w:type="dxa"/>
                  <w:gridSpan w:val="2"/>
                  <w:vMerge w:val="continue"/>
                  <w:tcBorders>
                    <w:bottom w:val="single" w:color="000000" w:sz="4" w:space="0"/>
                    <w:right w:val="single" w:color="auto" w:sz="4" w:space="0"/>
                  </w:tcBorders>
                  <w:vAlign w:val="center"/>
                </w:tcPr>
                <w:p w14:paraId="0B539122">
                  <w:pPr>
                    <w:pStyle w:val="52"/>
                    <w:rPr>
                      <w:color w:val="auto"/>
                    </w:rPr>
                  </w:pPr>
                </w:p>
              </w:tc>
              <w:tc>
                <w:tcPr>
                  <w:tcW w:w="1701" w:type="dxa"/>
                  <w:tcBorders>
                    <w:left w:val="single" w:color="auto" w:sz="4" w:space="0"/>
                    <w:bottom w:val="single" w:color="000000" w:sz="4" w:space="0"/>
                  </w:tcBorders>
                  <w:vAlign w:val="center"/>
                </w:tcPr>
                <w:p w14:paraId="404D6AD9">
                  <w:pPr>
                    <w:pStyle w:val="52"/>
                    <w:rPr>
                      <w:color w:val="auto"/>
                    </w:rPr>
                  </w:pPr>
                  <w:r>
                    <w:rPr>
                      <w:color w:val="auto"/>
                    </w:rPr>
                    <w:t>截水沟、沉砂池</w:t>
                  </w:r>
                </w:p>
              </w:tc>
              <w:tc>
                <w:tcPr>
                  <w:tcW w:w="4961" w:type="dxa"/>
                  <w:tcBorders>
                    <w:bottom w:val="single" w:color="000000" w:sz="4" w:space="0"/>
                    <w:right w:val="single" w:color="auto" w:sz="4" w:space="0"/>
                  </w:tcBorders>
                  <w:vAlign w:val="center"/>
                </w:tcPr>
                <w:p w14:paraId="1BA256E3">
                  <w:pPr>
                    <w:pStyle w:val="52"/>
                    <w:rPr>
                      <w:color w:val="auto"/>
                    </w:rPr>
                  </w:pPr>
                  <w:r>
                    <w:rPr>
                      <w:color w:val="auto"/>
                    </w:rPr>
                    <w:t>弃渣场上游修建截排水沟490m，末端设置沉砂池，容积为120m</w:t>
                  </w:r>
                  <w:r>
                    <w:rPr>
                      <w:color w:val="auto"/>
                      <w:vertAlign w:val="superscript"/>
                    </w:rPr>
                    <w:t>3</w:t>
                  </w:r>
                  <w:r>
                    <w:rPr>
                      <w:color w:val="auto"/>
                    </w:rPr>
                    <w:t>。露天采场区累计修建排水沟923m，末端设置沉砂池，设置1个沉砂池，容积为100m</w:t>
                  </w:r>
                  <w:r>
                    <w:rPr>
                      <w:color w:val="auto"/>
                      <w:vertAlign w:val="superscript"/>
                    </w:rPr>
                    <w:t>3</w:t>
                  </w:r>
                  <w:r>
                    <w:rPr>
                      <w:color w:val="auto"/>
                    </w:rPr>
                    <w:t>。</w:t>
                  </w:r>
                </w:p>
              </w:tc>
              <w:tc>
                <w:tcPr>
                  <w:tcW w:w="1588" w:type="dxa"/>
                  <w:tcBorders>
                    <w:left w:val="single" w:color="auto" w:sz="4" w:space="0"/>
                    <w:bottom w:val="single" w:color="000000" w:sz="4" w:space="0"/>
                  </w:tcBorders>
                  <w:vAlign w:val="center"/>
                </w:tcPr>
                <w:p w14:paraId="6CCE595F">
                  <w:pPr>
                    <w:pStyle w:val="52"/>
                    <w:rPr>
                      <w:color w:val="auto"/>
                    </w:rPr>
                  </w:pPr>
                  <w:r>
                    <w:rPr>
                      <w:color w:val="auto"/>
                    </w:rPr>
                    <w:t>新建</w:t>
                  </w:r>
                </w:p>
              </w:tc>
            </w:tr>
            <w:tr w14:paraId="1A80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CDAD77B">
                  <w:pPr>
                    <w:pStyle w:val="52"/>
                    <w:rPr>
                      <w:color w:val="auto"/>
                    </w:rPr>
                  </w:pPr>
                </w:p>
              </w:tc>
              <w:tc>
                <w:tcPr>
                  <w:tcW w:w="1046" w:type="dxa"/>
                  <w:gridSpan w:val="2"/>
                  <w:vMerge w:val="restart"/>
                  <w:tcBorders>
                    <w:right w:val="single" w:color="auto" w:sz="4" w:space="0"/>
                  </w:tcBorders>
                  <w:vAlign w:val="center"/>
                </w:tcPr>
                <w:p w14:paraId="0801021C">
                  <w:pPr>
                    <w:pStyle w:val="52"/>
                    <w:rPr>
                      <w:color w:val="auto"/>
                    </w:rPr>
                  </w:pPr>
                  <w:r>
                    <w:rPr>
                      <w:color w:val="auto"/>
                    </w:rPr>
                    <w:t>废气</w:t>
                  </w:r>
                </w:p>
              </w:tc>
              <w:tc>
                <w:tcPr>
                  <w:tcW w:w="1701" w:type="dxa"/>
                  <w:tcBorders>
                    <w:left w:val="single" w:color="auto" w:sz="4" w:space="0"/>
                  </w:tcBorders>
                  <w:vAlign w:val="center"/>
                </w:tcPr>
                <w:p w14:paraId="71DF817D">
                  <w:pPr>
                    <w:pStyle w:val="52"/>
                    <w:rPr>
                      <w:color w:val="auto"/>
                    </w:rPr>
                  </w:pPr>
                  <w:r>
                    <w:rPr>
                      <w:color w:val="auto"/>
                    </w:rPr>
                    <w:t>采场工作面防尘</w:t>
                  </w:r>
                </w:p>
              </w:tc>
              <w:tc>
                <w:tcPr>
                  <w:tcW w:w="4961" w:type="dxa"/>
                  <w:tcBorders>
                    <w:right w:val="single" w:color="auto" w:sz="4" w:space="0"/>
                  </w:tcBorders>
                  <w:vAlign w:val="center"/>
                </w:tcPr>
                <w:p w14:paraId="110B6707">
                  <w:pPr>
                    <w:pStyle w:val="52"/>
                    <w:rPr>
                      <w:color w:val="auto"/>
                    </w:rPr>
                  </w:pPr>
                  <w:r>
                    <w:rPr>
                      <w:color w:val="auto"/>
                    </w:rPr>
                    <w:t>采场工作面通过</w:t>
                  </w:r>
                  <w:r>
                    <w:rPr>
                      <w:color w:val="FF0000"/>
                    </w:rPr>
                    <w:t>雾炮机</w:t>
                  </w:r>
                  <w:r>
                    <w:rPr>
                      <w:color w:val="auto"/>
                    </w:rPr>
                    <w:t>及洒水车进行洒水降尘</w:t>
                  </w:r>
                </w:p>
              </w:tc>
              <w:tc>
                <w:tcPr>
                  <w:tcW w:w="1588" w:type="dxa"/>
                  <w:tcBorders>
                    <w:left w:val="single" w:color="auto" w:sz="4" w:space="0"/>
                  </w:tcBorders>
                  <w:vAlign w:val="center"/>
                </w:tcPr>
                <w:p w14:paraId="32676133">
                  <w:pPr>
                    <w:pStyle w:val="52"/>
                    <w:rPr>
                      <w:color w:val="auto"/>
                    </w:rPr>
                  </w:pPr>
                  <w:r>
                    <w:rPr>
                      <w:color w:val="auto"/>
                    </w:rPr>
                    <w:t>已建好</w:t>
                  </w:r>
                </w:p>
              </w:tc>
            </w:tr>
            <w:tr w14:paraId="09D6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jc w:val="center"/>
              </w:trPr>
              <w:tc>
                <w:tcPr>
                  <w:tcW w:w="685" w:type="dxa"/>
                  <w:vMerge w:val="continue"/>
                  <w:vAlign w:val="center"/>
                </w:tcPr>
                <w:p w14:paraId="1BAB0B1B">
                  <w:pPr>
                    <w:pStyle w:val="52"/>
                    <w:rPr>
                      <w:color w:val="auto"/>
                    </w:rPr>
                  </w:pPr>
                </w:p>
              </w:tc>
              <w:tc>
                <w:tcPr>
                  <w:tcW w:w="1046" w:type="dxa"/>
                  <w:gridSpan w:val="2"/>
                  <w:vMerge w:val="continue"/>
                  <w:tcBorders>
                    <w:right w:val="single" w:color="auto" w:sz="4" w:space="0"/>
                  </w:tcBorders>
                  <w:vAlign w:val="center"/>
                </w:tcPr>
                <w:p w14:paraId="297B31CE">
                  <w:pPr>
                    <w:pStyle w:val="52"/>
                    <w:rPr>
                      <w:color w:val="auto"/>
                    </w:rPr>
                  </w:pPr>
                </w:p>
              </w:tc>
              <w:tc>
                <w:tcPr>
                  <w:tcW w:w="1701" w:type="dxa"/>
                  <w:tcBorders>
                    <w:left w:val="single" w:color="auto" w:sz="4" w:space="0"/>
                  </w:tcBorders>
                  <w:vAlign w:val="center"/>
                </w:tcPr>
                <w:p w14:paraId="5C1CB64B">
                  <w:pPr>
                    <w:pStyle w:val="52"/>
                    <w:rPr>
                      <w:color w:val="auto"/>
                    </w:rPr>
                  </w:pPr>
                  <w:r>
                    <w:rPr>
                      <w:color w:val="auto"/>
                    </w:rPr>
                    <w:t>破碎和筛分加工区防尘</w:t>
                  </w:r>
                </w:p>
              </w:tc>
              <w:tc>
                <w:tcPr>
                  <w:tcW w:w="4961" w:type="dxa"/>
                  <w:tcBorders>
                    <w:right w:val="single" w:color="auto" w:sz="4" w:space="0"/>
                  </w:tcBorders>
                  <w:vAlign w:val="center"/>
                </w:tcPr>
                <w:p w14:paraId="4135DAA5">
                  <w:pPr>
                    <w:pStyle w:val="52"/>
                    <w:rPr>
                      <w:color w:val="auto"/>
                    </w:rPr>
                  </w:pPr>
                  <w:r>
                    <w:rPr>
                      <w:color w:val="auto"/>
                    </w:rPr>
                    <w:t>一级破碎采用洒水除尘，</w:t>
                  </w:r>
                  <w:r>
                    <w:rPr>
                      <w:color w:val="auto"/>
                      <w:szCs w:val="32"/>
                    </w:rPr>
                    <w:t>破碎机下料口使用苫布遮盖；筛分机采用彩钢瓦棚半封闭，出料口用苫布遮挡。</w:t>
                  </w:r>
                </w:p>
              </w:tc>
              <w:tc>
                <w:tcPr>
                  <w:tcW w:w="1588" w:type="dxa"/>
                  <w:tcBorders>
                    <w:left w:val="single" w:color="auto" w:sz="4" w:space="0"/>
                  </w:tcBorders>
                  <w:vAlign w:val="center"/>
                </w:tcPr>
                <w:p w14:paraId="016CE722">
                  <w:pPr>
                    <w:pStyle w:val="52"/>
                    <w:rPr>
                      <w:color w:val="auto"/>
                    </w:rPr>
                  </w:pPr>
                  <w:r>
                    <w:rPr>
                      <w:color w:val="auto"/>
                    </w:rPr>
                    <w:t>已建好</w:t>
                  </w:r>
                </w:p>
              </w:tc>
            </w:tr>
            <w:tr w14:paraId="64A89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3F64F9E">
                  <w:pPr>
                    <w:pStyle w:val="52"/>
                    <w:rPr>
                      <w:color w:val="auto"/>
                    </w:rPr>
                  </w:pPr>
                </w:p>
              </w:tc>
              <w:tc>
                <w:tcPr>
                  <w:tcW w:w="1046" w:type="dxa"/>
                  <w:gridSpan w:val="2"/>
                  <w:vMerge w:val="continue"/>
                  <w:tcBorders>
                    <w:right w:val="single" w:color="auto" w:sz="4" w:space="0"/>
                  </w:tcBorders>
                  <w:vAlign w:val="center"/>
                </w:tcPr>
                <w:p w14:paraId="62456823">
                  <w:pPr>
                    <w:pStyle w:val="52"/>
                    <w:rPr>
                      <w:color w:val="auto"/>
                    </w:rPr>
                  </w:pPr>
                </w:p>
              </w:tc>
              <w:tc>
                <w:tcPr>
                  <w:tcW w:w="1701" w:type="dxa"/>
                  <w:tcBorders>
                    <w:left w:val="single" w:color="auto" w:sz="4" w:space="0"/>
                  </w:tcBorders>
                  <w:vAlign w:val="center"/>
                </w:tcPr>
                <w:p w14:paraId="5DCE3CE7">
                  <w:pPr>
                    <w:pStyle w:val="52"/>
                    <w:rPr>
                      <w:color w:val="auto"/>
                    </w:rPr>
                  </w:pPr>
                  <w:r>
                    <w:rPr>
                      <w:color w:val="auto"/>
                    </w:rPr>
                    <w:t>堆料场</w:t>
                  </w:r>
                </w:p>
              </w:tc>
              <w:tc>
                <w:tcPr>
                  <w:tcW w:w="4961" w:type="dxa"/>
                  <w:tcBorders>
                    <w:right w:val="single" w:color="auto" w:sz="4" w:space="0"/>
                  </w:tcBorders>
                  <w:vAlign w:val="center"/>
                </w:tcPr>
                <w:p w14:paraId="088D1A3D">
                  <w:pPr>
                    <w:spacing w:line="240" w:lineRule="auto"/>
                    <w:ind w:firstLine="0" w:firstLineChars="0"/>
                    <w:jc w:val="center"/>
                    <w:rPr>
                      <w:rFonts w:cs="Times New Roman"/>
                      <w:sz w:val="21"/>
                      <w:szCs w:val="32"/>
                    </w:rPr>
                  </w:pPr>
                  <w:r>
                    <w:rPr>
                      <w:rFonts w:cs="Times New Roman"/>
                      <w:sz w:val="21"/>
                      <w:szCs w:val="32"/>
                    </w:rPr>
                    <w:t>堆积成品石料采用苫布临时覆盖，并采取洒水降尘</w:t>
                  </w:r>
                </w:p>
              </w:tc>
              <w:tc>
                <w:tcPr>
                  <w:tcW w:w="1588" w:type="dxa"/>
                  <w:tcBorders>
                    <w:left w:val="single" w:color="auto" w:sz="4" w:space="0"/>
                  </w:tcBorders>
                  <w:vAlign w:val="center"/>
                </w:tcPr>
                <w:p w14:paraId="2468E302">
                  <w:pPr>
                    <w:pStyle w:val="52"/>
                    <w:rPr>
                      <w:color w:val="auto"/>
                    </w:rPr>
                  </w:pPr>
                  <w:r>
                    <w:rPr>
                      <w:rFonts w:hint="eastAsia"/>
                      <w:color w:val="auto"/>
                    </w:rPr>
                    <w:t>新建</w:t>
                  </w:r>
                </w:p>
              </w:tc>
            </w:tr>
            <w:tr w14:paraId="19E9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08D0D8F">
                  <w:pPr>
                    <w:pStyle w:val="52"/>
                    <w:rPr>
                      <w:color w:val="auto"/>
                    </w:rPr>
                  </w:pPr>
                </w:p>
              </w:tc>
              <w:tc>
                <w:tcPr>
                  <w:tcW w:w="1046" w:type="dxa"/>
                  <w:gridSpan w:val="2"/>
                  <w:vMerge w:val="continue"/>
                  <w:tcBorders>
                    <w:right w:val="single" w:color="auto" w:sz="4" w:space="0"/>
                  </w:tcBorders>
                  <w:vAlign w:val="center"/>
                </w:tcPr>
                <w:p w14:paraId="2531D9AB">
                  <w:pPr>
                    <w:pStyle w:val="52"/>
                    <w:rPr>
                      <w:color w:val="auto"/>
                    </w:rPr>
                  </w:pPr>
                </w:p>
              </w:tc>
              <w:tc>
                <w:tcPr>
                  <w:tcW w:w="1701" w:type="dxa"/>
                  <w:tcBorders>
                    <w:left w:val="single" w:color="auto" w:sz="4" w:space="0"/>
                  </w:tcBorders>
                  <w:vAlign w:val="center"/>
                </w:tcPr>
                <w:p w14:paraId="5A3E36E6">
                  <w:pPr>
                    <w:pStyle w:val="52"/>
                    <w:rPr>
                      <w:color w:val="auto"/>
                    </w:rPr>
                  </w:pPr>
                  <w:r>
                    <w:rPr>
                      <w:color w:val="auto"/>
                    </w:rPr>
                    <w:t>弃渣场</w:t>
                  </w:r>
                </w:p>
              </w:tc>
              <w:tc>
                <w:tcPr>
                  <w:tcW w:w="4961" w:type="dxa"/>
                  <w:tcBorders>
                    <w:right w:val="single" w:color="auto" w:sz="4" w:space="0"/>
                  </w:tcBorders>
                  <w:vAlign w:val="center"/>
                </w:tcPr>
                <w:p w14:paraId="346186B5">
                  <w:pPr>
                    <w:spacing w:line="240" w:lineRule="auto"/>
                    <w:ind w:firstLine="0" w:firstLineChars="0"/>
                    <w:jc w:val="center"/>
                    <w:rPr>
                      <w:rFonts w:cs="Times New Roman"/>
                      <w:sz w:val="21"/>
                      <w:szCs w:val="32"/>
                    </w:rPr>
                  </w:pPr>
                  <w:r>
                    <w:rPr>
                      <w:rFonts w:cs="Times New Roman"/>
                      <w:sz w:val="21"/>
                      <w:szCs w:val="32"/>
                    </w:rPr>
                    <w:t>弃渣场采取洒水降尘</w:t>
                  </w:r>
                </w:p>
              </w:tc>
              <w:tc>
                <w:tcPr>
                  <w:tcW w:w="1588" w:type="dxa"/>
                  <w:tcBorders>
                    <w:left w:val="single" w:color="auto" w:sz="4" w:space="0"/>
                  </w:tcBorders>
                  <w:vAlign w:val="center"/>
                </w:tcPr>
                <w:p w14:paraId="2026B637">
                  <w:pPr>
                    <w:pStyle w:val="52"/>
                    <w:rPr>
                      <w:color w:val="auto"/>
                    </w:rPr>
                  </w:pPr>
                  <w:r>
                    <w:rPr>
                      <w:color w:val="auto"/>
                    </w:rPr>
                    <w:t>已建好</w:t>
                  </w:r>
                </w:p>
              </w:tc>
            </w:tr>
            <w:tr w14:paraId="6265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6C80B99">
                  <w:pPr>
                    <w:pStyle w:val="52"/>
                    <w:rPr>
                      <w:color w:val="auto"/>
                    </w:rPr>
                  </w:pPr>
                </w:p>
              </w:tc>
              <w:tc>
                <w:tcPr>
                  <w:tcW w:w="1046" w:type="dxa"/>
                  <w:gridSpan w:val="2"/>
                  <w:vMerge w:val="continue"/>
                  <w:tcBorders>
                    <w:right w:val="single" w:color="auto" w:sz="4" w:space="0"/>
                  </w:tcBorders>
                  <w:vAlign w:val="center"/>
                </w:tcPr>
                <w:p w14:paraId="1993BBCD">
                  <w:pPr>
                    <w:pStyle w:val="52"/>
                    <w:rPr>
                      <w:color w:val="auto"/>
                    </w:rPr>
                  </w:pPr>
                </w:p>
              </w:tc>
              <w:tc>
                <w:tcPr>
                  <w:tcW w:w="1701" w:type="dxa"/>
                  <w:tcBorders>
                    <w:left w:val="single" w:color="auto" w:sz="4" w:space="0"/>
                  </w:tcBorders>
                  <w:vAlign w:val="center"/>
                </w:tcPr>
                <w:p w14:paraId="1A3582A4">
                  <w:pPr>
                    <w:pStyle w:val="52"/>
                    <w:rPr>
                      <w:color w:val="auto"/>
                    </w:rPr>
                  </w:pPr>
                  <w:r>
                    <w:rPr>
                      <w:rFonts w:hint="eastAsia"/>
                      <w:color w:val="FF0000"/>
                    </w:rPr>
                    <w:t>传送带、</w:t>
                  </w:r>
                  <w:r>
                    <w:rPr>
                      <w:color w:val="auto"/>
                    </w:rPr>
                    <w:t>转载、装卸点防尘</w:t>
                  </w:r>
                </w:p>
              </w:tc>
              <w:tc>
                <w:tcPr>
                  <w:tcW w:w="4961" w:type="dxa"/>
                  <w:tcBorders>
                    <w:right w:val="single" w:color="auto" w:sz="4" w:space="0"/>
                  </w:tcBorders>
                  <w:vAlign w:val="center"/>
                </w:tcPr>
                <w:p w14:paraId="09AC521A">
                  <w:pPr>
                    <w:pStyle w:val="52"/>
                    <w:rPr>
                      <w:color w:val="auto"/>
                    </w:rPr>
                  </w:pPr>
                  <w:r>
                    <w:rPr>
                      <w:color w:val="auto"/>
                    </w:rPr>
                    <w:t>转载、装卸点通过洒水车</w:t>
                  </w:r>
                  <w:r>
                    <w:rPr>
                      <w:rFonts w:hint="eastAsia"/>
                      <w:color w:val="auto"/>
                    </w:rPr>
                    <w:t>、</w:t>
                  </w:r>
                  <w:r>
                    <w:rPr>
                      <w:rFonts w:hint="eastAsia"/>
                      <w:color w:val="FF0000"/>
                    </w:rPr>
                    <w:t>雾炮机</w:t>
                  </w:r>
                  <w:r>
                    <w:rPr>
                      <w:color w:val="auto"/>
                    </w:rPr>
                    <w:t>洒水降尘</w:t>
                  </w:r>
                </w:p>
              </w:tc>
              <w:tc>
                <w:tcPr>
                  <w:tcW w:w="1588" w:type="dxa"/>
                  <w:tcBorders>
                    <w:left w:val="single" w:color="auto" w:sz="4" w:space="0"/>
                  </w:tcBorders>
                  <w:vAlign w:val="center"/>
                </w:tcPr>
                <w:p w14:paraId="4361727A">
                  <w:pPr>
                    <w:pStyle w:val="52"/>
                    <w:rPr>
                      <w:color w:val="auto"/>
                    </w:rPr>
                  </w:pPr>
                  <w:r>
                    <w:rPr>
                      <w:color w:val="auto"/>
                    </w:rPr>
                    <w:t>已建好</w:t>
                  </w:r>
                </w:p>
              </w:tc>
            </w:tr>
            <w:tr w14:paraId="1F3B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B501BBA">
                  <w:pPr>
                    <w:pStyle w:val="52"/>
                    <w:rPr>
                      <w:color w:val="auto"/>
                    </w:rPr>
                  </w:pPr>
                </w:p>
              </w:tc>
              <w:tc>
                <w:tcPr>
                  <w:tcW w:w="1046" w:type="dxa"/>
                  <w:gridSpan w:val="2"/>
                  <w:vMerge w:val="continue"/>
                  <w:tcBorders>
                    <w:right w:val="single" w:color="auto" w:sz="4" w:space="0"/>
                  </w:tcBorders>
                  <w:vAlign w:val="center"/>
                </w:tcPr>
                <w:p w14:paraId="0D142D88">
                  <w:pPr>
                    <w:pStyle w:val="52"/>
                    <w:rPr>
                      <w:color w:val="auto"/>
                    </w:rPr>
                  </w:pPr>
                </w:p>
              </w:tc>
              <w:tc>
                <w:tcPr>
                  <w:tcW w:w="1701" w:type="dxa"/>
                  <w:tcBorders>
                    <w:left w:val="single" w:color="auto" w:sz="4" w:space="0"/>
                  </w:tcBorders>
                  <w:vAlign w:val="center"/>
                </w:tcPr>
                <w:p w14:paraId="75FDFE44">
                  <w:pPr>
                    <w:pStyle w:val="52"/>
                    <w:rPr>
                      <w:color w:val="auto"/>
                    </w:rPr>
                  </w:pPr>
                  <w:r>
                    <w:rPr>
                      <w:color w:val="auto"/>
                    </w:rPr>
                    <w:t>运输道路防尘</w:t>
                  </w:r>
                </w:p>
              </w:tc>
              <w:tc>
                <w:tcPr>
                  <w:tcW w:w="4961" w:type="dxa"/>
                  <w:tcBorders>
                    <w:right w:val="single" w:color="auto" w:sz="4" w:space="0"/>
                  </w:tcBorders>
                  <w:vAlign w:val="center"/>
                </w:tcPr>
                <w:p w14:paraId="758551C4">
                  <w:pPr>
                    <w:pStyle w:val="52"/>
                    <w:rPr>
                      <w:color w:val="auto"/>
                    </w:rPr>
                  </w:pPr>
                  <w:r>
                    <w:rPr>
                      <w:color w:val="auto"/>
                    </w:rPr>
                    <w:t>运输道路洒水车洒水抑尘</w:t>
                  </w:r>
                </w:p>
              </w:tc>
              <w:tc>
                <w:tcPr>
                  <w:tcW w:w="1588" w:type="dxa"/>
                  <w:tcBorders>
                    <w:left w:val="single" w:color="auto" w:sz="4" w:space="0"/>
                  </w:tcBorders>
                  <w:vAlign w:val="center"/>
                </w:tcPr>
                <w:p w14:paraId="4BF50DFB">
                  <w:pPr>
                    <w:pStyle w:val="52"/>
                    <w:rPr>
                      <w:color w:val="auto"/>
                    </w:rPr>
                  </w:pPr>
                  <w:r>
                    <w:rPr>
                      <w:color w:val="auto"/>
                    </w:rPr>
                    <w:t>已建好</w:t>
                  </w:r>
                </w:p>
              </w:tc>
            </w:tr>
            <w:tr w14:paraId="3283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EEA2A01">
                  <w:pPr>
                    <w:pStyle w:val="52"/>
                    <w:rPr>
                      <w:color w:val="auto"/>
                    </w:rPr>
                  </w:pPr>
                </w:p>
              </w:tc>
              <w:tc>
                <w:tcPr>
                  <w:tcW w:w="1046" w:type="dxa"/>
                  <w:gridSpan w:val="2"/>
                  <w:vMerge w:val="restart"/>
                  <w:tcBorders>
                    <w:right w:val="single" w:color="auto" w:sz="4" w:space="0"/>
                  </w:tcBorders>
                  <w:vAlign w:val="center"/>
                </w:tcPr>
                <w:p w14:paraId="109F4FAF">
                  <w:pPr>
                    <w:pStyle w:val="52"/>
                    <w:rPr>
                      <w:color w:val="auto"/>
                    </w:rPr>
                  </w:pPr>
                  <w:r>
                    <w:rPr>
                      <w:color w:val="auto"/>
                    </w:rPr>
                    <w:t>固体</w:t>
                  </w:r>
                </w:p>
                <w:p w14:paraId="678179C9">
                  <w:pPr>
                    <w:pStyle w:val="52"/>
                    <w:rPr>
                      <w:color w:val="auto"/>
                    </w:rPr>
                  </w:pPr>
                  <w:r>
                    <w:rPr>
                      <w:color w:val="auto"/>
                    </w:rPr>
                    <w:t>废物</w:t>
                  </w:r>
                </w:p>
              </w:tc>
              <w:tc>
                <w:tcPr>
                  <w:tcW w:w="1701" w:type="dxa"/>
                  <w:tcBorders>
                    <w:left w:val="single" w:color="auto" w:sz="4" w:space="0"/>
                    <w:bottom w:val="single" w:color="auto" w:sz="4" w:space="0"/>
                  </w:tcBorders>
                  <w:vAlign w:val="center"/>
                </w:tcPr>
                <w:p w14:paraId="1179DA9C">
                  <w:pPr>
                    <w:pStyle w:val="52"/>
                    <w:rPr>
                      <w:color w:val="auto"/>
                    </w:rPr>
                  </w:pPr>
                  <w:r>
                    <w:rPr>
                      <w:color w:val="auto"/>
                    </w:rPr>
                    <w:t>生活垃圾</w:t>
                  </w:r>
                </w:p>
              </w:tc>
              <w:tc>
                <w:tcPr>
                  <w:tcW w:w="4961" w:type="dxa"/>
                  <w:tcBorders>
                    <w:bottom w:val="single" w:color="auto" w:sz="4" w:space="0"/>
                    <w:right w:val="single" w:color="auto" w:sz="4" w:space="0"/>
                  </w:tcBorders>
                  <w:vAlign w:val="center"/>
                </w:tcPr>
                <w:p w14:paraId="6D417C7E">
                  <w:pPr>
                    <w:pStyle w:val="52"/>
                    <w:rPr>
                      <w:color w:val="auto"/>
                    </w:rPr>
                  </w:pPr>
                  <w:r>
                    <w:rPr>
                      <w:color w:val="auto"/>
                    </w:rPr>
                    <w:t>设置若干个生活垃圾收集桶</w:t>
                  </w:r>
                </w:p>
              </w:tc>
              <w:tc>
                <w:tcPr>
                  <w:tcW w:w="1588" w:type="dxa"/>
                  <w:tcBorders>
                    <w:left w:val="single" w:color="auto" w:sz="4" w:space="0"/>
                    <w:bottom w:val="single" w:color="auto" w:sz="4" w:space="0"/>
                  </w:tcBorders>
                  <w:vAlign w:val="center"/>
                </w:tcPr>
                <w:p w14:paraId="411B86B7">
                  <w:pPr>
                    <w:pStyle w:val="52"/>
                    <w:rPr>
                      <w:color w:val="auto"/>
                    </w:rPr>
                  </w:pPr>
                  <w:r>
                    <w:rPr>
                      <w:color w:val="auto"/>
                    </w:rPr>
                    <w:t>已建好</w:t>
                  </w:r>
                </w:p>
              </w:tc>
            </w:tr>
            <w:tr w14:paraId="37084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0A70F62">
                  <w:pPr>
                    <w:pStyle w:val="52"/>
                    <w:rPr>
                      <w:color w:val="auto"/>
                    </w:rPr>
                  </w:pPr>
                </w:p>
              </w:tc>
              <w:tc>
                <w:tcPr>
                  <w:tcW w:w="1046" w:type="dxa"/>
                  <w:gridSpan w:val="2"/>
                  <w:vMerge w:val="continue"/>
                  <w:tcBorders>
                    <w:right w:val="single" w:color="auto" w:sz="4" w:space="0"/>
                  </w:tcBorders>
                  <w:vAlign w:val="center"/>
                </w:tcPr>
                <w:p w14:paraId="385DFB54">
                  <w:pPr>
                    <w:pStyle w:val="52"/>
                    <w:rPr>
                      <w:color w:val="auto"/>
                    </w:rPr>
                  </w:pPr>
                </w:p>
              </w:tc>
              <w:tc>
                <w:tcPr>
                  <w:tcW w:w="1701" w:type="dxa"/>
                  <w:tcBorders>
                    <w:left w:val="single" w:color="auto" w:sz="4" w:space="0"/>
                    <w:bottom w:val="single" w:color="auto" w:sz="4" w:space="0"/>
                  </w:tcBorders>
                  <w:vAlign w:val="center"/>
                </w:tcPr>
                <w:p w14:paraId="160927A7">
                  <w:pPr>
                    <w:pStyle w:val="52"/>
                    <w:rPr>
                      <w:color w:val="auto"/>
                    </w:rPr>
                  </w:pPr>
                  <w:r>
                    <w:rPr>
                      <w:color w:val="auto"/>
                    </w:rPr>
                    <w:t>厨房泔水</w:t>
                  </w:r>
                </w:p>
              </w:tc>
              <w:tc>
                <w:tcPr>
                  <w:tcW w:w="4961" w:type="dxa"/>
                  <w:tcBorders>
                    <w:bottom w:val="single" w:color="auto" w:sz="4" w:space="0"/>
                    <w:right w:val="single" w:color="auto" w:sz="4" w:space="0"/>
                  </w:tcBorders>
                  <w:vAlign w:val="center"/>
                </w:tcPr>
                <w:p w14:paraId="15A46498">
                  <w:pPr>
                    <w:pStyle w:val="52"/>
                    <w:rPr>
                      <w:color w:val="auto"/>
                    </w:rPr>
                  </w:pPr>
                  <w:r>
                    <w:rPr>
                      <w:color w:val="auto"/>
                    </w:rPr>
                    <w:t>设置1个带盖泔水收集桶，运至养殖场高温消毒后饲喂牲畜</w:t>
                  </w:r>
                </w:p>
              </w:tc>
              <w:tc>
                <w:tcPr>
                  <w:tcW w:w="1588" w:type="dxa"/>
                  <w:tcBorders>
                    <w:left w:val="single" w:color="auto" w:sz="4" w:space="0"/>
                    <w:bottom w:val="single" w:color="auto" w:sz="4" w:space="0"/>
                  </w:tcBorders>
                  <w:vAlign w:val="center"/>
                </w:tcPr>
                <w:p w14:paraId="502A984D">
                  <w:pPr>
                    <w:pStyle w:val="52"/>
                    <w:rPr>
                      <w:color w:val="auto"/>
                    </w:rPr>
                  </w:pPr>
                  <w:r>
                    <w:rPr>
                      <w:color w:val="auto"/>
                    </w:rPr>
                    <w:t>已建好</w:t>
                  </w:r>
                </w:p>
              </w:tc>
            </w:tr>
            <w:tr w14:paraId="3EDD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2B6DD7A">
                  <w:pPr>
                    <w:pStyle w:val="52"/>
                    <w:rPr>
                      <w:color w:val="auto"/>
                    </w:rPr>
                  </w:pPr>
                </w:p>
              </w:tc>
              <w:tc>
                <w:tcPr>
                  <w:tcW w:w="1046" w:type="dxa"/>
                  <w:gridSpan w:val="2"/>
                  <w:vMerge w:val="continue"/>
                  <w:tcBorders>
                    <w:right w:val="single" w:color="auto" w:sz="4" w:space="0"/>
                  </w:tcBorders>
                  <w:vAlign w:val="center"/>
                </w:tcPr>
                <w:p w14:paraId="65B08E53">
                  <w:pPr>
                    <w:pStyle w:val="52"/>
                    <w:rPr>
                      <w:color w:val="auto"/>
                    </w:rPr>
                  </w:pPr>
                </w:p>
              </w:tc>
              <w:tc>
                <w:tcPr>
                  <w:tcW w:w="1701" w:type="dxa"/>
                  <w:tcBorders>
                    <w:top w:val="single" w:color="auto" w:sz="4" w:space="0"/>
                    <w:left w:val="single" w:color="auto" w:sz="4" w:space="0"/>
                  </w:tcBorders>
                  <w:vAlign w:val="center"/>
                </w:tcPr>
                <w:p w14:paraId="341832EE">
                  <w:pPr>
                    <w:pStyle w:val="52"/>
                    <w:rPr>
                      <w:color w:val="auto"/>
                    </w:rPr>
                  </w:pPr>
                  <w:r>
                    <w:rPr>
                      <w:color w:val="auto"/>
                    </w:rPr>
                    <w:t>废土石</w:t>
                  </w:r>
                </w:p>
              </w:tc>
              <w:tc>
                <w:tcPr>
                  <w:tcW w:w="4961" w:type="dxa"/>
                  <w:tcBorders>
                    <w:top w:val="single" w:color="auto" w:sz="4" w:space="0"/>
                    <w:right w:val="single" w:color="auto" w:sz="4" w:space="0"/>
                  </w:tcBorders>
                  <w:vAlign w:val="center"/>
                </w:tcPr>
                <w:p w14:paraId="3F5060FA">
                  <w:pPr>
                    <w:pStyle w:val="52"/>
                    <w:rPr>
                      <w:color w:val="auto"/>
                    </w:rPr>
                  </w:pPr>
                  <w:r>
                    <w:rPr>
                      <w:color w:val="auto"/>
                    </w:rPr>
                    <w:t>堆存于弃渣场，于堆料场东侧增置拦渣坝（60m×0.5m×3.5m），拦渣坝由资质单位设计建设</w:t>
                  </w:r>
                </w:p>
              </w:tc>
              <w:tc>
                <w:tcPr>
                  <w:tcW w:w="1588" w:type="dxa"/>
                  <w:tcBorders>
                    <w:top w:val="single" w:color="auto" w:sz="4" w:space="0"/>
                    <w:left w:val="single" w:color="auto" w:sz="4" w:space="0"/>
                  </w:tcBorders>
                  <w:vAlign w:val="center"/>
                </w:tcPr>
                <w:p w14:paraId="5388797C">
                  <w:pPr>
                    <w:pStyle w:val="52"/>
                    <w:rPr>
                      <w:color w:val="auto"/>
                    </w:rPr>
                  </w:pPr>
                  <w:r>
                    <w:rPr>
                      <w:rFonts w:hint="eastAsia"/>
                      <w:color w:val="auto"/>
                    </w:rPr>
                    <w:t>已建好</w:t>
                  </w:r>
                </w:p>
              </w:tc>
            </w:tr>
            <w:tr w14:paraId="6ABE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1A462D7">
                  <w:pPr>
                    <w:pStyle w:val="52"/>
                    <w:rPr>
                      <w:color w:val="auto"/>
                    </w:rPr>
                  </w:pPr>
                </w:p>
              </w:tc>
              <w:tc>
                <w:tcPr>
                  <w:tcW w:w="1046" w:type="dxa"/>
                  <w:gridSpan w:val="2"/>
                  <w:vMerge w:val="continue"/>
                  <w:tcBorders>
                    <w:right w:val="single" w:color="auto" w:sz="4" w:space="0"/>
                  </w:tcBorders>
                  <w:vAlign w:val="center"/>
                </w:tcPr>
                <w:p w14:paraId="79DE3DF2">
                  <w:pPr>
                    <w:pStyle w:val="52"/>
                    <w:rPr>
                      <w:color w:val="auto"/>
                    </w:rPr>
                  </w:pPr>
                </w:p>
              </w:tc>
              <w:tc>
                <w:tcPr>
                  <w:tcW w:w="1701" w:type="dxa"/>
                  <w:tcBorders>
                    <w:top w:val="single" w:color="auto" w:sz="4" w:space="0"/>
                    <w:left w:val="single" w:color="auto" w:sz="4" w:space="0"/>
                  </w:tcBorders>
                  <w:vAlign w:val="center"/>
                </w:tcPr>
                <w:p w14:paraId="5B9381D6">
                  <w:pPr>
                    <w:pStyle w:val="52"/>
                    <w:rPr>
                      <w:color w:val="auto"/>
                    </w:rPr>
                  </w:pPr>
                  <w:r>
                    <w:rPr>
                      <w:color w:val="auto"/>
                    </w:rPr>
                    <w:t>废机油</w:t>
                  </w:r>
                </w:p>
              </w:tc>
              <w:tc>
                <w:tcPr>
                  <w:tcW w:w="4961" w:type="dxa"/>
                  <w:tcBorders>
                    <w:top w:val="single" w:color="auto" w:sz="4" w:space="0"/>
                    <w:bottom w:val="single" w:color="auto" w:sz="4" w:space="0"/>
                    <w:right w:val="single" w:color="auto" w:sz="4" w:space="0"/>
                  </w:tcBorders>
                  <w:vAlign w:val="center"/>
                </w:tcPr>
                <w:p w14:paraId="70544804">
                  <w:pPr>
                    <w:pStyle w:val="52"/>
                    <w:rPr>
                      <w:color w:val="auto"/>
                    </w:rPr>
                  </w:pPr>
                  <w:r>
                    <w:rPr>
                      <w:color w:val="auto"/>
                    </w:rPr>
                    <w:t>设置1间危险废物暂存间（4m</w:t>
                  </w:r>
                  <w:r>
                    <w:rPr>
                      <w:color w:val="auto"/>
                      <w:vertAlign w:val="superscript"/>
                    </w:rPr>
                    <w:t>2</w:t>
                  </w:r>
                  <w:r>
                    <w:rPr>
                      <w:color w:val="auto"/>
                    </w:rPr>
                    <w:t>），1个专用废油收集桶</w:t>
                  </w:r>
                </w:p>
              </w:tc>
              <w:tc>
                <w:tcPr>
                  <w:tcW w:w="1588" w:type="dxa"/>
                  <w:tcBorders>
                    <w:top w:val="single" w:color="auto" w:sz="4" w:space="0"/>
                    <w:left w:val="single" w:color="auto" w:sz="4" w:space="0"/>
                    <w:bottom w:val="single" w:color="auto" w:sz="4" w:space="0"/>
                  </w:tcBorders>
                  <w:vAlign w:val="center"/>
                </w:tcPr>
                <w:p w14:paraId="0817C1BA">
                  <w:pPr>
                    <w:pStyle w:val="52"/>
                    <w:rPr>
                      <w:color w:val="auto"/>
                    </w:rPr>
                  </w:pPr>
                  <w:r>
                    <w:rPr>
                      <w:color w:val="auto"/>
                    </w:rPr>
                    <w:t>新增</w:t>
                  </w:r>
                </w:p>
              </w:tc>
            </w:tr>
            <w:tr w14:paraId="1FB76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199C0EE">
                  <w:pPr>
                    <w:pStyle w:val="52"/>
                    <w:rPr>
                      <w:color w:val="auto"/>
                    </w:rPr>
                  </w:pPr>
                </w:p>
              </w:tc>
              <w:tc>
                <w:tcPr>
                  <w:tcW w:w="1046" w:type="dxa"/>
                  <w:gridSpan w:val="2"/>
                  <w:tcBorders>
                    <w:right w:val="single" w:color="auto" w:sz="4" w:space="0"/>
                  </w:tcBorders>
                  <w:vAlign w:val="center"/>
                </w:tcPr>
                <w:p w14:paraId="2417F80E">
                  <w:pPr>
                    <w:pStyle w:val="52"/>
                    <w:rPr>
                      <w:color w:val="auto"/>
                    </w:rPr>
                  </w:pPr>
                  <w:r>
                    <w:rPr>
                      <w:color w:val="auto"/>
                    </w:rPr>
                    <w:t>噪声</w:t>
                  </w:r>
                </w:p>
              </w:tc>
              <w:tc>
                <w:tcPr>
                  <w:tcW w:w="1701" w:type="dxa"/>
                  <w:tcBorders>
                    <w:left w:val="single" w:color="auto" w:sz="4" w:space="0"/>
                  </w:tcBorders>
                  <w:vAlign w:val="center"/>
                </w:tcPr>
                <w:p w14:paraId="733204C0">
                  <w:pPr>
                    <w:pStyle w:val="52"/>
                    <w:rPr>
                      <w:color w:val="auto"/>
                    </w:rPr>
                  </w:pPr>
                  <w:r>
                    <w:rPr>
                      <w:color w:val="auto"/>
                    </w:rPr>
                    <w:t>噪声防治措施</w:t>
                  </w:r>
                </w:p>
              </w:tc>
              <w:tc>
                <w:tcPr>
                  <w:tcW w:w="4961" w:type="dxa"/>
                  <w:tcBorders>
                    <w:right w:val="single" w:color="auto" w:sz="4" w:space="0"/>
                  </w:tcBorders>
                  <w:vAlign w:val="center"/>
                </w:tcPr>
                <w:p w14:paraId="3DF7F4EA">
                  <w:pPr>
                    <w:pStyle w:val="52"/>
                    <w:rPr>
                      <w:color w:val="auto"/>
                    </w:rPr>
                  </w:pPr>
                  <w:r>
                    <w:rPr>
                      <w:color w:val="auto"/>
                    </w:rPr>
                    <w:t>高噪设备加装减震垫</w:t>
                  </w:r>
                </w:p>
              </w:tc>
              <w:tc>
                <w:tcPr>
                  <w:tcW w:w="1588" w:type="dxa"/>
                  <w:tcBorders>
                    <w:left w:val="single" w:color="auto" w:sz="4" w:space="0"/>
                  </w:tcBorders>
                  <w:vAlign w:val="center"/>
                </w:tcPr>
                <w:p w14:paraId="2AD191E3">
                  <w:pPr>
                    <w:pStyle w:val="52"/>
                    <w:rPr>
                      <w:color w:val="auto"/>
                    </w:rPr>
                  </w:pPr>
                  <w:r>
                    <w:rPr>
                      <w:rFonts w:hint="eastAsia"/>
                      <w:color w:val="auto"/>
                    </w:rPr>
                    <w:t>已建好</w:t>
                  </w:r>
                </w:p>
              </w:tc>
            </w:tr>
            <w:tr w14:paraId="34BB7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B8538AC">
                  <w:pPr>
                    <w:pStyle w:val="52"/>
                    <w:rPr>
                      <w:color w:val="auto"/>
                    </w:rPr>
                  </w:pPr>
                </w:p>
              </w:tc>
              <w:tc>
                <w:tcPr>
                  <w:tcW w:w="1046" w:type="dxa"/>
                  <w:gridSpan w:val="2"/>
                  <w:vMerge w:val="restart"/>
                  <w:tcBorders>
                    <w:right w:val="single" w:color="auto" w:sz="4" w:space="0"/>
                  </w:tcBorders>
                  <w:vAlign w:val="center"/>
                </w:tcPr>
                <w:p w14:paraId="2D8FF333">
                  <w:pPr>
                    <w:pStyle w:val="52"/>
                    <w:rPr>
                      <w:color w:val="auto"/>
                    </w:rPr>
                  </w:pPr>
                  <w:r>
                    <w:rPr>
                      <w:color w:val="auto"/>
                    </w:rPr>
                    <w:t>生态</w:t>
                  </w:r>
                </w:p>
              </w:tc>
              <w:tc>
                <w:tcPr>
                  <w:tcW w:w="1701" w:type="dxa"/>
                  <w:tcBorders>
                    <w:left w:val="single" w:color="auto" w:sz="4" w:space="0"/>
                  </w:tcBorders>
                  <w:vAlign w:val="center"/>
                </w:tcPr>
                <w:p w14:paraId="5668EDCC">
                  <w:pPr>
                    <w:pStyle w:val="52"/>
                    <w:rPr>
                      <w:color w:val="auto"/>
                    </w:rPr>
                  </w:pPr>
                  <w:r>
                    <w:rPr>
                      <w:color w:val="auto"/>
                    </w:rPr>
                    <w:t>植被恢复</w:t>
                  </w:r>
                </w:p>
              </w:tc>
              <w:tc>
                <w:tcPr>
                  <w:tcW w:w="4961" w:type="dxa"/>
                  <w:tcBorders>
                    <w:right w:val="single" w:color="auto" w:sz="4" w:space="0"/>
                  </w:tcBorders>
                  <w:vAlign w:val="center"/>
                </w:tcPr>
                <w:p w14:paraId="07FBD6BF">
                  <w:pPr>
                    <w:pStyle w:val="52"/>
                    <w:rPr>
                      <w:color w:val="auto"/>
                    </w:rPr>
                  </w:pPr>
                  <w:r>
                    <w:rPr>
                      <w:color w:val="auto"/>
                    </w:rPr>
                    <w:t>开采结束后需对弃渣场、露天采场、工业场地等地进行植被恢复</w:t>
                  </w:r>
                </w:p>
              </w:tc>
              <w:tc>
                <w:tcPr>
                  <w:tcW w:w="1588" w:type="dxa"/>
                  <w:tcBorders>
                    <w:left w:val="single" w:color="auto" w:sz="4" w:space="0"/>
                  </w:tcBorders>
                  <w:vAlign w:val="center"/>
                </w:tcPr>
                <w:p w14:paraId="35DF3D61">
                  <w:pPr>
                    <w:pStyle w:val="52"/>
                    <w:rPr>
                      <w:color w:val="auto"/>
                    </w:rPr>
                  </w:pPr>
                  <w:r>
                    <w:rPr>
                      <w:color w:val="auto"/>
                    </w:rPr>
                    <w:t>/</w:t>
                  </w:r>
                </w:p>
              </w:tc>
            </w:tr>
            <w:tr w14:paraId="1842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9348661">
                  <w:pPr>
                    <w:pStyle w:val="52"/>
                    <w:rPr>
                      <w:color w:val="auto"/>
                    </w:rPr>
                  </w:pPr>
                </w:p>
              </w:tc>
              <w:tc>
                <w:tcPr>
                  <w:tcW w:w="1046" w:type="dxa"/>
                  <w:gridSpan w:val="2"/>
                  <w:vMerge w:val="continue"/>
                  <w:tcBorders>
                    <w:right w:val="single" w:color="auto" w:sz="4" w:space="0"/>
                  </w:tcBorders>
                  <w:vAlign w:val="center"/>
                </w:tcPr>
                <w:p w14:paraId="04CB3B70">
                  <w:pPr>
                    <w:pStyle w:val="52"/>
                    <w:rPr>
                      <w:color w:val="auto"/>
                    </w:rPr>
                  </w:pPr>
                </w:p>
              </w:tc>
              <w:tc>
                <w:tcPr>
                  <w:tcW w:w="1701" w:type="dxa"/>
                  <w:tcBorders>
                    <w:left w:val="single" w:color="auto" w:sz="4" w:space="0"/>
                  </w:tcBorders>
                  <w:vAlign w:val="center"/>
                </w:tcPr>
                <w:p w14:paraId="72075013">
                  <w:pPr>
                    <w:pStyle w:val="52"/>
                    <w:rPr>
                      <w:color w:val="auto"/>
                    </w:rPr>
                  </w:pPr>
                  <w:r>
                    <w:rPr>
                      <w:color w:val="auto"/>
                    </w:rPr>
                    <w:t>绿化面积</w:t>
                  </w:r>
                </w:p>
              </w:tc>
              <w:tc>
                <w:tcPr>
                  <w:tcW w:w="4961" w:type="dxa"/>
                  <w:tcBorders>
                    <w:right w:val="single" w:color="auto" w:sz="4" w:space="0"/>
                  </w:tcBorders>
                  <w:vAlign w:val="center"/>
                </w:tcPr>
                <w:p w14:paraId="7877213F">
                  <w:pPr>
                    <w:pStyle w:val="52"/>
                    <w:rPr>
                      <w:color w:val="auto"/>
                    </w:rPr>
                  </w:pPr>
                  <w:r>
                    <w:rPr>
                      <w:color w:val="auto"/>
                    </w:rPr>
                    <w:t>项目建设4000m</w:t>
                  </w:r>
                  <w:r>
                    <w:rPr>
                      <w:color w:val="auto"/>
                      <w:vertAlign w:val="superscript"/>
                    </w:rPr>
                    <w:t>2</w:t>
                  </w:r>
                  <w:r>
                    <w:rPr>
                      <w:color w:val="auto"/>
                    </w:rPr>
                    <w:t>的绿化面积</w:t>
                  </w:r>
                </w:p>
              </w:tc>
              <w:tc>
                <w:tcPr>
                  <w:tcW w:w="1588" w:type="dxa"/>
                  <w:tcBorders>
                    <w:left w:val="single" w:color="auto" w:sz="4" w:space="0"/>
                  </w:tcBorders>
                  <w:vAlign w:val="center"/>
                </w:tcPr>
                <w:p w14:paraId="39C8349D">
                  <w:pPr>
                    <w:pStyle w:val="52"/>
                    <w:rPr>
                      <w:color w:val="auto"/>
                    </w:rPr>
                  </w:pPr>
                  <w:r>
                    <w:rPr>
                      <w:color w:val="auto"/>
                    </w:rPr>
                    <w:t>已</w:t>
                  </w:r>
                  <w:r>
                    <w:rPr>
                      <w:rFonts w:hint="eastAsia"/>
                      <w:color w:val="auto"/>
                    </w:rPr>
                    <w:t>建好</w:t>
                  </w:r>
                </w:p>
              </w:tc>
            </w:tr>
          </w:tbl>
          <w:p w14:paraId="72654BC6">
            <w:pPr>
              <w:spacing w:line="240" w:lineRule="auto"/>
              <w:ind w:firstLine="422"/>
              <w:rPr>
                <w:rFonts w:cs="Times New Roman"/>
                <w:b/>
                <w:bCs/>
                <w:sz w:val="21"/>
                <w:szCs w:val="21"/>
              </w:rPr>
            </w:pPr>
            <w:r>
              <w:rPr>
                <w:rFonts w:cs="Times New Roman"/>
                <w:b/>
                <w:bCs/>
                <w:sz w:val="21"/>
                <w:szCs w:val="21"/>
              </w:rPr>
              <w:t>备注：项目不设机修车间，车辆维修保养开至合法的修理厂进行，设备维修请设备维修商上门服务。</w:t>
            </w:r>
          </w:p>
          <w:p w14:paraId="31C40E81">
            <w:pPr>
              <w:ind w:firstLine="482"/>
              <w:rPr>
                <w:rFonts w:cs="Times New Roman"/>
                <w:b/>
                <w:bCs/>
              </w:rPr>
            </w:pPr>
            <w:r>
              <w:rPr>
                <w:rFonts w:cs="Times New Roman"/>
                <w:b/>
                <w:bCs/>
              </w:rPr>
              <w:t>3、项目生产规模及产品方案</w:t>
            </w:r>
          </w:p>
          <w:p w14:paraId="39080B30">
            <w:pPr>
              <w:ind w:firstLine="480"/>
              <w:rPr>
                <w:rFonts w:cs="Times New Roman"/>
                <w:bCs/>
              </w:rPr>
            </w:pPr>
            <w:r>
              <w:rPr>
                <w:rFonts w:cs="Times New Roman"/>
                <w:bCs/>
              </w:rPr>
              <w:t>（1）生产规模</w:t>
            </w:r>
          </w:p>
          <w:p w14:paraId="6A3C42D1">
            <w:pPr>
              <w:ind w:firstLine="480"/>
              <w:rPr>
                <w:rFonts w:cs="Times New Roman"/>
                <w:bCs/>
              </w:rPr>
            </w:pPr>
            <w:r>
              <w:rPr>
                <w:rFonts w:cs="Times New Roman"/>
                <w:szCs w:val="28"/>
              </w:rPr>
              <w:t>根据《开发利用方案》，本项目设计</w:t>
            </w:r>
            <w:r>
              <w:rPr>
                <w:rFonts w:cs="Times New Roman"/>
              </w:rPr>
              <w:t>可采资源量为</w:t>
            </w:r>
            <w:r>
              <w:rPr>
                <w:rFonts w:cs="Times New Roman"/>
                <w:bCs/>
                <w:szCs w:val="28"/>
              </w:rPr>
              <w:t>503.52m</w:t>
            </w:r>
            <w:r>
              <w:rPr>
                <w:rFonts w:cs="Times New Roman"/>
                <w:bCs/>
                <w:szCs w:val="28"/>
                <w:vertAlign w:val="superscript"/>
              </w:rPr>
              <w:t>3</w:t>
            </w:r>
            <w:r>
              <w:rPr>
                <w:rFonts w:cs="Times New Roman"/>
                <w:bCs/>
                <w:szCs w:val="28"/>
              </w:rPr>
              <w:t>（</w:t>
            </w:r>
            <w:r>
              <w:rPr>
                <w:rFonts w:cs="Times New Roman"/>
              </w:rPr>
              <w:t>1354.75</w:t>
            </w:r>
            <w:r>
              <w:rPr>
                <w:rFonts w:cs="Times New Roman"/>
                <w:bCs/>
                <w:szCs w:val="28"/>
              </w:rPr>
              <w:t>万t）</w:t>
            </w:r>
            <w:r>
              <w:rPr>
                <w:rFonts w:cs="Times New Roman"/>
                <w:szCs w:val="28"/>
              </w:rPr>
              <w:t>，矿山生产规模60万吨/年，服务年限22.6年。</w:t>
            </w:r>
          </w:p>
          <w:p w14:paraId="67A877F7">
            <w:pPr>
              <w:ind w:firstLine="480"/>
              <w:rPr>
                <w:rFonts w:cs="Times New Roman"/>
                <w:bCs/>
              </w:rPr>
            </w:pPr>
            <w:r>
              <w:rPr>
                <w:rFonts w:cs="Times New Roman"/>
                <w:bCs/>
              </w:rPr>
              <w:t>（2）产品方案</w:t>
            </w:r>
          </w:p>
          <w:p w14:paraId="115BA86F">
            <w:pPr>
              <w:ind w:firstLine="480"/>
              <w:rPr>
                <w:rFonts w:cs="Times New Roman"/>
                <w:bCs/>
              </w:rPr>
            </w:pPr>
            <w:r>
              <w:rPr>
                <w:rFonts w:cs="Times New Roman"/>
                <w:bCs/>
              </w:rPr>
              <w:t>项目主要生产普通建筑石料，矿石采出经破碎筛分后外售芒市作为建筑材料，产品方案详见表1-2。</w:t>
            </w:r>
          </w:p>
          <w:p w14:paraId="0566612E">
            <w:pPr>
              <w:pStyle w:val="31"/>
              <w:rPr>
                <w:rFonts w:cs="Times New Roman"/>
              </w:rPr>
            </w:pPr>
            <w:r>
              <w:rPr>
                <w:rFonts w:cs="Times New Roman"/>
              </w:rPr>
              <w:t>表1-2  项目产品方案一览表</w:t>
            </w:r>
          </w:p>
          <w:tbl>
            <w:tblPr>
              <w:tblStyle w:val="21"/>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9"/>
              <w:gridCol w:w="3226"/>
              <w:gridCol w:w="3226"/>
            </w:tblGrid>
            <w:tr w14:paraId="790F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229" w:type="dxa"/>
                  <w:vAlign w:val="center"/>
                </w:tcPr>
                <w:p w14:paraId="18C36F4F">
                  <w:pPr>
                    <w:pStyle w:val="52"/>
                    <w:rPr>
                      <w:color w:val="auto"/>
                    </w:rPr>
                  </w:pPr>
                  <w:bookmarkStart w:id="6" w:name="_Toc406515138"/>
                  <w:r>
                    <w:rPr>
                      <w:color w:val="auto"/>
                    </w:rPr>
                    <w:t>序号</w:t>
                  </w:r>
                </w:p>
              </w:tc>
              <w:tc>
                <w:tcPr>
                  <w:tcW w:w="3226" w:type="dxa"/>
                  <w:vAlign w:val="center"/>
                </w:tcPr>
                <w:p w14:paraId="053E4D71">
                  <w:pPr>
                    <w:pStyle w:val="52"/>
                    <w:rPr>
                      <w:color w:val="auto"/>
                    </w:rPr>
                  </w:pPr>
                  <w:r>
                    <w:rPr>
                      <w:color w:val="auto"/>
                    </w:rPr>
                    <w:t>规格</w:t>
                  </w:r>
                </w:p>
              </w:tc>
              <w:tc>
                <w:tcPr>
                  <w:tcW w:w="3226" w:type="dxa"/>
                  <w:vAlign w:val="center"/>
                </w:tcPr>
                <w:p w14:paraId="3E4A4B60">
                  <w:pPr>
                    <w:pStyle w:val="52"/>
                    <w:rPr>
                      <w:color w:val="auto"/>
                    </w:rPr>
                  </w:pPr>
                  <w:r>
                    <w:rPr>
                      <w:color w:val="auto"/>
                    </w:rPr>
                    <w:t>产量</w:t>
                  </w:r>
                </w:p>
              </w:tc>
            </w:tr>
            <w:tr w14:paraId="28B2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229" w:type="dxa"/>
                  <w:vAlign w:val="center"/>
                </w:tcPr>
                <w:p w14:paraId="382F9B07">
                  <w:pPr>
                    <w:pStyle w:val="52"/>
                    <w:rPr>
                      <w:color w:val="auto"/>
                    </w:rPr>
                  </w:pPr>
                  <w:r>
                    <w:rPr>
                      <w:color w:val="auto"/>
                    </w:rPr>
                    <w:t>毛石</w:t>
                  </w:r>
                </w:p>
              </w:tc>
              <w:tc>
                <w:tcPr>
                  <w:tcW w:w="3226" w:type="dxa"/>
                  <w:vAlign w:val="center"/>
                </w:tcPr>
                <w:p w14:paraId="0396C7C7">
                  <w:pPr>
                    <w:pStyle w:val="52"/>
                    <w:rPr>
                      <w:color w:val="auto"/>
                    </w:rPr>
                  </w:pPr>
                  <w:r>
                    <w:rPr>
                      <w:color w:val="auto"/>
                    </w:rPr>
                    <w:t>/</w:t>
                  </w:r>
                </w:p>
              </w:tc>
              <w:tc>
                <w:tcPr>
                  <w:tcW w:w="3226" w:type="dxa"/>
                  <w:vAlign w:val="center"/>
                </w:tcPr>
                <w:p w14:paraId="22D1DE94">
                  <w:pPr>
                    <w:pStyle w:val="52"/>
                    <w:rPr>
                      <w:color w:val="auto"/>
                    </w:rPr>
                  </w:pPr>
                  <w:r>
                    <w:rPr>
                      <w:color w:val="auto"/>
                    </w:rPr>
                    <w:t>24万吨/年，直接出售</w:t>
                  </w:r>
                </w:p>
              </w:tc>
            </w:tr>
            <w:tr w14:paraId="31B5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229" w:type="dxa"/>
                  <w:vAlign w:val="center"/>
                </w:tcPr>
                <w:p w14:paraId="7710E27D">
                  <w:pPr>
                    <w:pStyle w:val="52"/>
                    <w:rPr>
                      <w:color w:val="auto"/>
                    </w:rPr>
                  </w:pPr>
                  <w:r>
                    <w:rPr>
                      <w:color w:val="auto"/>
                    </w:rPr>
                    <w:t>1#石料</w:t>
                  </w:r>
                </w:p>
              </w:tc>
              <w:tc>
                <w:tcPr>
                  <w:tcW w:w="3226" w:type="dxa"/>
                  <w:vAlign w:val="center"/>
                </w:tcPr>
                <w:p w14:paraId="106C789F">
                  <w:pPr>
                    <w:pStyle w:val="52"/>
                    <w:rPr>
                      <w:color w:val="auto"/>
                    </w:rPr>
                  </w:pPr>
                  <w:r>
                    <w:rPr>
                      <w:color w:val="auto"/>
                    </w:rPr>
                    <w:t>10~20mm</w:t>
                  </w:r>
                </w:p>
              </w:tc>
              <w:tc>
                <w:tcPr>
                  <w:tcW w:w="3226" w:type="dxa"/>
                  <w:vMerge w:val="restart"/>
                  <w:vAlign w:val="center"/>
                </w:tcPr>
                <w:p w14:paraId="49036978">
                  <w:pPr>
                    <w:pStyle w:val="52"/>
                    <w:rPr>
                      <w:color w:val="auto"/>
                    </w:rPr>
                  </w:pPr>
                  <w:r>
                    <w:rPr>
                      <w:color w:val="auto"/>
                      <w:szCs w:val="28"/>
                    </w:rPr>
                    <w:t>36万吨/年，产品规格</w:t>
                  </w:r>
                  <w:r>
                    <w:rPr>
                      <w:color w:val="auto"/>
                    </w:rPr>
                    <w:t>根据市场调整</w:t>
                  </w:r>
                </w:p>
              </w:tc>
            </w:tr>
            <w:tr w14:paraId="4094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229" w:type="dxa"/>
                  <w:vAlign w:val="center"/>
                </w:tcPr>
                <w:p w14:paraId="3A614D2A">
                  <w:pPr>
                    <w:pStyle w:val="52"/>
                    <w:rPr>
                      <w:color w:val="auto"/>
                    </w:rPr>
                  </w:pPr>
                  <w:r>
                    <w:rPr>
                      <w:color w:val="auto"/>
                    </w:rPr>
                    <w:t>2#石料</w:t>
                  </w:r>
                </w:p>
              </w:tc>
              <w:tc>
                <w:tcPr>
                  <w:tcW w:w="3226" w:type="dxa"/>
                  <w:vAlign w:val="center"/>
                </w:tcPr>
                <w:p w14:paraId="1FEB6E22">
                  <w:pPr>
                    <w:pStyle w:val="52"/>
                    <w:rPr>
                      <w:color w:val="auto"/>
                    </w:rPr>
                  </w:pPr>
                  <w:r>
                    <w:rPr>
                      <w:color w:val="auto"/>
                    </w:rPr>
                    <w:t>10-15 mm</w:t>
                  </w:r>
                </w:p>
              </w:tc>
              <w:tc>
                <w:tcPr>
                  <w:tcW w:w="3226" w:type="dxa"/>
                  <w:vMerge w:val="continue"/>
                  <w:vAlign w:val="center"/>
                </w:tcPr>
                <w:p w14:paraId="58A3331E">
                  <w:pPr>
                    <w:pStyle w:val="52"/>
                    <w:rPr>
                      <w:color w:val="auto"/>
                    </w:rPr>
                  </w:pPr>
                </w:p>
              </w:tc>
            </w:tr>
            <w:tr w14:paraId="48D7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229" w:type="dxa"/>
                  <w:vAlign w:val="center"/>
                </w:tcPr>
                <w:p w14:paraId="167C4326">
                  <w:pPr>
                    <w:pStyle w:val="52"/>
                    <w:rPr>
                      <w:color w:val="auto"/>
                    </w:rPr>
                  </w:pPr>
                  <w:r>
                    <w:rPr>
                      <w:color w:val="auto"/>
                    </w:rPr>
                    <w:t>3#石料</w:t>
                  </w:r>
                </w:p>
              </w:tc>
              <w:tc>
                <w:tcPr>
                  <w:tcW w:w="3226" w:type="dxa"/>
                  <w:vAlign w:val="center"/>
                </w:tcPr>
                <w:p w14:paraId="1268088A">
                  <w:pPr>
                    <w:pStyle w:val="52"/>
                    <w:rPr>
                      <w:color w:val="auto"/>
                    </w:rPr>
                  </w:pPr>
                  <w:r>
                    <w:rPr>
                      <w:color w:val="auto"/>
                    </w:rPr>
                    <w:t>5~10mm</w:t>
                  </w:r>
                </w:p>
              </w:tc>
              <w:tc>
                <w:tcPr>
                  <w:tcW w:w="3226" w:type="dxa"/>
                  <w:vMerge w:val="continue"/>
                  <w:vAlign w:val="center"/>
                </w:tcPr>
                <w:p w14:paraId="2392CB18">
                  <w:pPr>
                    <w:pStyle w:val="52"/>
                    <w:rPr>
                      <w:color w:val="auto"/>
                    </w:rPr>
                  </w:pPr>
                </w:p>
              </w:tc>
            </w:tr>
            <w:tr w14:paraId="48D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229" w:type="dxa"/>
                  <w:vAlign w:val="center"/>
                </w:tcPr>
                <w:p w14:paraId="2C677A7F">
                  <w:pPr>
                    <w:pStyle w:val="52"/>
                    <w:rPr>
                      <w:color w:val="auto"/>
                    </w:rPr>
                  </w:pPr>
                  <w:r>
                    <w:rPr>
                      <w:color w:val="auto"/>
                    </w:rPr>
                    <w:t>4#石料</w:t>
                  </w:r>
                </w:p>
              </w:tc>
              <w:tc>
                <w:tcPr>
                  <w:tcW w:w="3226" w:type="dxa"/>
                  <w:vAlign w:val="center"/>
                </w:tcPr>
                <w:p w14:paraId="756737A0">
                  <w:pPr>
                    <w:pStyle w:val="52"/>
                    <w:rPr>
                      <w:color w:val="auto"/>
                    </w:rPr>
                  </w:pPr>
                  <w:r>
                    <w:rPr>
                      <w:color w:val="auto"/>
                    </w:rPr>
                    <w:t>0~4.75mm</w:t>
                  </w:r>
                </w:p>
              </w:tc>
              <w:tc>
                <w:tcPr>
                  <w:tcW w:w="3226" w:type="dxa"/>
                  <w:vMerge w:val="continue"/>
                  <w:vAlign w:val="center"/>
                </w:tcPr>
                <w:p w14:paraId="59DF7F9B">
                  <w:pPr>
                    <w:pStyle w:val="52"/>
                    <w:rPr>
                      <w:color w:val="auto"/>
                    </w:rPr>
                  </w:pPr>
                </w:p>
              </w:tc>
            </w:tr>
          </w:tbl>
          <w:p w14:paraId="4124D5CA">
            <w:pPr>
              <w:ind w:firstLine="482"/>
              <w:rPr>
                <w:rFonts w:cs="Times New Roman"/>
                <w:b/>
              </w:rPr>
            </w:pPr>
            <w:r>
              <w:rPr>
                <w:rFonts w:cs="Times New Roman"/>
                <w:b/>
              </w:rPr>
              <w:t>4、总平面布置及占地</w:t>
            </w:r>
            <w:bookmarkEnd w:id="6"/>
          </w:p>
          <w:p w14:paraId="502C4FBA">
            <w:pPr>
              <w:ind w:firstLine="480"/>
              <w:rPr>
                <w:rFonts w:cs="Times New Roman"/>
                <w:bCs/>
              </w:rPr>
            </w:pPr>
            <w:r>
              <w:rPr>
                <w:rFonts w:cs="Times New Roman"/>
                <w:bCs/>
              </w:rPr>
              <w:t>（1）总平面布置</w:t>
            </w:r>
          </w:p>
          <w:p w14:paraId="0936E559">
            <w:pPr>
              <w:ind w:firstLine="480"/>
              <w:rPr>
                <w:rFonts w:cs="Times New Roman"/>
                <w:bCs/>
              </w:rPr>
            </w:pPr>
            <w:r>
              <w:rPr>
                <w:rFonts w:cs="Times New Roman"/>
                <w:bCs/>
              </w:rPr>
              <w:t>本项目主要由露天采场、生产加工区、堆料场、弃渣场、办公生活区、运输道路6个部分组成。</w:t>
            </w:r>
          </w:p>
          <w:p w14:paraId="1AD7E987">
            <w:pPr>
              <w:pStyle w:val="90"/>
              <w:numPr>
                <w:ilvl w:val="0"/>
                <w:numId w:val="2"/>
              </w:numPr>
              <w:ind w:firstLineChars="0"/>
              <w:rPr>
                <w:rFonts w:cs="Times New Roman"/>
                <w:bCs/>
              </w:rPr>
            </w:pPr>
            <w:r>
              <w:rPr>
                <w:rFonts w:cs="Times New Roman"/>
                <w:bCs/>
              </w:rPr>
              <w:t>露天采场</w:t>
            </w:r>
          </w:p>
          <w:p w14:paraId="7CCAD667">
            <w:pPr>
              <w:ind w:firstLine="480"/>
              <w:rPr>
                <w:rFonts w:cs="Times New Roman"/>
                <w:bCs/>
              </w:rPr>
            </w:pPr>
            <w:r>
              <w:rPr>
                <w:rFonts w:cs="Times New Roman"/>
                <w:bCs/>
                <w:szCs w:val="21"/>
              </w:rPr>
              <w:t>项目露天采场面积</w:t>
            </w:r>
            <w:r>
              <w:rPr>
                <w:rFonts w:cs="Times New Roman"/>
                <w:bCs/>
                <w:sz w:val="21"/>
                <w:szCs w:val="21"/>
              </w:rPr>
              <w:t>为</w:t>
            </w:r>
            <w:r>
              <w:rPr>
                <w:rFonts w:cs="Times New Roman"/>
                <w:sz w:val="21"/>
                <w:szCs w:val="21"/>
              </w:rPr>
              <w:t>0.2920km</w:t>
            </w:r>
            <w:r>
              <w:rPr>
                <w:rFonts w:cs="Times New Roman"/>
                <w:sz w:val="21"/>
                <w:szCs w:val="21"/>
                <w:vertAlign w:val="superscript"/>
              </w:rPr>
              <w:t>2</w:t>
            </w:r>
            <w:r>
              <w:rPr>
                <w:rFonts w:cs="Times New Roman"/>
                <w:sz w:val="21"/>
                <w:szCs w:val="21"/>
              </w:rPr>
              <w:t>，开采</w:t>
            </w:r>
            <w:r>
              <w:rPr>
                <w:rFonts w:cs="Times New Roman"/>
                <w:szCs w:val="21"/>
              </w:rPr>
              <w:t>标高为</w:t>
            </w:r>
            <w:r>
              <w:rPr>
                <w:rFonts w:cs="Times New Roman"/>
                <w:bCs/>
              </w:rPr>
              <w:t>1225m~830m</w:t>
            </w:r>
            <w:r>
              <w:rPr>
                <w:rFonts w:cs="Times New Roman"/>
                <w:szCs w:val="21"/>
              </w:rPr>
              <w:t>，</w:t>
            </w:r>
            <w:r>
              <w:rPr>
                <w:rFonts w:cs="Times New Roman"/>
                <w:bCs/>
              </w:rPr>
              <w:t>最大开采深度306m。矿区经过多年开采，已形成面积约15000m</w:t>
            </w:r>
            <w:r>
              <w:rPr>
                <w:rFonts w:cs="Times New Roman"/>
                <w:bCs/>
                <w:vertAlign w:val="superscript"/>
              </w:rPr>
              <w:t>2</w:t>
            </w:r>
            <w:r>
              <w:rPr>
                <w:rFonts w:cs="Times New Roman"/>
                <w:bCs/>
              </w:rPr>
              <w:t>的采空区。</w:t>
            </w:r>
          </w:p>
          <w:p w14:paraId="6FBBC273">
            <w:pPr>
              <w:pStyle w:val="90"/>
              <w:numPr>
                <w:ilvl w:val="0"/>
                <w:numId w:val="2"/>
              </w:numPr>
              <w:ind w:firstLineChars="0"/>
              <w:rPr>
                <w:rFonts w:cs="Times New Roman"/>
                <w:bCs/>
              </w:rPr>
            </w:pPr>
            <w:r>
              <w:rPr>
                <w:rFonts w:cs="Times New Roman"/>
                <w:bCs/>
              </w:rPr>
              <w:t>生产加工区</w:t>
            </w:r>
          </w:p>
          <w:p w14:paraId="3AEF7E38">
            <w:pPr>
              <w:ind w:firstLine="480"/>
              <w:rPr>
                <w:rFonts w:cs="Times New Roman"/>
                <w:bCs/>
              </w:rPr>
            </w:pPr>
            <w:r>
              <w:rPr>
                <w:rFonts w:cs="Times New Roman"/>
                <w:bCs/>
              </w:rPr>
              <w:t>矿山生产加工区位于矿区东北侧，设置2条生产线，主要设施有破碎机、过筛机等，占地4000m</w:t>
            </w:r>
            <w:r>
              <w:rPr>
                <w:rFonts w:cs="Times New Roman"/>
                <w:bCs/>
                <w:vertAlign w:val="superscript"/>
              </w:rPr>
              <w:t>2</w:t>
            </w:r>
            <w:r>
              <w:rPr>
                <w:rFonts w:cs="Times New Roman"/>
                <w:bCs/>
              </w:rPr>
              <w:t>。</w:t>
            </w:r>
          </w:p>
          <w:p w14:paraId="1B1A971C">
            <w:pPr>
              <w:pStyle w:val="90"/>
              <w:numPr>
                <w:ilvl w:val="0"/>
                <w:numId w:val="2"/>
              </w:numPr>
              <w:ind w:firstLineChars="0"/>
              <w:rPr>
                <w:rFonts w:cs="Times New Roman"/>
                <w:bCs/>
              </w:rPr>
            </w:pPr>
            <w:r>
              <w:rPr>
                <w:rFonts w:cs="Times New Roman"/>
                <w:bCs/>
              </w:rPr>
              <w:t>料场</w:t>
            </w:r>
          </w:p>
          <w:p w14:paraId="44CDA7E8">
            <w:pPr>
              <w:ind w:firstLine="480"/>
              <w:rPr>
                <w:rFonts w:cs="Times New Roman"/>
                <w:bCs/>
              </w:rPr>
            </w:pPr>
            <w:r>
              <w:rPr>
                <w:rFonts w:cs="Times New Roman"/>
                <w:bCs/>
              </w:rPr>
              <w:t>堆料场利用原有，占地面积为</w:t>
            </w:r>
            <w:r>
              <w:rPr>
                <w:rFonts w:cs="Times New Roman"/>
              </w:rPr>
              <w:t>10000m</w:t>
            </w:r>
            <w:r>
              <w:rPr>
                <w:rFonts w:cs="Times New Roman"/>
                <w:vertAlign w:val="superscript"/>
              </w:rPr>
              <w:t>2</w:t>
            </w:r>
            <w:r>
              <w:rPr>
                <w:rFonts w:cs="Times New Roman"/>
              </w:rPr>
              <w:t>。</w:t>
            </w:r>
            <w:r>
              <w:rPr>
                <w:rFonts w:cs="Times New Roman"/>
                <w:bCs/>
              </w:rPr>
              <w:t xml:space="preserve">堆料场紧接生产加工区，位于生产加工区北侧。矿石经加工区加工破碎、筛选后经翻斗车运输至堆料场堆放。 </w:t>
            </w:r>
          </w:p>
          <w:p w14:paraId="58EBE366">
            <w:pPr>
              <w:pStyle w:val="90"/>
              <w:numPr>
                <w:ilvl w:val="0"/>
                <w:numId w:val="2"/>
              </w:numPr>
              <w:ind w:firstLineChars="0"/>
              <w:rPr>
                <w:rFonts w:cs="Times New Roman"/>
                <w:bCs/>
              </w:rPr>
            </w:pPr>
            <w:r>
              <w:rPr>
                <w:rFonts w:cs="Times New Roman"/>
                <w:bCs/>
              </w:rPr>
              <w:t>活办公区</w:t>
            </w:r>
          </w:p>
          <w:p w14:paraId="67D7925A">
            <w:pPr>
              <w:ind w:firstLine="480"/>
              <w:rPr>
                <w:rFonts w:cs="Times New Roman"/>
                <w:bCs/>
              </w:rPr>
            </w:pPr>
            <w:r>
              <w:rPr>
                <w:rFonts w:cs="Times New Roman"/>
                <w:bCs/>
              </w:rPr>
              <w:t>矿区办公生活区已建成使用多年，位于堆料场北侧，主要设施包括：员工宿舍、办公室、厨房等，占地面积 1424m</w:t>
            </w:r>
            <w:r>
              <w:rPr>
                <w:rFonts w:cs="Times New Roman"/>
                <w:bCs/>
                <w:vertAlign w:val="superscript"/>
              </w:rPr>
              <w:t>2</w:t>
            </w:r>
            <w:r>
              <w:rPr>
                <w:rFonts w:cs="Times New Roman"/>
                <w:bCs/>
              </w:rPr>
              <w:t xml:space="preserve">。 </w:t>
            </w:r>
          </w:p>
          <w:p w14:paraId="6C56FD8D">
            <w:pPr>
              <w:pStyle w:val="90"/>
              <w:numPr>
                <w:ilvl w:val="0"/>
                <w:numId w:val="2"/>
              </w:numPr>
              <w:ind w:firstLineChars="0"/>
              <w:rPr>
                <w:rFonts w:cs="Times New Roman"/>
                <w:bCs/>
              </w:rPr>
            </w:pPr>
            <w:r>
              <w:rPr>
                <w:rFonts w:cs="Times New Roman"/>
                <w:bCs/>
              </w:rPr>
              <w:t>输道路</w:t>
            </w:r>
          </w:p>
          <w:p w14:paraId="608B6D9F">
            <w:pPr>
              <w:ind w:firstLine="480"/>
              <w:rPr>
                <w:rFonts w:cs="Times New Roman"/>
                <w:bCs/>
              </w:rPr>
            </w:pPr>
            <w:r>
              <w:rPr>
                <w:rFonts w:cs="Times New Roman"/>
                <w:bCs/>
              </w:rPr>
              <w:t>矿区内部运输主要是运送矿石及生产辅助材料，矿区内部需建2800m的道路连接到</w:t>
            </w:r>
            <w:r>
              <w:rPr>
                <w:rFonts w:cs="Times New Roman"/>
              </w:rPr>
              <w:t>开采区及生产加工区，能满足矿石运输需要，占地面积14000m</w:t>
            </w:r>
            <w:r>
              <w:rPr>
                <w:rFonts w:cs="Times New Roman"/>
                <w:vertAlign w:val="superscript"/>
              </w:rPr>
              <w:t>2</w:t>
            </w:r>
            <w:r>
              <w:rPr>
                <w:rFonts w:cs="Times New Roman"/>
              </w:rPr>
              <w:t>。</w:t>
            </w:r>
            <w:r>
              <w:rPr>
                <w:rFonts w:cs="Times New Roman"/>
                <w:bCs/>
              </w:rPr>
              <w:t xml:space="preserve">矿区外部运输主要是生产成品毛石、块石、公分石、瓜子石等的运输和生活所需的运输，矿区现已有简易道路连接115乡道，能满足运输要求。 </w:t>
            </w:r>
          </w:p>
          <w:p w14:paraId="20A83AD9">
            <w:pPr>
              <w:pStyle w:val="90"/>
              <w:numPr>
                <w:ilvl w:val="0"/>
                <w:numId w:val="2"/>
              </w:numPr>
              <w:ind w:firstLineChars="0"/>
              <w:rPr>
                <w:rFonts w:cs="Times New Roman"/>
                <w:bCs/>
              </w:rPr>
            </w:pPr>
            <w:r>
              <w:rPr>
                <w:rFonts w:cs="Times New Roman"/>
                <w:bCs/>
              </w:rPr>
              <w:t>渣场</w:t>
            </w:r>
          </w:p>
          <w:p w14:paraId="7CE9B4C6">
            <w:pPr>
              <w:ind w:firstLine="480"/>
              <w:rPr>
                <w:rFonts w:cs="Times New Roman"/>
                <w:bCs/>
              </w:rPr>
            </w:pPr>
            <w:r>
              <w:rPr>
                <w:rFonts w:cs="Times New Roman"/>
                <w:bCs/>
              </w:rPr>
              <w:t>弃渣场利用原有改造。弃渣场位于矿区北部，弃渣场占地面积60000m</w:t>
            </w:r>
            <w:r>
              <w:rPr>
                <w:rFonts w:cs="Times New Roman"/>
                <w:bCs/>
                <w:vertAlign w:val="superscript"/>
              </w:rPr>
              <w:t>2</w:t>
            </w:r>
            <w:r>
              <w:rPr>
                <w:rFonts w:cs="Times New Roman"/>
                <w:bCs/>
              </w:rPr>
              <w:t>，容量156万m</w:t>
            </w:r>
            <w:r>
              <w:rPr>
                <w:rFonts w:cs="Times New Roman"/>
                <w:bCs/>
                <w:vertAlign w:val="superscript"/>
              </w:rPr>
              <w:t>3</w:t>
            </w:r>
            <w:r>
              <w:rPr>
                <w:rFonts w:cs="Times New Roman"/>
                <w:bCs/>
              </w:rPr>
              <w:t>，</w:t>
            </w:r>
            <w:r>
              <w:rPr>
                <w:rFonts w:cs="Times New Roman"/>
                <w:kern w:val="10"/>
              </w:rPr>
              <w:t>弃渣场下游修建拦渣坝</w:t>
            </w:r>
            <w:r>
              <w:rPr>
                <w:rFonts w:cs="Times New Roman"/>
              </w:rPr>
              <w:t>（60m×0.5m×3.5m），拦渣坝须由资质单位设计建设。</w:t>
            </w:r>
          </w:p>
          <w:p w14:paraId="2B5F70E3">
            <w:pPr>
              <w:ind w:firstLine="480"/>
              <w:rPr>
                <w:rFonts w:cs="Times New Roman"/>
                <w:bCs/>
              </w:rPr>
            </w:pPr>
            <w:r>
              <w:rPr>
                <w:rFonts w:cs="Times New Roman"/>
                <w:bCs/>
              </w:rPr>
              <w:t>项目区总平面布置图详见附图3。</w:t>
            </w:r>
          </w:p>
          <w:p w14:paraId="4156C797">
            <w:pPr>
              <w:ind w:firstLine="480"/>
              <w:rPr>
                <w:rFonts w:cs="Times New Roman"/>
                <w:bCs/>
              </w:rPr>
            </w:pPr>
            <w:r>
              <w:rPr>
                <w:rFonts w:cs="Times New Roman"/>
                <w:bCs/>
              </w:rPr>
              <w:t>（2）占地</w:t>
            </w:r>
          </w:p>
          <w:p w14:paraId="43067104">
            <w:pPr>
              <w:ind w:firstLine="480"/>
              <w:rPr>
                <w:rFonts w:cs="Times New Roman"/>
                <w:bCs/>
              </w:rPr>
            </w:pPr>
            <w:r>
              <w:rPr>
                <w:rFonts w:cs="Times New Roman"/>
                <w:bCs/>
              </w:rPr>
              <w:t>本工程总占地面积为37.44hm</w:t>
            </w:r>
            <w:r>
              <w:rPr>
                <w:rFonts w:cs="Times New Roman"/>
                <w:bCs/>
                <w:vertAlign w:val="superscript"/>
              </w:rPr>
              <w:t>2</w:t>
            </w:r>
            <w:r>
              <w:rPr>
                <w:rFonts w:cs="Times New Roman"/>
                <w:bCs/>
              </w:rPr>
              <w:t>，其中灌木林地28.21hm</w:t>
            </w:r>
            <w:r>
              <w:rPr>
                <w:rFonts w:cs="Times New Roman"/>
                <w:bCs/>
                <w:vertAlign w:val="superscript"/>
              </w:rPr>
              <w:t>2</w:t>
            </w:r>
            <w:r>
              <w:rPr>
                <w:rFonts w:cs="Times New Roman"/>
                <w:bCs/>
              </w:rPr>
              <w:t>，有林地0.12hm</w:t>
            </w:r>
            <w:r>
              <w:rPr>
                <w:rFonts w:cs="Times New Roman"/>
                <w:bCs/>
                <w:vertAlign w:val="superscript"/>
              </w:rPr>
              <w:t>2</w:t>
            </w:r>
            <w:r>
              <w:rPr>
                <w:rFonts w:cs="Times New Roman"/>
                <w:bCs/>
              </w:rPr>
              <w:t>，裸地0.86hm</w:t>
            </w:r>
            <w:r>
              <w:rPr>
                <w:rFonts w:cs="Times New Roman"/>
                <w:bCs/>
                <w:vertAlign w:val="superscript"/>
              </w:rPr>
              <w:t>2</w:t>
            </w:r>
            <w:r>
              <w:rPr>
                <w:rFonts w:cs="Times New Roman"/>
                <w:bCs/>
              </w:rPr>
              <w:t>，工况用地5.12hm</w:t>
            </w:r>
            <w:r>
              <w:rPr>
                <w:rFonts w:cs="Times New Roman"/>
                <w:bCs/>
                <w:vertAlign w:val="superscript"/>
              </w:rPr>
              <w:t>2</w:t>
            </w:r>
            <w:r>
              <w:rPr>
                <w:rFonts w:cs="Times New Roman"/>
                <w:bCs/>
              </w:rPr>
              <w:t>，道路等其它用地3.13hm</w:t>
            </w:r>
            <w:r>
              <w:rPr>
                <w:rFonts w:cs="Times New Roman"/>
                <w:bCs/>
                <w:vertAlign w:val="superscript"/>
              </w:rPr>
              <w:t>2</w:t>
            </w:r>
            <w:r>
              <w:rPr>
                <w:rFonts w:cs="Times New Roman"/>
                <w:bCs/>
              </w:rPr>
              <w:t>。</w:t>
            </w:r>
          </w:p>
          <w:p w14:paraId="1DFD0106">
            <w:pPr>
              <w:pStyle w:val="31"/>
              <w:rPr>
                <w:rFonts w:cs="Times New Roman"/>
                <w:vertAlign w:val="superscript"/>
              </w:rPr>
            </w:pPr>
            <w:r>
              <w:rPr>
                <w:rFonts w:cs="Times New Roman"/>
              </w:rPr>
              <w:t>表1-3  工程现状占地类型及面积统计表   单位：hm</w:t>
            </w:r>
            <w:r>
              <w:rPr>
                <w:rFonts w:cs="Times New Roman"/>
                <w:vertAlign w:val="superscript"/>
              </w:rPr>
              <w:t>2</w:t>
            </w:r>
          </w:p>
          <w:tbl>
            <w:tblPr>
              <w:tblStyle w:val="22"/>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40"/>
              <w:gridCol w:w="1293"/>
              <w:gridCol w:w="864"/>
              <w:gridCol w:w="1152"/>
              <w:gridCol w:w="1295"/>
              <w:gridCol w:w="1740"/>
              <w:gridCol w:w="1159"/>
            </w:tblGrid>
            <w:tr w14:paraId="7A55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restart"/>
                  <w:vAlign w:val="center"/>
                </w:tcPr>
                <w:p w14:paraId="1D6F2876">
                  <w:pPr>
                    <w:pStyle w:val="52"/>
                    <w:rPr>
                      <w:color w:val="auto"/>
                    </w:rPr>
                  </w:pPr>
                  <w:r>
                    <w:rPr>
                      <w:color w:val="auto"/>
                    </w:rPr>
                    <w:t>序号</w:t>
                  </w:r>
                </w:p>
              </w:tc>
              <w:tc>
                <w:tcPr>
                  <w:tcW w:w="1440" w:type="dxa"/>
                  <w:vMerge w:val="restart"/>
                  <w:vAlign w:val="center"/>
                </w:tcPr>
                <w:p w14:paraId="5495F5F0">
                  <w:pPr>
                    <w:pStyle w:val="52"/>
                    <w:rPr>
                      <w:color w:val="auto"/>
                    </w:rPr>
                  </w:pPr>
                  <w:r>
                    <w:rPr>
                      <w:color w:val="auto"/>
                    </w:rPr>
                    <w:t>项目分区</w:t>
                  </w:r>
                </w:p>
              </w:tc>
              <w:tc>
                <w:tcPr>
                  <w:tcW w:w="6344" w:type="dxa"/>
                  <w:gridSpan w:val="5"/>
                  <w:vAlign w:val="center"/>
                </w:tcPr>
                <w:p w14:paraId="4B0A1D98">
                  <w:pPr>
                    <w:pStyle w:val="52"/>
                    <w:rPr>
                      <w:color w:val="auto"/>
                    </w:rPr>
                  </w:pPr>
                  <w:r>
                    <w:rPr>
                      <w:color w:val="auto"/>
                    </w:rPr>
                    <w:t>占地类型及面积</w:t>
                  </w:r>
                </w:p>
              </w:tc>
              <w:tc>
                <w:tcPr>
                  <w:tcW w:w="1159" w:type="dxa"/>
                  <w:vMerge w:val="restart"/>
                  <w:vAlign w:val="center"/>
                </w:tcPr>
                <w:p w14:paraId="7CD8AA19">
                  <w:pPr>
                    <w:pStyle w:val="52"/>
                    <w:rPr>
                      <w:color w:val="auto"/>
                    </w:rPr>
                  </w:pPr>
                  <w:r>
                    <w:rPr>
                      <w:color w:val="auto"/>
                    </w:rPr>
                    <w:t>合计</w:t>
                  </w:r>
                </w:p>
              </w:tc>
            </w:tr>
            <w:tr w14:paraId="08EF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50" w:type="dxa"/>
                  <w:vMerge w:val="continue"/>
                  <w:vAlign w:val="center"/>
                </w:tcPr>
                <w:p w14:paraId="389FB09F">
                  <w:pPr>
                    <w:pStyle w:val="52"/>
                    <w:rPr>
                      <w:color w:val="auto"/>
                    </w:rPr>
                  </w:pPr>
                </w:p>
              </w:tc>
              <w:tc>
                <w:tcPr>
                  <w:tcW w:w="1440" w:type="dxa"/>
                  <w:vMerge w:val="continue"/>
                  <w:vAlign w:val="center"/>
                </w:tcPr>
                <w:p w14:paraId="09510741">
                  <w:pPr>
                    <w:pStyle w:val="52"/>
                    <w:rPr>
                      <w:color w:val="auto"/>
                    </w:rPr>
                  </w:pPr>
                </w:p>
              </w:tc>
              <w:tc>
                <w:tcPr>
                  <w:tcW w:w="1293" w:type="dxa"/>
                  <w:vAlign w:val="center"/>
                </w:tcPr>
                <w:p w14:paraId="124AA064">
                  <w:pPr>
                    <w:pStyle w:val="52"/>
                    <w:rPr>
                      <w:color w:val="auto"/>
                    </w:rPr>
                  </w:pPr>
                  <w:r>
                    <w:rPr>
                      <w:color w:val="auto"/>
                    </w:rPr>
                    <w:t>灌木林地</w:t>
                  </w:r>
                </w:p>
              </w:tc>
              <w:tc>
                <w:tcPr>
                  <w:tcW w:w="864" w:type="dxa"/>
                  <w:vAlign w:val="center"/>
                </w:tcPr>
                <w:p w14:paraId="4A0BCF9B">
                  <w:pPr>
                    <w:pStyle w:val="52"/>
                    <w:rPr>
                      <w:color w:val="auto"/>
                    </w:rPr>
                  </w:pPr>
                  <w:r>
                    <w:rPr>
                      <w:color w:val="auto"/>
                    </w:rPr>
                    <w:t>有林地</w:t>
                  </w:r>
                </w:p>
              </w:tc>
              <w:tc>
                <w:tcPr>
                  <w:tcW w:w="1152" w:type="dxa"/>
                  <w:vAlign w:val="center"/>
                </w:tcPr>
                <w:p w14:paraId="2482FF5E">
                  <w:pPr>
                    <w:pStyle w:val="52"/>
                    <w:rPr>
                      <w:color w:val="auto"/>
                    </w:rPr>
                  </w:pPr>
                  <w:r>
                    <w:rPr>
                      <w:color w:val="auto"/>
                    </w:rPr>
                    <w:t>裸地</w:t>
                  </w:r>
                </w:p>
              </w:tc>
              <w:tc>
                <w:tcPr>
                  <w:tcW w:w="1295" w:type="dxa"/>
                  <w:vAlign w:val="center"/>
                </w:tcPr>
                <w:p w14:paraId="6007264A">
                  <w:pPr>
                    <w:pStyle w:val="52"/>
                    <w:rPr>
                      <w:color w:val="auto"/>
                    </w:rPr>
                  </w:pPr>
                  <w:r>
                    <w:rPr>
                      <w:color w:val="auto"/>
                    </w:rPr>
                    <w:t>工况用地</w:t>
                  </w:r>
                </w:p>
              </w:tc>
              <w:tc>
                <w:tcPr>
                  <w:tcW w:w="1740" w:type="dxa"/>
                  <w:vAlign w:val="center"/>
                </w:tcPr>
                <w:p w14:paraId="6FD913F0">
                  <w:pPr>
                    <w:pStyle w:val="52"/>
                    <w:rPr>
                      <w:color w:val="auto"/>
                    </w:rPr>
                  </w:pPr>
                  <w:r>
                    <w:rPr>
                      <w:color w:val="auto"/>
                    </w:rPr>
                    <w:t>道路等其它用地</w:t>
                  </w:r>
                </w:p>
              </w:tc>
              <w:tc>
                <w:tcPr>
                  <w:tcW w:w="1159" w:type="dxa"/>
                  <w:vMerge w:val="continue"/>
                  <w:vAlign w:val="center"/>
                </w:tcPr>
                <w:p w14:paraId="2B116F06">
                  <w:pPr>
                    <w:pStyle w:val="52"/>
                    <w:rPr>
                      <w:color w:val="auto"/>
                    </w:rPr>
                  </w:pPr>
                </w:p>
              </w:tc>
            </w:tr>
            <w:tr w14:paraId="60E6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90" w:type="dxa"/>
                  <w:gridSpan w:val="2"/>
                  <w:vAlign w:val="center"/>
                </w:tcPr>
                <w:p w14:paraId="484F9214">
                  <w:pPr>
                    <w:pStyle w:val="52"/>
                    <w:rPr>
                      <w:color w:val="auto"/>
                    </w:rPr>
                  </w:pPr>
                  <w:r>
                    <w:rPr>
                      <w:color w:val="auto"/>
                    </w:rPr>
                    <w:t>合计</w:t>
                  </w:r>
                </w:p>
              </w:tc>
              <w:tc>
                <w:tcPr>
                  <w:tcW w:w="1293" w:type="dxa"/>
                  <w:vAlign w:val="center"/>
                </w:tcPr>
                <w:p w14:paraId="4521A0CE">
                  <w:pPr>
                    <w:pStyle w:val="52"/>
                    <w:rPr>
                      <w:color w:val="auto"/>
                    </w:rPr>
                  </w:pPr>
                  <w:r>
                    <w:rPr>
                      <w:color w:val="auto"/>
                    </w:rPr>
                    <w:t>28.21</w:t>
                  </w:r>
                </w:p>
              </w:tc>
              <w:tc>
                <w:tcPr>
                  <w:tcW w:w="864" w:type="dxa"/>
                  <w:vAlign w:val="center"/>
                </w:tcPr>
                <w:p w14:paraId="3C78ED09">
                  <w:pPr>
                    <w:pStyle w:val="52"/>
                    <w:rPr>
                      <w:color w:val="auto"/>
                    </w:rPr>
                  </w:pPr>
                  <w:r>
                    <w:rPr>
                      <w:color w:val="auto"/>
                    </w:rPr>
                    <w:t>0.12</w:t>
                  </w:r>
                </w:p>
              </w:tc>
              <w:tc>
                <w:tcPr>
                  <w:tcW w:w="1152" w:type="dxa"/>
                  <w:vAlign w:val="center"/>
                </w:tcPr>
                <w:p w14:paraId="70F63CBF">
                  <w:pPr>
                    <w:pStyle w:val="52"/>
                    <w:rPr>
                      <w:color w:val="auto"/>
                    </w:rPr>
                  </w:pPr>
                  <w:r>
                    <w:rPr>
                      <w:color w:val="auto"/>
                    </w:rPr>
                    <w:t>0.86</w:t>
                  </w:r>
                </w:p>
              </w:tc>
              <w:tc>
                <w:tcPr>
                  <w:tcW w:w="1295" w:type="dxa"/>
                  <w:vAlign w:val="center"/>
                </w:tcPr>
                <w:p w14:paraId="7CE7F957">
                  <w:pPr>
                    <w:pStyle w:val="52"/>
                    <w:rPr>
                      <w:color w:val="auto"/>
                    </w:rPr>
                  </w:pPr>
                  <w:r>
                    <w:rPr>
                      <w:color w:val="auto"/>
                    </w:rPr>
                    <w:t>5.12</w:t>
                  </w:r>
                </w:p>
              </w:tc>
              <w:tc>
                <w:tcPr>
                  <w:tcW w:w="1740" w:type="dxa"/>
                </w:tcPr>
                <w:p w14:paraId="3D0D2153">
                  <w:pPr>
                    <w:pStyle w:val="52"/>
                    <w:rPr>
                      <w:color w:val="auto"/>
                    </w:rPr>
                  </w:pPr>
                  <w:r>
                    <w:rPr>
                      <w:color w:val="auto"/>
                    </w:rPr>
                    <w:t>3.13</w:t>
                  </w:r>
                </w:p>
              </w:tc>
              <w:tc>
                <w:tcPr>
                  <w:tcW w:w="1159" w:type="dxa"/>
                  <w:vAlign w:val="center"/>
                </w:tcPr>
                <w:p w14:paraId="383D0FDC">
                  <w:pPr>
                    <w:pStyle w:val="52"/>
                    <w:rPr>
                      <w:color w:val="auto"/>
                    </w:rPr>
                  </w:pPr>
                  <w:r>
                    <w:rPr>
                      <w:color w:val="auto"/>
                    </w:rPr>
                    <w:t>37.44</w:t>
                  </w:r>
                </w:p>
              </w:tc>
            </w:tr>
          </w:tbl>
          <w:p w14:paraId="6845A7DA">
            <w:pPr>
              <w:ind w:firstLine="482"/>
              <w:rPr>
                <w:rFonts w:cs="Times New Roman"/>
                <w:b/>
              </w:rPr>
            </w:pPr>
            <w:r>
              <w:rPr>
                <w:rFonts w:cs="Times New Roman"/>
                <w:b/>
              </w:rPr>
              <w:t>5、公用辅助设施</w:t>
            </w:r>
          </w:p>
          <w:p w14:paraId="75FFB92C">
            <w:pPr>
              <w:ind w:firstLine="480"/>
              <w:rPr>
                <w:rFonts w:cs="Times New Roman"/>
              </w:rPr>
            </w:pPr>
            <w:r>
              <w:rPr>
                <w:rFonts w:cs="Times New Roman"/>
              </w:rPr>
              <w:t>（1）开拓运输方案</w:t>
            </w:r>
          </w:p>
          <w:p w14:paraId="3202B510">
            <w:pPr>
              <w:ind w:firstLine="480"/>
              <w:rPr>
                <w:rFonts w:cs="Times New Roman"/>
                <w:kern w:val="0"/>
                <w:szCs w:val="24"/>
              </w:rPr>
            </w:pPr>
            <w:r>
              <w:rPr>
                <w:rFonts w:cs="Times New Roman"/>
                <w:kern w:val="0"/>
                <w:szCs w:val="24"/>
              </w:rPr>
              <w:t>本次设计选用公路开拓、汽车运输方案。开拓公路布置于露天开采境界内，从加工车间修至首采台阶（地表高程1180m），首采台阶北西，地表高程1170处分别修建连接首采台阶的开拓公路。采矿、装载、设备运输和辅助材料等可直接进入工作面。</w:t>
            </w:r>
          </w:p>
          <w:p w14:paraId="09849AF7">
            <w:pPr>
              <w:ind w:firstLine="480"/>
              <w:rPr>
                <w:rFonts w:cs="Times New Roman"/>
              </w:rPr>
            </w:pPr>
            <w:r>
              <w:rPr>
                <w:rFonts w:cs="Times New Roman"/>
              </w:rPr>
              <w:t>（2）项目给排水</w:t>
            </w:r>
          </w:p>
          <w:p w14:paraId="2075929D">
            <w:pPr>
              <w:ind w:firstLine="480"/>
              <w:rPr>
                <w:rFonts w:cs="Times New Roman"/>
                <w:bCs/>
              </w:rPr>
            </w:pPr>
            <w:r>
              <w:rPr>
                <w:rFonts w:hint="eastAsia" w:ascii="宋体" w:hAnsi="宋体" w:cs="宋体"/>
                <w:bCs/>
              </w:rPr>
              <w:t>①</w:t>
            </w:r>
            <w:r>
              <w:rPr>
                <w:rFonts w:cs="Times New Roman"/>
                <w:bCs/>
              </w:rPr>
              <w:t>给水</w:t>
            </w:r>
          </w:p>
          <w:p w14:paraId="7F0B702C">
            <w:pPr>
              <w:ind w:firstLine="480"/>
              <w:rPr>
                <w:rFonts w:cs="Times New Roman"/>
                <w:bCs/>
                <w:szCs w:val="21"/>
              </w:rPr>
            </w:pPr>
            <w:r>
              <w:rPr>
                <w:rFonts w:cs="Times New Roman"/>
                <w:bCs/>
                <w:szCs w:val="21"/>
              </w:rPr>
              <w:t>项目生活用水和生产用水均来自于箐沟水，建设单位于矿区西南侧标高1200m处设置了1个高位水池，容积为400m</w:t>
            </w:r>
            <w:r>
              <w:rPr>
                <w:rFonts w:cs="Times New Roman"/>
                <w:bCs/>
                <w:szCs w:val="21"/>
                <w:vertAlign w:val="superscript"/>
              </w:rPr>
              <w:t>3</w:t>
            </w:r>
            <w:r>
              <w:rPr>
                <w:rFonts w:cs="Times New Roman"/>
                <w:bCs/>
                <w:szCs w:val="21"/>
              </w:rPr>
              <w:t>，自流供水。</w:t>
            </w:r>
          </w:p>
          <w:p w14:paraId="7BB4F0AF">
            <w:pPr>
              <w:ind w:firstLine="480"/>
              <w:rPr>
                <w:rFonts w:cs="Times New Roman"/>
                <w:bCs/>
              </w:rPr>
            </w:pPr>
            <w:r>
              <w:rPr>
                <w:rFonts w:hint="eastAsia" w:ascii="宋体" w:hAnsi="宋体" w:cs="宋体"/>
                <w:bCs/>
              </w:rPr>
              <w:t>②</w:t>
            </w:r>
            <w:r>
              <w:rPr>
                <w:rFonts w:cs="Times New Roman"/>
                <w:bCs/>
              </w:rPr>
              <w:t>排水</w:t>
            </w:r>
          </w:p>
          <w:p w14:paraId="5DF048EC">
            <w:pPr>
              <w:ind w:firstLine="480"/>
              <w:rPr>
                <w:rFonts w:cs="Times New Roman"/>
                <w:bCs/>
              </w:rPr>
            </w:pPr>
            <w:r>
              <w:rPr>
                <w:rFonts w:cs="Times New Roman"/>
                <w:bCs/>
              </w:rPr>
              <w:t>项目产生的废水主要为生活污水、弃渣场和露天采场</w:t>
            </w:r>
            <w:r>
              <w:rPr>
                <w:rFonts w:hint="eastAsia" w:cs="Times New Roman"/>
                <w:bCs/>
                <w:color w:val="FF0000"/>
              </w:rPr>
              <w:t>初期雨水</w:t>
            </w:r>
            <w:r>
              <w:rPr>
                <w:rFonts w:cs="Times New Roman"/>
                <w:bCs/>
              </w:rPr>
              <w:t>。员工厨房废水经隔油池（2m</w:t>
            </w:r>
            <w:r>
              <w:rPr>
                <w:rFonts w:cs="Times New Roman"/>
                <w:bCs/>
                <w:vertAlign w:val="superscript"/>
              </w:rPr>
              <w:t>3</w:t>
            </w:r>
            <w:r>
              <w:rPr>
                <w:rFonts w:cs="Times New Roman"/>
                <w:bCs/>
              </w:rPr>
              <w:t>）处理后和员工办公、住宿废水一起排入化粪池（5 m</w:t>
            </w:r>
            <w:r>
              <w:rPr>
                <w:rFonts w:cs="Times New Roman"/>
                <w:bCs/>
                <w:vertAlign w:val="superscript"/>
              </w:rPr>
              <w:t>3</w:t>
            </w:r>
            <w:r>
              <w:rPr>
                <w:rFonts w:cs="Times New Roman"/>
                <w:bCs/>
              </w:rPr>
              <w:t>和12m</w:t>
            </w:r>
            <w:r>
              <w:rPr>
                <w:rFonts w:cs="Times New Roman"/>
                <w:bCs/>
                <w:vertAlign w:val="superscript"/>
              </w:rPr>
              <w:t>3</w:t>
            </w:r>
            <w:r>
              <w:rPr>
                <w:rFonts w:cs="Times New Roman"/>
                <w:bCs/>
              </w:rPr>
              <w:t>）处理后回用于绿化底肥，不外排；生活区及储油罐区雨水、堆料场</w:t>
            </w:r>
            <w:r>
              <w:rPr>
                <w:rFonts w:hint="eastAsia" w:cs="Times New Roman"/>
                <w:bCs/>
                <w:color w:val="FF0000"/>
              </w:rPr>
              <w:t>初期雨水</w:t>
            </w:r>
            <w:r>
              <w:rPr>
                <w:rFonts w:cs="Times New Roman"/>
                <w:bCs/>
              </w:rPr>
              <w:t>经雨水沟收集后进入雨水沉淀池（100m</w:t>
            </w:r>
            <w:r>
              <w:rPr>
                <w:rFonts w:cs="Times New Roman"/>
                <w:bCs/>
                <w:vertAlign w:val="superscript"/>
              </w:rPr>
              <w:t>3</w:t>
            </w:r>
            <w:r>
              <w:rPr>
                <w:rFonts w:cs="Times New Roman"/>
                <w:bCs/>
              </w:rPr>
              <w:t>）沉淀后外排。</w:t>
            </w:r>
          </w:p>
          <w:p w14:paraId="437785D3">
            <w:pPr>
              <w:ind w:firstLine="480"/>
              <w:rPr>
                <w:rFonts w:cs="Times New Roman"/>
                <w:bCs/>
              </w:rPr>
            </w:pPr>
            <w:r>
              <w:rPr>
                <w:rFonts w:cs="Times New Roman"/>
              </w:rPr>
              <w:t>弃渣场上游修建截排水沟490m，末端设置沉砂池，容积为120m</w:t>
            </w:r>
            <w:r>
              <w:rPr>
                <w:rFonts w:cs="Times New Roman"/>
                <w:vertAlign w:val="superscript"/>
              </w:rPr>
              <w:t>3</w:t>
            </w:r>
            <w:r>
              <w:rPr>
                <w:rFonts w:cs="Times New Roman"/>
              </w:rPr>
              <w:t>，</w:t>
            </w:r>
            <w:r>
              <w:rPr>
                <w:rFonts w:hint="eastAsia" w:cs="Times New Roman"/>
                <w:bCs/>
                <w:color w:val="FF0000"/>
              </w:rPr>
              <w:t>初期雨水</w:t>
            </w:r>
            <w:r>
              <w:rPr>
                <w:rFonts w:cs="Times New Roman"/>
                <w:bCs/>
              </w:rPr>
              <w:t>沉淀后外排；</w:t>
            </w:r>
            <w:r>
              <w:rPr>
                <w:rFonts w:cs="Times New Roman"/>
              </w:rPr>
              <w:t>露天采场区累计修建排水沟923m，末端设置沉砂池，设置1个沉砂池，容积为100m</w:t>
            </w:r>
            <w:r>
              <w:rPr>
                <w:rFonts w:cs="Times New Roman"/>
                <w:vertAlign w:val="superscript"/>
              </w:rPr>
              <w:t>3</w:t>
            </w:r>
            <w:r>
              <w:rPr>
                <w:rFonts w:cs="Times New Roman"/>
              </w:rPr>
              <w:t>，</w:t>
            </w:r>
            <w:r>
              <w:rPr>
                <w:rFonts w:hint="eastAsia" w:cs="Times New Roman"/>
                <w:bCs/>
                <w:color w:val="FF0000"/>
              </w:rPr>
              <w:t>初期雨水</w:t>
            </w:r>
            <w:r>
              <w:rPr>
                <w:rFonts w:cs="Times New Roman"/>
                <w:bCs/>
              </w:rPr>
              <w:t>沉淀后外排。</w:t>
            </w:r>
          </w:p>
          <w:p w14:paraId="15C8F8F3">
            <w:pPr>
              <w:ind w:firstLine="480"/>
              <w:rPr>
                <w:rFonts w:cs="Times New Roman"/>
              </w:rPr>
            </w:pPr>
            <w:r>
              <w:rPr>
                <w:rFonts w:cs="Times New Roman"/>
              </w:rPr>
              <w:t>（3）供电</w:t>
            </w:r>
          </w:p>
          <w:p w14:paraId="75CD546C">
            <w:pPr>
              <w:ind w:firstLine="480"/>
              <w:rPr>
                <w:rFonts w:cs="Times New Roman"/>
                <w:szCs w:val="24"/>
              </w:rPr>
            </w:pPr>
            <w:r>
              <w:rPr>
                <w:rFonts w:cs="Times New Roman"/>
                <w:szCs w:val="24"/>
              </w:rPr>
              <w:t>矿山用电主要是空压机和破碎加工等高耗电设备，矿区需输入电压10KV，矿区装机容量400KW负荷率70%，安装S-9型500KVA变压器1台，以保障用电的安全。已建设好，不需重复建设。</w:t>
            </w:r>
          </w:p>
          <w:p w14:paraId="6398DE88">
            <w:pPr>
              <w:ind w:firstLine="482"/>
              <w:rPr>
                <w:rFonts w:cs="Times New Roman"/>
                <w:b/>
                <w:bCs/>
              </w:rPr>
            </w:pPr>
            <w:r>
              <w:rPr>
                <w:rFonts w:cs="Times New Roman"/>
                <w:b/>
                <w:bCs/>
              </w:rPr>
              <w:t>6、劳动定员及工作制度</w:t>
            </w:r>
          </w:p>
          <w:p w14:paraId="649A1899">
            <w:pPr>
              <w:ind w:firstLine="480"/>
              <w:rPr>
                <w:rFonts w:cs="Times New Roman"/>
                <w:bCs/>
              </w:rPr>
            </w:pPr>
            <w:r>
              <w:rPr>
                <w:rFonts w:cs="Times New Roman"/>
                <w:bCs/>
              </w:rPr>
              <w:t>项目年运营300天，每天的运营时间08:00~18:00，员工40人，均在项目区内食宿。</w:t>
            </w:r>
          </w:p>
          <w:p w14:paraId="164A6D50">
            <w:pPr>
              <w:ind w:firstLine="482"/>
              <w:rPr>
                <w:rFonts w:cs="Times New Roman"/>
                <w:b/>
              </w:rPr>
            </w:pPr>
            <w:r>
              <w:rPr>
                <w:rFonts w:cs="Times New Roman"/>
                <w:b/>
              </w:rPr>
              <w:t>7、主要原辅料及动力</w:t>
            </w:r>
          </w:p>
          <w:p w14:paraId="578A3580">
            <w:pPr>
              <w:ind w:firstLine="480"/>
              <w:rPr>
                <w:rFonts w:cs="Times New Roman"/>
              </w:rPr>
            </w:pPr>
            <w:r>
              <w:rPr>
                <w:rFonts w:cs="Times New Roman"/>
              </w:rPr>
              <w:t>主要原、辅材料、动力及其来源见下表。</w:t>
            </w:r>
          </w:p>
          <w:p w14:paraId="40690C93">
            <w:pPr>
              <w:pStyle w:val="31"/>
              <w:rPr>
                <w:rFonts w:cs="Times New Roman"/>
              </w:rPr>
            </w:pPr>
            <w:r>
              <w:rPr>
                <w:rFonts w:cs="Times New Roman"/>
              </w:rPr>
              <w:t>表1-4  主要原辅材料、动力及来源表</w:t>
            </w:r>
          </w:p>
          <w:tbl>
            <w:tblPr>
              <w:tblStyle w:val="2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2631"/>
              <w:gridCol w:w="2398"/>
              <w:gridCol w:w="2722"/>
            </w:tblGrid>
            <w:tr w14:paraId="03E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72" w:type="dxa"/>
                  <w:vAlign w:val="center"/>
                </w:tcPr>
                <w:p w14:paraId="787A0A22">
                  <w:pPr>
                    <w:pStyle w:val="52"/>
                    <w:rPr>
                      <w:color w:val="auto"/>
                    </w:rPr>
                  </w:pPr>
                  <w:r>
                    <w:rPr>
                      <w:color w:val="auto"/>
                    </w:rPr>
                    <w:t>序号</w:t>
                  </w:r>
                </w:p>
              </w:tc>
              <w:tc>
                <w:tcPr>
                  <w:tcW w:w="2631" w:type="dxa"/>
                  <w:vAlign w:val="center"/>
                </w:tcPr>
                <w:p w14:paraId="45E33EFA">
                  <w:pPr>
                    <w:pStyle w:val="52"/>
                    <w:rPr>
                      <w:color w:val="auto"/>
                    </w:rPr>
                  </w:pPr>
                  <w:r>
                    <w:rPr>
                      <w:color w:val="auto"/>
                    </w:rPr>
                    <w:t>名称</w:t>
                  </w:r>
                </w:p>
              </w:tc>
              <w:tc>
                <w:tcPr>
                  <w:tcW w:w="2398" w:type="dxa"/>
                  <w:vAlign w:val="center"/>
                </w:tcPr>
                <w:p w14:paraId="48FFFEED">
                  <w:pPr>
                    <w:pStyle w:val="52"/>
                    <w:rPr>
                      <w:color w:val="auto"/>
                    </w:rPr>
                  </w:pPr>
                  <w:r>
                    <w:rPr>
                      <w:color w:val="auto"/>
                    </w:rPr>
                    <w:t>年用量</w:t>
                  </w:r>
                </w:p>
              </w:tc>
              <w:tc>
                <w:tcPr>
                  <w:tcW w:w="2722" w:type="dxa"/>
                  <w:vAlign w:val="center"/>
                </w:tcPr>
                <w:p w14:paraId="77BDE285">
                  <w:pPr>
                    <w:pStyle w:val="52"/>
                    <w:rPr>
                      <w:color w:val="auto"/>
                    </w:rPr>
                  </w:pPr>
                  <w:r>
                    <w:rPr>
                      <w:color w:val="auto"/>
                    </w:rPr>
                    <w:t>来源</w:t>
                  </w:r>
                </w:p>
              </w:tc>
            </w:tr>
            <w:tr w14:paraId="1239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472" w:type="dxa"/>
                  <w:vAlign w:val="center"/>
                </w:tcPr>
                <w:p w14:paraId="0AA41E0C">
                  <w:pPr>
                    <w:pStyle w:val="52"/>
                    <w:rPr>
                      <w:color w:val="auto"/>
                    </w:rPr>
                  </w:pPr>
                  <w:r>
                    <w:rPr>
                      <w:color w:val="auto"/>
                    </w:rPr>
                    <w:t>1</w:t>
                  </w:r>
                </w:p>
              </w:tc>
              <w:tc>
                <w:tcPr>
                  <w:tcW w:w="2631" w:type="dxa"/>
                  <w:vAlign w:val="center"/>
                </w:tcPr>
                <w:p w14:paraId="41CFFA8B">
                  <w:pPr>
                    <w:pStyle w:val="52"/>
                    <w:rPr>
                      <w:color w:val="auto"/>
                    </w:rPr>
                  </w:pPr>
                  <w:r>
                    <w:rPr>
                      <w:color w:val="auto"/>
                    </w:rPr>
                    <w:t>柴油</w:t>
                  </w:r>
                </w:p>
              </w:tc>
              <w:tc>
                <w:tcPr>
                  <w:tcW w:w="2398" w:type="dxa"/>
                  <w:vAlign w:val="center"/>
                </w:tcPr>
                <w:p w14:paraId="10370F14">
                  <w:pPr>
                    <w:pStyle w:val="52"/>
                    <w:rPr>
                      <w:color w:val="auto"/>
                    </w:rPr>
                  </w:pPr>
                  <w:r>
                    <w:rPr>
                      <w:color w:val="auto"/>
                    </w:rPr>
                    <w:t>120t/a</w:t>
                  </w:r>
                </w:p>
              </w:tc>
              <w:tc>
                <w:tcPr>
                  <w:tcW w:w="2722" w:type="dxa"/>
                  <w:vAlign w:val="center"/>
                </w:tcPr>
                <w:p w14:paraId="4701FF3F">
                  <w:pPr>
                    <w:pStyle w:val="52"/>
                    <w:rPr>
                      <w:color w:val="auto"/>
                    </w:rPr>
                  </w:pPr>
                  <w:r>
                    <w:rPr>
                      <w:color w:val="auto"/>
                    </w:rPr>
                    <w:t>外购</w:t>
                  </w:r>
                </w:p>
              </w:tc>
            </w:tr>
            <w:tr w14:paraId="5C48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72" w:type="dxa"/>
                  <w:vAlign w:val="center"/>
                </w:tcPr>
                <w:p w14:paraId="344D27B2">
                  <w:pPr>
                    <w:pStyle w:val="52"/>
                    <w:rPr>
                      <w:color w:val="auto"/>
                    </w:rPr>
                  </w:pPr>
                  <w:r>
                    <w:rPr>
                      <w:color w:val="auto"/>
                    </w:rPr>
                    <w:t>2</w:t>
                  </w:r>
                </w:p>
              </w:tc>
              <w:tc>
                <w:tcPr>
                  <w:tcW w:w="2631" w:type="dxa"/>
                  <w:vAlign w:val="center"/>
                </w:tcPr>
                <w:p w14:paraId="70E3FAA8">
                  <w:pPr>
                    <w:pStyle w:val="52"/>
                    <w:rPr>
                      <w:color w:val="auto"/>
                    </w:rPr>
                  </w:pPr>
                  <w:r>
                    <w:rPr>
                      <w:color w:val="auto"/>
                    </w:rPr>
                    <w:t>汽油</w:t>
                  </w:r>
                </w:p>
              </w:tc>
              <w:tc>
                <w:tcPr>
                  <w:tcW w:w="2398" w:type="dxa"/>
                  <w:vAlign w:val="center"/>
                </w:tcPr>
                <w:p w14:paraId="169AB528">
                  <w:pPr>
                    <w:pStyle w:val="52"/>
                    <w:rPr>
                      <w:color w:val="auto"/>
                    </w:rPr>
                  </w:pPr>
                  <w:r>
                    <w:rPr>
                      <w:color w:val="auto"/>
                    </w:rPr>
                    <w:t>20t/a</w:t>
                  </w:r>
                </w:p>
              </w:tc>
              <w:tc>
                <w:tcPr>
                  <w:tcW w:w="2722" w:type="dxa"/>
                  <w:vAlign w:val="center"/>
                </w:tcPr>
                <w:p w14:paraId="46039AF1">
                  <w:pPr>
                    <w:pStyle w:val="52"/>
                    <w:rPr>
                      <w:color w:val="auto"/>
                    </w:rPr>
                  </w:pPr>
                  <w:r>
                    <w:rPr>
                      <w:color w:val="auto"/>
                    </w:rPr>
                    <w:t>外购</w:t>
                  </w:r>
                </w:p>
              </w:tc>
            </w:tr>
            <w:tr w14:paraId="2D09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72" w:type="dxa"/>
                  <w:vAlign w:val="center"/>
                </w:tcPr>
                <w:p w14:paraId="71D0D53C">
                  <w:pPr>
                    <w:pStyle w:val="52"/>
                    <w:rPr>
                      <w:color w:val="auto"/>
                    </w:rPr>
                  </w:pPr>
                  <w:r>
                    <w:rPr>
                      <w:color w:val="auto"/>
                    </w:rPr>
                    <w:t>3</w:t>
                  </w:r>
                </w:p>
              </w:tc>
              <w:tc>
                <w:tcPr>
                  <w:tcW w:w="2631" w:type="dxa"/>
                  <w:vAlign w:val="center"/>
                </w:tcPr>
                <w:p w14:paraId="5FAAB056">
                  <w:pPr>
                    <w:pStyle w:val="52"/>
                    <w:rPr>
                      <w:color w:val="auto"/>
                    </w:rPr>
                  </w:pPr>
                  <w:r>
                    <w:rPr>
                      <w:color w:val="auto"/>
                    </w:rPr>
                    <w:t>机油</w:t>
                  </w:r>
                </w:p>
              </w:tc>
              <w:tc>
                <w:tcPr>
                  <w:tcW w:w="2398" w:type="dxa"/>
                  <w:vAlign w:val="center"/>
                </w:tcPr>
                <w:p w14:paraId="6342A528">
                  <w:pPr>
                    <w:pStyle w:val="52"/>
                    <w:rPr>
                      <w:color w:val="auto"/>
                    </w:rPr>
                  </w:pPr>
                  <w:r>
                    <w:rPr>
                      <w:color w:val="auto"/>
                    </w:rPr>
                    <w:t>2t/a</w:t>
                  </w:r>
                </w:p>
              </w:tc>
              <w:tc>
                <w:tcPr>
                  <w:tcW w:w="2722" w:type="dxa"/>
                  <w:vAlign w:val="center"/>
                </w:tcPr>
                <w:p w14:paraId="4D203E79">
                  <w:pPr>
                    <w:pStyle w:val="52"/>
                    <w:rPr>
                      <w:color w:val="auto"/>
                    </w:rPr>
                  </w:pPr>
                  <w:r>
                    <w:rPr>
                      <w:color w:val="auto"/>
                    </w:rPr>
                    <w:t>外购</w:t>
                  </w:r>
                </w:p>
              </w:tc>
            </w:tr>
            <w:tr w14:paraId="546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72" w:type="dxa"/>
                  <w:vAlign w:val="center"/>
                </w:tcPr>
                <w:p w14:paraId="4FD2B7D8">
                  <w:pPr>
                    <w:pStyle w:val="52"/>
                    <w:rPr>
                      <w:color w:val="auto"/>
                    </w:rPr>
                  </w:pPr>
                  <w:r>
                    <w:rPr>
                      <w:color w:val="auto"/>
                    </w:rPr>
                    <w:t>4</w:t>
                  </w:r>
                </w:p>
              </w:tc>
              <w:tc>
                <w:tcPr>
                  <w:tcW w:w="2631" w:type="dxa"/>
                  <w:vAlign w:val="center"/>
                </w:tcPr>
                <w:p w14:paraId="5656BEFB">
                  <w:pPr>
                    <w:pStyle w:val="52"/>
                    <w:rPr>
                      <w:color w:val="auto"/>
                    </w:rPr>
                  </w:pPr>
                  <w:r>
                    <w:rPr>
                      <w:color w:val="auto"/>
                    </w:rPr>
                    <w:t>水</w:t>
                  </w:r>
                </w:p>
              </w:tc>
              <w:tc>
                <w:tcPr>
                  <w:tcW w:w="2398" w:type="dxa"/>
                  <w:vAlign w:val="center"/>
                </w:tcPr>
                <w:p w14:paraId="21F34011">
                  <w:pPr>
                    <w:pStyle w:val="52"/>
                    <w:rPr>
                      <w:color w:val="auto"/>
                    </w:rPr>
                  </w:pPr>
                  <w:r>
                    <w:rPr>
                      <w:color w:val="auto"/>
                    </w:rPr>
                    <w:t>/</w:t>
                  </w:r>
                </w:p>
              </w:tc>
              <w:tc>
                <w:tcPr>
                  <w:tcW w:w="2722" w:type="dxa"/>
                  <w:vAlign w:val="center"/>
                </w:tcPr>
                <w:p w14:paraId="372186C9">
                  <w:pPr>
                    <w:pStyle w:val="52"/>
                    <w:rPr>
                      <w:color w:val="auto"/>
                    </w:rPr>
                  </w:pPr>
                  <w:r>
                    <w:rPr>
                      <w:color w:val="auto"/>
                    </w:rPr>
                    <w:t>箐沟水</w:t>
                  </w:r>
                </w:p>
              </w:tc>
            </w:tr>
            <w:tr w14:paraId="4E12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72" w:type="dxa"/>
                  <w:vAlign w:val="center"/>
                </w:tcPr>
                <w:p w14:paraId="4C42FBDE">
                  <w:pPr>
                    <w:pStyle w:val="52"/>
                    <w:rPr>
                      <w:color w:val="auto"/>
                    </w:rPr>
                  </w:pPr>
                  <w:r>
                    <w:rPr>
                      <w:color w:val="auto"/>
                    </w:rPr>
                    <w:t>5</w:t>
                  </w:r>
                </w:p>
              </w:tc>
              <w:tc>
                <w:tcPr>
                  <w:tcW w:w="2631" w:type="dxa"/>
                  <w:vAlign w:val="center"/>
                </w:tcPr>
                <w:p w14:paraId="296D7D72">
                  <w:pPr>
                    <w:pStyle w:val="52"/>
                    <w:rPr>
                      <w:color w:val="auto"/>
                    </w:rPr>
                  </w:pPr>
                  <w:r>
                    <w:rPr>
                      <w:color w:val="auto"/>
                    </w:rPr>
                    <w:t>电</w:t>
                  </w:r>
                </w:p>
              </w:tc>
              <w:tc>
                <w:tcPr>
                  <w:tcW w:w="2398" w:type="dxa"/>
                  <w:vAlign w:val="center"/>
                </w:tcPr>
                <w:p w14:paraId="7804D959">
                  <w:pPr>
                    <w:pStyle w:val="52"/>
                    <w:rPr>
                      <w:color w:val="auto"/>
                    </w:rPr>
                  </w:pPr>
                  <w:r>
                    <w:rPr>
                      <w:color w:val="auto"/>
                    </w:rPr>
                    <w:t>/</w:t>
                  </w:r>
                </w:p>
              </w:tc>
              <w:tc>
                <w:tcPr>
                  <w:tcW w:w="2722" w:type="dxa"/>
                  <w:vAlign w:val="center"/>
                </w:tcPr>
                <w:p w14:paraId="6513AD14">
                  <w:pPr>
                    <w:pStyle w:val="52"/>
                    <w:rPr>
                      <w:color w:val="auto"/>
                    </w:rPr>
                  </w:pPr>
                  <w:r>
                    <w:rPr>
                      <w:color w:val="auto"/>
                    </w:rPr>
                    <w:t>国家电网</w:t>
                  </w:r>
                </w:p>
              </w:tc>
            </w:tr>
          </w:tbl>
          <w:p w14:paraId="17D355F4">
            <w:pPr>
              <w:ind w:firstLine="482"/>
              <w:rPr>
                <w:rFonts w:cs="Times New Roman"/>
                <w:b/>
                <w:bCs/>
              </w:rPr>
            </w:pPr>
            <w:r>
              <w:rPr>
                <w:rFonts w:cs="Times New Roman"/>
                <w:b/>
                <w:bCs/>
              </w:rPr>
              <w:t>8、主要机械设备</w:t>
            </w:r>
          </w:p>
          <w:p w14:paraId="053D380C">
            <w:pPr>
              <w:ind w:firstLine="480"/>
              <w:rPr>
                <w:rFonts w:cs="Times New Roman"/>
                <w:bCs/>
              </w:rPr>
            </w:pPr>
            <w:r>
              <w:rPr>
                <w:rFonts w:cs="Times New Roman"/>
                <w:bCs/>
              </w:rPr>
              <w:t>项目使用的主要机械设备详见表1-5。</w:t>
            </w:r>
          </w:p>
          <w:p w14:paraId="095E35FB">
            <w:pPr>
              <w:pStyle w:val="31"/>
              <w:rPr>
                <w:rFonts w:cs="Times New Roman"/>
              </w:rPr>
            </w:pPr>
            <w:r>
              <w:rPr>
                <w:rFonts w:cs="Times New Roman"/>
              </w:rPr>
              <w:t>表1-5项目主要设备配置一览表</w:t>
            </w:r>
          </w:p>
          <w:tbl>
            <w:tblPr>
              <w:tblStyle w:val="21"/>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2325"/>
              <w:gridCol w:w="1643"/>
              <w:gridCol w:w="1273"/>
              <w:gridCol w:w="1923"/>
            </w:tblGrid>
            <w:tr w14:paraId="3A07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38AFC5B1">
                  <w:pPr>
                    <w:pStyle w:val="52"/>
                    <w:rPr>
                      <w:color w:val="auto"/>
                      <w:szCs w:val="21"/>
                    </w:rPr>
                  </w:pPr>
                  <w:r>
                    <w:rPr>
                      <w:color w:val="auto"/>
                      <w:szCs w:val="21"/>
                    </w:rPr>
                    <w:t>名称</w:t>
                  </w:r>
                </w:p>
              </w:tc>
              <w:tc>
                <w:tcPr>
                  <w:tcW w:w="2325" w:type="dxa"/>
                  <w:vAlign w:val="center"/>
                </w:tcPr>
                <w:p w14:paraId="3E305451">
                  <w:pPr>
                    <w:pStyle w:val="52"/>
                    <w:rPr>
                      <w:color w:val="auto"/>
                      <w:szCs w:val="21"/>
                    </w:rPr>
                  </w:pPr>
                  <w:r>
                    <w:rPr>
                      <w:color w:val="auto"/>
                      <w:szCs w:val="21"/>
                    </w:rPr>
                    <w:t>型号</w:t>
                  </w:r>
                </w:p>
              </w:tc>
              <w:tc>
                <w:tcPr>
                  <w:tcW w:w="1643" w:type="dxa"/>
                  <w:vAlign w:val="center"/>
                </w:tcPr>
                <w:p w14:paraId="77724671">
                  <w:pPr>
                    <w:pStyle w:val="52"/>
                    <w:rPr>
                      <w:color w:val="auto"/>
                      <w:szCs w:val="21"/>
                    </w:rPr>
                  </w:pPr>
                  <w:r>
                    <w:rPr>
                      <w:color w:val="auto"/>
                      <w:szCs w:val="21"/>
                    </w:rPr>
                    <w:t>单位</w:t>
                  </w:r>
                </w:p>
              </w:tc>
              <w:tc>
                <w:tcPr>
                  <w:tcW w:w="1273" w:type="dxa"/>
                  <w:vAlign w:val="center"/>
                </w:tcPr>
                <w:p w14:paraId="2940AEBE">
                  <w:pPr>
                    <w:pStyle w:val="52"/>
                    <w:rPr>
                      <w:color w:val="auto"/>
                      <w:szCs w:val="21"/>
                    </w:rPr>
                  </w:pPr>
                  <w:r>
                    <w:rPr>
                      <w:color w:val="auto"/>
                      <w:szCs w:val="21"/>
                    </w:rPr>
                    <w:t>数量</w:t>
                  </w:r>
                </w:p>
              </w:tc>
              <w:tc>
                <w:tcPr>
                  <w:tcW w:w="1923" w:type="dxa"/>
                  <w:vAlign w:val="center"/>
                </w:tcPr>
                <w:p w14:paraId="346776D6">
                  <w:pPr>
                    <w:pStyle w:val="52"/>
                    <w:rPr>
                      <w:color w:val="auto"/>
                      <w:szCs w:val="21"/>
                    </w:rPr>
                  </w:pPr>
                  <w:r>
                    <w:rPr>
                      <w:color w:val="auto"/>
                      <w:szCs w:val="21"/>
                    </w:rPr>
                    <w:t>备注</w:t>
                  </w:r>
                </w:p>
              </w:tc>
            </w:tr>
            <w:tr w14:paraId="4AC3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45" w:type="dxa"/>
                  <w:gridSpan w:val="5"/>
                  <w:vAlign w:val="center"/>
                </w:tcPr>
                <w:p w14:paraId="3AB3AF39">
                  <w:pPr>
                    <w:pStyle w:val="52"/>
                    <w:rPr>
                      <w:color w:val="auto"/>
                      <w:szCs w:val="21"/>
                    </w:rPr>
                  </w:pPr>
                  <w:r>
                    <w:rPr>
                      <w:color w:val="auto"/>
                      <w:szCs w:val="21"/>
                    </w:rPr>
                    <w:t>破碎生产线设备</w:t>
                  </w:r>
                </w:p>
              </w:tc>
            </w:tr>
            <w:tr w14:paraId="47F0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6512F050">
                  <w:pPr>
                    <w:pStyle w:val="52"/>
                    <w:rPr>
                      <w:color w:val="auto"/>
                      <w:szCs w:val="21"/>
                    </w:rPr>
                  </w:pPr>
                  <w:r>
                    <w:rPr>
                      <w:color w:val="auto"/>
                      <w:szCs w:val="21"/>
                    </w:rPr>
                    <w:t>给料机</w:t>
                  </w:r>
                </w:p>
              </w:tc>
              <w:tc>
                <w:tcPr>
                  <w:tcW w:w="2325" w:type="dxa"/>
                  <w:vAlign w:val="center"/>
                </w:tcPr>
                <w:p w14:paraId="09CFC3EF">
                  <w:pPr>
                    <w:pStyle w:val="52"/>
                    <w:rPr>
                      <w:color w:val="auto"/>
                      <w:szCs w:val="21"/>
                    </w:rPr>
                  </w:pPr>
                  <w:r>
                    <w:rPr>
                      <w:color w:val="auto"/>
                      <w:szCs w:val="21"/>
                    </w:rPr>
                    <w:t>600×130,480×110</w:t>
                  </w:r>
                </w:p>
              </w:tc>
              <w:tc>
                <w:tcPr>
                  <w:tcW w:w="1643" w:type="dxa"/>
                  <w:vAlign w:val="center"/>
                </w:tcPr>
                <w:p w14:paraId="7B446D77">
                  <w:pPr>
                    <w:pStyle w:val="52"/>
                    <w:rPr>
                      <w:color w:val="auto"/>
                      <w:szCs w:val="21"/>
                    </w:rPr>
                  </w:pPr>
                  <w:r>
                    <w:rPr>
                      <w:color w:val="auto"/>
                      <w:szCs w:val="21"/>
                    </w:rPr>
                    <w:t>台</w:t>
                  </w:r>
                </w:p>
              </w:tc>
              <w:tc>
                <w:tcPr>
                  <w:tcW w:w="1273" w:type="dxa"/>
                  <w:vAlign w:val="center"/>
                </w:tcPr>
                <w:p w14:paraId="5A8FCD49">
                  <w:pPr>
                    <w:pStyle w:val="52"/>
                    <w:rPr>
                      <w:color w:val="auto"/>
                      <w:szCs w:val="21"/>
                    </w:rPr>
                  </w:pPr>
                  <w:r>
                    <w:rPr>
                      <w:color w:val="auto"/>
                      <w:szCs w:val="21"/>
                    </w:rPr>
                    <w:t>2</w:t>
                  </w:r>
                </w:p>
              </w:tc>
              <w:tc>
                <w:tcPr>
                  <w:tcW w:w="1923" w:type="dxa"/>
                  <w:vAlign w:val="center"/>
                </w:tcPr>
                <w:p w14:paraId="1E0EB9E6">
                  <w:pPr>
                    <w:pStyle w:val="52"/>
                    <w:rPr>
                      <w:color w:val="auto"/>
                      <w:szCs w:val="21"/>
                    </w:rPr>
                  </w:pPr>
                  <w:r>
                    <w:rPr>
                      <w:color w:val="auto"/>
                      <w:szCs w:val="21"/>
                    </w:rPr>
                    <w:t>已装好</w:t>
                  </w:r>
                </w:p>
              </w:tc>
            </w:tr>
            <w:tr w14:paraId="2B19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76639555">
                  <w:pPr>
                    <w:pStyle w:val="52"/>
                    <w:rPr>
                      <w:color w:val="auto"/>
                      <w:szCs w:val="21"/>
                    </w:rPr>
                  </w:pPr>
                  <w:r>
                    <w:rPr>
                      <w:color w:val="auto"/>
                      <w:szCs w:val="21"/>
                    </w:rPr>
                    <w:t>G5给料机</w:t>
                  </w:r>
                </w:p>
              </w:tc>
              <w:tc>
                <w:tcPr>
                  <w:tcW w:w="2325" w:type="dxa"/>
                  <w:vAlign w:val="center"/>
                </w:tcPr>
                <w:p w14:paraId="09494E83">
                  <w:pPr>
                    <w:pStyle w:val="52"/>
                    <w:rPr>
                      <w:color w:val="auto"/>
                      <w:szCs w:val="21"/>
                    </w:rPr>
                  </w:pPr>
                  <w:r>
                    <w:rPr>
                      <w:color w:val="auto"/>
                      <w:szCs w:val="21"/>
                    </w:rPr>
                    <w:t>700-1100</w:t>
                  </w:r>
                </w:p>
              </w:tc>
              <w:tc>
                <w:tcPr>
                  <w:tcW w:w="1643" w:type="dxa"/>
                  <w:vAlign w:val="center"/>
                </w:tcPr>
                <w:p w14:paraId="5863B7B3">
                  <w:pPr>
                    <w:pStyle w:val="52"/>
                    <w:rPr>
                      <w:color w:val="auto"/>
                      <w:szCs w:val="21"/>
                    </w:rPr>
                  </w:pPr>
                  <w:r>
                    <w:rPr>
                      <w:color w:val="auto"/>
                      <w:szCs w:val="21"/>
                    </w:rPr>
                    <w:t>台</w:t>
                  </w:r>
                </w:p>
              </w:tc>
              <w:tc>
                <w:tcPr>
                  <w:tcW w:w="1273" w:type="dxa"/>
                  <w:vAlign w:val="center"/>
                </w:tcPr>
                <w:p w14:paraId="0843BF9F">
                  <w:pPr>
                    <w:pStyle w:val="52"/>
                    <w:rPr>
                      <w:color w:val="auto"/>
                      <w:szCs w:val="21"/>
                    </w:rPr>
                  </w:pPr>
                  <w:r>
                    <w:rPr>
                      <w:color w:val="auto"/>
                      <w:szCs w:val="21"/>
                    </w:rPr>
                    <w:t>2</w:t>
                  </w:r>
                </w:p>
              </w:tc>
              <w:tc>
                <w:tcPr>
                  <w:tcW w:w="1923" w:type="dxa"/>
                  <w:vAlign w:val="center"/>
                </w:tcPr>
                <w:p w14:paraId="6639D3DB">
                  <w:pPr>
                    <w:ind w:firstLine="0" w:firstLineChars="0"/>
                    <w:jc w:val="center"/>
                    <w:rPr>
                      <w:rFonts w:cs="Times New Roman"/>
                      <w:sz w:val="21"/>
                      <w:szCs w:val="21"/>
                    </w:rPr>
                  </w:pPr>
                  <w:r>
                    <w:rPr>
                      <w:rFonts w:cs="Times New Roman"/>
                      <w:sz w:val="21"/>
                      <w:szCs w:val="21"/>
                    </w:rPr>
                    <w:t>已装好</w:t>
                  </w:r>
                </w:p>
              </w:tc>
            </w:tr>
            <w:tr w14:paraId="4099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3BD18FDC">
                  <w:pPr>
                    <w:pStyle w:val="52"/>
                    <w:rPr>
                      <w:color w:val="auto"/>
                      <w:szCs w:val="21"/>
                    </w:rPr>
                  </w:pPr>
                  <w:r>
                    <w:rPr>
                      <w:color w:val="auto"/>
                      <w:szCs w:val="21"/>
                    </w:rPr>
                    <w:t>颚式破碎机</w:t>
                  </w:r>
                </w:p>
              </w:tc>
              <w:tc>
                <w:tcPr>
                  <w:tcW w:w="2325" w:type="dxa"/>
                  <w:vAlign w:val="center"/>
                </w:tcPr>
                <w:p w14:paraId="4DB24038">
                  <w:pPr>
                    <w:pStyle w:val="52"/>
                    <w:rPr>
                      <w:color w:val="auto"/>
                      <w:szCs w:val="21"/>
                    </w:rPr>
                  </w:pPr>
                  <w:r>
                    <w:rPr>
                      <w:color w:val="auto"/>
                      <w:szCs w:val="21"/>
                    </w:rPr>
                    <w:t>750×1060，900×1200</w:t>
                  </w:r>
                </w:p>
              </w:tc>
              <w:tc>
                <w:tcPr>
                  <w:tcW w:w="1643" w:type="dxa"/>
                  <w:vAlign w:val="center"/>
                </w:tcPr>
                <w:p w14:paraId="759BFCB8">
                  <w:pPr>
                    <w:pStyle w:val="52"/>
                    <w:rPr>
                      <w:color w:val="auto"/>
                      <w:szCs w:val="21"/>
                    </w:rPr>
                  </w:pPr>
                  <w:r>
                    <w:rPr>
                      <w:color w:val="auto"/>
                      <w:szCs w:val="21"/>
                    </w:rPr>
                    <w:t>台</w:t>
                  </w:r>
                </w:p>
              </w:tc>
              <w:tc>
                <w:tcPr>
                  <w:tcW w:w="1273" w:type="dxa"/>
                  <w:vAlign w:val="center"/>
                </w:tcPr>
                <w:p w14:paraId="5FC42BC1">
                  <w:pPr>
                    <w:pStyle w:val="52"/>
                    <w:rPr>
                      <w:color w:val="auto"/>
                      <w:szCs w:val="21"/>
                    </w:rPr>
                  </w:pPr>
                  <w:r>
                    <w:rPr>
                      <w:color w:val="auto"/>
                      <w:szCs w:val="21"/>
                    </w:rPr>
                    <w:t>2</w:t>
                  </w:r>
                </w:p>
              </w:tc>
              <w:tc>
                <w:tcPr>
                  <w:tcW w:w="1923" w:type="dxa"/>
                  <w:vAlign w:val="center"/>
                </w:tcPr>
                <w:p w14:paraId="20ED52B5">
                  <w:pPr>
                    <w:ind w:firstLine="0" w:firstLineChars="0"/>
                    <w:jc w:val="center"/>
                    <w:rPr>
                      <w:rFonts w:cs="Times New Roman"/>
                      <w:sz w:val="21"/>
                      <w:szCs w:val="21"/>
                    </w:rPr>
                  </w:pPr>
                  <w:r>
                    <w:rPr>
                      <w:rFonts w:cs="Times New Roman"/>
                      <w:sz w:val="21"/>
                      <w:szCs w:val="21"/>
                    </w:rPr>
                    <w:t>已装好</w:t>
                  </w:r>
                </w:p>
              </w:tc>
            </w:tr>
            <w:tr w14:paraId="1D8E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70B8B501">
                  <w:pPr>
                    <w:pStyle w:val="52"/>
                    <w:rPr>
                      <w:color w:val="auto"/>
                      <w:szCs w:val="21"/>
                    </w:rPr>
                  </w:pPr>
                  <w:r>
                    <w:rPr>
                      <w:color w:val="auto"/>
                      <w:szCs w:val="21"/>
                    </w:rPr>
                    <w:t>反击式破碎机</w:t>
                  </w:r>
                </w:p>
              </w:tc>
              <w:tc>
                <w:tcPr>
                  <w:tcW w:w="2325" w:type="dxa"/>
                  <w:vAlign w:val="center"/>
                </w:tcPr>
                <w:p w14:paraId="690A6981">
                  <w:pPr>
                    <w:pStyle w:val="52"/>
                    <w:rPr>
                      <w:color w:val="auto"/>
                      <w:szCs w:val="21"/>
                    </w:rPr>
                  </w:pPr>
                  <w:r>
                    <w:rPr>
                      <w:color w:val="auto"/>
                      <w:szCs w:val="21"/>
                    </w:rPr>
                    <w:t>1315V，1214V</w:t>
                  </w:r>
                </w:p>
              </w:tc>
              <w:tc>
                <w:tcPr>
                  <w:tcW w:w="1643" w:type="dxa"/>
                  <w:vAlign w:val="center"/>
                </w:tcPr>
                <w:p w14:paraId="1114EDD9">
                  <w:pPr>
                    <w:pStyle w:val="52"/>
                    <w:rPr>
                      <w:color w:val="auto"/>
                      <w:szCs w:val="21"/>
                    </w:rPr>
                  </w:pPr>
                  <w:r>
                    <w:rPr>
                      <w:color w:val="auto"/>
                      <w:szCs w:val="21"/>
                    </w:rPr>
                    <w:t>台</w:t>
                  </w:r>
                </w:p>
              </w:tc>
              <w:tc>
                <w:tcPr>
                  <w:tcW w:w="1273" w:type="dxa"/>
                  <w:vAlign w:val="center"/>
                </w:tcPr>
                <w:p w14:paraId="32B17FD1">
                  <w:pPr>
                    <w:pStyle w:val="52"/>
                    <w:rPr>
                      <w:color w:val="auto"/>
                      <w:szCs w:val="21"/>
                    </w:rPr>
                  </w:pPr>
                  <w:r>
                    <w:rPr>
                      <w:color w:val="auto"/>
                      <w:szCs w:val="21"/>
                    </w:rPr>
                    <w:t>4</w:t>
                  </w:r>
                </w:p>
              </w:tc>
              <w:tc>
                <w:tcPr>
                  <w:tcW w:w="1923" w:type="dxa"/>
                  <w:vAlign w:val="center"/>
                </w:tcPr>
                <w:p w14:paraId="1EF270BA">
                  <w:pPr>
                    <w:ind w:firstLine="0" w:firstLineChars="0"/>
                    <w:jc w:val="center"/>
                    <w:rPr>
                      <w:rFonts w:cs="Times New Roman"/>
                      <w:sz w:val="21"/>
                      <w:szCs w:val="21"/>
                    </w:rPr>
                  </w:pPr>
                  <w:r>
                    <w:rPr>
                      <w:rFonts w:cs="Times New Roman"/>
                      <w:sz w:val="21"/>
                      <w:szCs w:val="21"/>
                    </w:rPr>
                    <w:t>已装好</w:t>
                  </w:r>
                </w:p>
              </w:tc>
            </w:tr>
            <w:tr w14:paraId="2D10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1DA6D538">
                  <w:pPr>
                    <w:pStyle w:val="52"/>
                    <w:rPr>
                      <w:color w:val="auto"/>
                      <w:szCs w:val="21"/>
                    </w:rPr>
                  </w:pPr>
                  <w:r>
                    <w:rPr>
                      <w:color w:val="auto"/>
                      <w:szCs w:val="21"/>
                    </w:rPr>
                    <w:t>振动筛</w:t>
                  </w:r>
                </w:p>
              </w:tc>
              <w:tc>
                <w:tcPr>
                  <w:tcW w:w="2325" w:type="dxa"/>
                  <w:vAlign w:val="center"/>
                </w:tcPr>
                <w:p w14:paraId="646E84C7">
                  <w:pPr>
                    <w:pStyle w:val="52"/>
                    <w:rPr>
                      <w:color w:val="auto"/>
                      <w:szCs w:val="21"/>
                    </w:rPr>
                  </w:pPr>
                  <w:r>
                    <w:rPr>
                      <w:color w:val="auto"/>
                      <w:szCs w:val="21"/>
                    </w:rPr>
                    <w:t>2460-4，1548-3,</w:t>
                  </w:r>
                </w:p>
                <w:p w14:paraId="19556D3F">
                  <w:pPr>
                    <w:pStyle w:val="52"/>
                    <w:rPr>
                      <w:color w:val="auto"/>
                      <w:szCs w:val="21"/>
                    </w:rPr>
                  </w:pPr>
                  <w:r>
                    <w:rPr>
                      <w:color w:val="auto"/>
                      <w:szCs w:val="21"/>
                    </w:rPr>
                    <w:t>1.8m×1.8m</w:t>
                  </w:r>
                </w:p>
              </w:tc>
              <w:tc>
                <w:tcPr>
                  <w:tcW w:w="1643" w:type="dxa"/>
                  <w:vAlign w:val="center"/>
                </w:tcPr>
                <w:p w14:paraId="15824BFD">
                  <w:pPr>
                    <w:pStyle w:val="52"/>
                    <w:rPr>
                      <w:color w:val="auto"/>
                      <w:szCs w:val="21"/>
                    </w:rPr>
                  </w:pPr>
                  <w:r>
                    <w:rPr>
                      <w:color w:val="auto"/>
                      <w:szCs w:val="21"/>
                    </w:rPr>
                    <w:t>台</w:t>
                  </w:r>
                </w:p>
              </w:tc>
              <w:tc>
                <w:tcPr>
                  <w:tcW w:w="1273" w:type="dxa"/>
                  <w:vAlign w:val="center"/>
                </w:tcPr>
                <w:p w14:paraId="16697B23">
                  <w:pPr>
                    <w:pStyle w:val="52"/>
                    <w:rPr>
                      <w:color w:val="auto"/>
                      <w:szCs w:val="21"/>
                    </w:rPr>
                  </w:pPr>
                  <w:r>
                    <w:rPr>
                      <w:color w:val="auto"/>
                      <w:szCs w:val="21"/>
                    </w:rPr>
                    <w:t>3</w:t>
                  </w:r>
                </w:p>
              </w:tc>
              <w:tc>
                <w:tcPr>
                  <w:tcW w:w="1923" w:type="dxa"/>
                  <w:vAlign w:val="center"/>
                </w:tcPr>
                <w:p w14:paraId="37600E10">
                  <w:pPr>
                    <w:ind w:firstLine="0" w:firstLineChars="0"/>
                    <w:jc w:val="center"/>
                    <w:rPr>
                      <w:rFonts w:cs="Times New Roman"/>
                      <w:sz w:val="21"/>
                      <w:szCs w:val="21"/>
                    </w:rPr>
                  </w:pPr>
                  <w:r>
                    <w:rPr>
                      <w:rFonts w:cs="Times New Roman"/>
                      <w:sz w:val="21"/>
                      <w:szCs w:val="21"/>
                    </w:rPr>
                    <w:t>已装好</w:t>
                  </w:r>
                </w:p>
              </w:tc>
            </w:tr>
            <w:tr w14:paraId="0FA4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6D9B0BD0">
                  <w:pPr>
                    <w:pStyle w:val="52"/>
                    <w:rPr>
                      <w:color w:val="auto"/>
                      <w:szCs w:val="21"/>
                    </w:rPr>
                  </w:pPr>
                  <w:r>
                    <w:rPr>
                      <w:color w:val="auto"/>
                      <w:szCs w:val="21"/>
                    </w:rPr>
                    <w:t>砂机</w:t>
                  </w:r>
                </w:p>
              </w:tc>
              <w:tc>
                <w:tcPr>
                  <w:tcW w:w="2325" w:type="dxa"/>
                  <w:vAlign w:val="center"/>
                </w:tcPr>
                <w:p w14:paraId="06F0DF7C">
                  <w:pPr>
                    <w:pStyle w:val="52"/>
                    <w:rPr>
                      <w:color w:val="auto"/>
                      <w:szCs w:val="21"/>
                    </w:rPr>
                  </w:pPr>
                  <w:r>
                    <w:rPr>
                      <w:color w:val="auto"/>
                      <w:szCs w:val="21"/>
                    </w:rPr>
                    <w:t>1100×1100</w:t>
                  </w:r>
                </w:p>
              </w:tc>
              <w:tc>
                <w:tcPr>
                  <w:tcW w:w="1643" w:type="dxa"/>
                  <w:vAlign w:val="center"/>
                </w:tcPr>
                <w:p w14:paraId="0281B38F">
                  <w:pPr>
                    <w:pStyle w:val="52"/>
                    <w:rPr>
                      <w:color w:val="auto"/>
                      <w:szCs w:val="21"/>
                    </w:rPr>
                  </w:pPr>
                  <w:r>
                    <w:rPr>
                      <w:color w:val="auto"/>
                      <w:szCs w:val="21"/>
                    </w:rPr>
                    <w:t>台</w:t>
                  </w:r>
                </w:p>
              </w:tc>
              <w:tc>
                <w:tcPr>
                  <w:tcW w:w="1273" w:type="dxa"/>
                  <w:vAlign w:val="center"/>
                </w:tcPr>
                <w:p w14:paraId="04304132">
                  <w:pPr>
                    <w:pStyle w:val="52"/>
                    <w:rPr>
                      <w:color w:val="auto"/>
                      <w:szCs w:val="21"/>
                    </w:rPr>
                  </w:pPr>
                  <w:r>
                    <w:rPr>
                      <w:color w:val="auto"/>
                      <w:szCs w:val="21"/>
                    </w:rPr>
                    <w:t>2</w:t>
                  </w:r>
                </w:p>
              </w:tc>
              <w:tc>
                <w:tcPr>
                  <w:tcW w:w="1923" w:type="dxa"/>
                  <w:vAlign w:val="center"/>
                </w:tcPr>
                <w:p w14:paraId="64B05E38">
                  <w:pPr>
                    <w:ind w:firstLine="0" w:firstLineChars="0"/>
                    <w:jc w:val="center"/>
                    <w:rPr>
                      <w:rFonts w:cs="Times New Roman"/>
                      <w:kern w:val="0"/>
                      <w:sz w:val="21"/>
                      <w:szCs w:val="21"/>
                    </w:rPr>
                  </w:pPr>
                  <w:r>
                    <w:rPr>
                      <w:rFonts w:cs="Times New Roman"/>
                      <w:kern w:val="0"/>
                      <w:sz w:val="21"/>
                      <w:szCs w:val="21"/>
                    </w:rPr>
                    <w:t>已有，待安装</w:t>
                  </w:r>
                </w:p>
              </w:tc>
            </w:tr>
            <w:tr w14:paraId="44BC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76574E53">
                  <w:pPr>
                    <w:pStyle w:val="52"/>
                    <w:rPr>
                      <w:color w:val="auto"/>
                      <w:szCs w:val="21"/>
                    </w:rPr>
                  </w:pPr>
                  <w:r>
                    <w:rPr>
                      <w:color w:val="auto"/>
                      <w:szCs w:val="21"/>
                    </w:rPr>
                    <w:t>空压机</w:t>
                  </w:r>
                </w:p>
              </w:tc>
              <w:tc>
                <w:tcPr>
                  <w:tcW w:w="2325" w:type="dxa"/>
                  <w:vAlign w:val="center"/>
                </w:tcPr>
                <w:p w14:paraId="33085C52">
                  <w:pPr>
                    <w:pStyle w:val="52"/>
                    <w:rPr>
                      <w:color w:val="auto"/>
                      <w:szCs w:val="21"/>
                    </w:rPr>
                  </w:pPr>
                  <w:r>
                    <w:rPr>
                      <w:color w:val="auto"/>
                      <w:szCs w:val="21"/>
                    </w:rPr>
                    <w:t>/</w:t>
                  </w:r>
                </w:p>
              </w:tc>
              <w:tc>
                <w:tcPr>
                  <w:tcW w:w="1643" w:type="dxa"/>
                  <w:vAlign w:val="center"/>
                </w:tcPr>
                <w:p w14:paraId="4AD0DE78">
                  <w:pPr>
                    <w:pStyle w:val="52"/>
                    <w:rPr>
                      <w:color w:val="auto"/>
                      <w:szCs w:val="21"/>
                    </w:rPr>
                  </w:pPr>
                  <w:r>
                    <w:rPr>
                      <w:color w:val="auto"/>
                      <w:szCs w:val="21"/>
                    </w:rPr>
                    <w:t>台</w:t>
                  </w:r>
                </w:p>
              </w:tc>
              <w:tc>
                <w:tcPr>
                  <w:tcW w:w="1273" w:type="dxa"/>
                  <w:vAlign w:val="center"/>
                </w:tcPr>
                <w:p w14:paraId="44FB7A86">
                  <w:pPr>
                    <w:pStyle w:val="52"/>
                    <w:rPr>
                      <w:color w:val="auto"/>
                      <w:szCs w:val="21"/>
                    </w:rPr>
                  </w:pPr>
                  <w:r>
                    <w:rPr>
                      <w:color w:val="auto"/>
                      <w:szCs w:val="21"/>
                    </w:rPr>
                    <w:t>2</w:t>
                  </w:r>
                </w:p>
              </w:tc>
              <w:tc>
                <w:tcPr>
                  <w:tcW w:w="1923" w:type="dxa"/>
                  <w:vAlign w:val="center"/>
                </w:tcPr>
                <w:p w14:paraId="0D96360E">
                  <w:pPr>
                    <w:ind w:firstLine="0" w:firstLineChars="0"/>
                    <w:jc w:val="center"/>
                    <w:rPr>
                      <w:rFonts w:cs="Times New Roman"/>
                      <w:kern w:val="0"/>
                      <w:sz w:val="21"/>
                      <w:szCs w:val="21"/>
                    </w:rPr>
                  </w:pPr>
                  <w:r>
                    <w:rPr>
                      <w:rFonts w:cs="Times New Roman"/>
                      <w:sz w:val="21"/>
                      <w:szCs w:val="21"/>
                    </w:rPr>
                    <w:t>已装好</w:t>
                  </w:r>
                </w:p>
              </w:tc>
            </w:tr>
            <w:tr w14:paraId="4779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45" w:type="dxa"/>
                  <w:gridSpan w:val="5"/>
                  <w:vAlign w:val="center"/>
                </w:tcPr>
                <w:p w14:paraId="0266A935">
                  <w:pPr>
                    <w:pStyle w:val="52"/>
                    <w:rPr>
                      <w:color w:val="auto"/>
                      <w:szCs w:val="21"/>
                    </w:rPr>
                  </w:pPr>
                  <w:r>
                    <w:rPr>
                      <w:color w:val="auto"/>
                      <w:szCs w:val="21"/>
                    </w:rPr>
                    <w:t>开采及其它辅助设备</w:t>
                  </w:r>
                </w:p>
              </w:tc>
            </w:tr>
            <w:tr w14:paraId="319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49CAE571">
                  <w:pPr>
                    <w:pStyle w:val="52"/>
                    <w:rPr>
                      <w:color w:val="auto"/>
                      <w:szCs w:val="21"/>
                    </w:rPr>
                  </w:pPr>
                  <w:r>
                    <w:rPr>
                      <w:color w:val="auto"/>
                      <w:szCs w:val="21"/>
                    </w:rPr>
                    <w:t>潜孔钻</w:t>
                  </w:r>
                </w:p>
              </w:tc>
              <w:tc>
                <w:tcPr>
                  <w:tcW w:w="2325" w:type="dxa"/>
                  <w:vAlign w:val="center"/>
                </w:tcPr>
                <w:p w14:paraId="73EA7850">
                  <w:pPr>
                    <w:pStyle w:val="52"/>
                    <w:rPr>
                      <w:color w:val="auto"/>
                      <w:szCs w:val="21"/>
                    </w:rPr>
                  </w:pPr>
                  <w:r>
                    <w:rPr>
                      <w:color w:val="auto"/>
                      <w:szCs w:val="21"/>
                    </w:rPr>
                    <w:t>SWD165</w:t>
                  </w:r>
                </w:p>
              </w:tc>
              <w:tc>
                <w:tcPr>
                  <w:tcW w:w="1643" w:type="dxa"/>
                  <w:vAlign w:val="center"/>
                </w:tcPr>
                <w:p w14:paraId="21E078A5">
                  <w:pPr>
                    <w:pStyle w:val="52"/>
                    <w:rPr>
                      <w:color w:val="auto"/>
                      <w:szCs w:val="21"/>
                    </w:rPr>
                  </w:pPr>
                  <w:r>
                    <w:rPr>
                      <w:color w:val="auto"/>
                      <w:szCs w:val="21"/>
                    </w:rPr>
                    <w:t>台</w:t>
                  </w:r>
                </w:p>
              </w:tc>
              <w:tc>
                <w:tcPr>
                  <w:tcW w:w="1273" w:type="dxa"/>
                  <w:vAlign w:val="center"/>
                </w:tcPr>
                <w:p w14:paraId="788D36AC">
                  <w:pPr>
                    <w:pStyle w:val="52"/>
                    <w:rPr>
                      <w:color w:val="auto"/>
                      <w:szCs w:val="21"/>
                    </w:rPr>
                  </w:pPr>
                  <w:r>
                    <w:rPr>
                      <w:color w:val="auto"/>
                      <w:szCs w:val="21"/>
                    </w:rPr>
                    <w:t>2</w:t>
                  </w:r>
                </w:p>
              </w:tc>
              <w:tc>
                <w:tcPr>
                  <w:tcW w:w="1923" w:type="dxa"/>
                  <w:vAlign w:val="center"/>
                </w:tcPr>
                <w:p w14:paraId="4E181482">
                  <w:pPr>
                    <w:pStyle w:val="52"/>
                    <w:rPr>
                      <w:color w:val="auto"/>
                      <w:szCs w:val="21"/>
                    </w:rPr>
                  </w:pPr>
                  <w:r>
                    <w:rPr>
                      <w:color w:val="auto"/>
                      <w:szCs w:val="21"/>
                    </w:rPr>
                    <w:t>已有1，新购1</w:t>
                  </w:r>
                </w:p>
              </w:tc>
            </w:tr>
            <w:tr w14:paraId="60A8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781" w:type="dxa"/>
                  <w:vAlign w:val="center"/>
                </w:tcPr>
                <w:p w14:paraId="725608E5">
                  <w:pPr>
                    <w:pStyle w:val="52"/>
                    <w:rPr>
                      <w:color w:val="auto"/>
                      <w:szCs w:val="21"/>
                    </w:rPr>
                  </w:pPr>
                  <w:r>
                    <w:rPr>
                      <w:color w:val="auto"/>
                      <w:szCs w:val="21"/>
                    </w:rPr>
                    <w:t>装载机</w:t>
                  </w:r>
                </w:p>
              </w:tc>
              <w:tc>
                <w:tcPr>
                  <w:tcW w:w="2325" w:type="dxa"/>
                  <w:vAlign w:val="center"/>
                </w:tcPr>
                <w:p w14:paraId="774128FD">
                  <w:pPr>
                    <w:pStyle w:val="52"/>
                    <w:rPr>
                      <w:color w:val="auto"/>
                      <w:szCs w:val="21"/>
                    </w:rPr>
                  </w:pPr>
                  <w:r>
                    <w:rPr>
                      <w:color w:val="auto"/>
                      <w:szCs w:val="21"/>
                    </w:rPr>
                    <w:t>ZL50</w:t>
                  </w:r>
                </w:p>
              </w:tc>
              <w:tc>
                <w:tcPr>
                  <w:tcW w:w="1643" w:type="dxa"/>
                  <w:vAlign w:val="center"/>
                </w:tcPr>
                <w:p w14:paraId="53AD0C82">
                  <w:pPr>
                    <w:pStyle w:val="52"/>
                    <w:rPr>
                      <w:color w:val="auto"/>
                      <w:szCs w:val="21"/>
                    </w:rPr>
                  </w:pPr>
                  <w:r>
                    <w:rPr>
                      <w:color w:val="auto"/>
                      <w:szCs w:val="21"/>
                    </w:rPr>
                    <w:t>辆</w:t>
                  </w:r>
                </w:p>
              </w:tc>
              <w:tc>
                <w:tcPr>
                  <w:tcW w:w="1273" w:type="dxa"/>
                  <w:vAlign w:val="center"/>
                </w:tcPr>
                <w:p w14:paraId="191ADE3D">
                  <w:pPr>
                    <w:pStyle w:val="52"/>
                    <w:rPr>
                      <w:color w:val="auto"/>
                      <w:szCs w:val="21"/>
                    </w:rPr>
                  </w:pPr>
                  <w:r>
                    <w:rPr>
                      <w:color w:val="auto"/>
                      <w:szCs w:val="21"/>
                    </w:rPr>
                    <w:t>2</w:t>
                  </w:r>
                </w:p>
              </w:tc>
              <w:tc>
                <w:tcPr>
                  <w:tcW w:w="1923" w:type="dxa"/>
                  <w:vAlign w:val="center"/>
                </w:tcPr>
                <w:p w14:paraId="086D3D5F">
                  <w:pPr>
                    <w:ind w:firstLine="0" w:firstLineChars="0"/>
                    <w:jc w:val="center"/>
                    <w:rPr>
                      <w:rFonts w:cs="Times New Roman"/>
                      <w:sz w:val="21"/>
                      <w:szCs w:val="21"/>
                    </w:rPr>
                  </w:pPr>
                  <w:r>
                    <w:rPr>
                      <w:rFonts w:cs="Times New Roman"/>
                      <w:sz w:val="21"/>
                      <w:szCs w:val="21"/>
                    </w:rPr>
                    <w:t>已有</w:t>
                  </w:r>
                </w:p>
              </w:tc>
            </w:tr>
            <w:tr w14:paraId="52BC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781" w:type="dxa"/>
                  <w:vAlign w:val="center"/>
                </w:tcPr>
                <w:p w14:paraId="4CA84263">
                  <w:pPr>
                    <w:pStyle w:val="52"/>
                    <w:rPr>
                      <w:color w:val="auto"/>
                      <w:szCs w:val="21"/>
                    </w:rPr>
                  </w:pPr>
                  <w:r>
                    <w:rPr>
                      <w:color w:val="auto"/>
                      <w:szCs w:val="21"/>
                    </w:rPr>
                    <w:t>挖掘机</w:t>
                  </w:r>
                </w:p>
              </w:tc>
              <w:tc>
                <w:tcPr>
                  <w:tcW w:w="2325" w:type="dxa"/>
                  <w:vAlign w:val="center"/>
                </w:tcPr>
                <w:p w14:paraId="40D4AEF1">
                  <w:pPr>
                    <w:widowControl/>
                    <w:ind w:firstLine="0" w:firstLineChars="0"/>
                    <w:jc w:val="center"/>
                    <w:rPr>
                      <w:rFonts w:cs="Times New Roman"/>
                      <w:kern w:val="0"/>
                      <w:sz w:val="21"/>
                      <w:szCs w:val="21"/>
                    </w:rPr>
                  </w:pPr>
                  <w:r>
                    <w:rPr>
                      <w:rFonts w:cs="Times New Roman"/>
                      <w:sz w:val="21"/>
                      <w:szCs w:val="21"/>
                    </w:rPr>
                    <w:t>CED750-7型4.0m</w:t>
                  </w:r>
                  <w:r>
                    <w:rPr>
                      <w:rFonts w:cs="Times New Roman"/>
                      <w:sz w:val="21"/>
                      <w:szCs w:val="21"/>
                      <w:vertAlign w:val="superscript"/>
                    </w:rPr>
                    <w:t>3</w:t>
                  </w:r>
                </w:p>
              </w:tc>
              <w:tc>
                <w:tcPr>
                  <w:tcW w:w="1643" w:type="dxa"/>
                  <w:vAlign w:val="center"/>
                </w:tcPr>
                <w:p w14:paraId="11F6F3FB">
                  <w:pPr>
                    <w:pStyle w:val="52"/>
                    <w:rPr>
                      <w:color w:val="auto"/>
                      <w:szCs w:val="21"/>
                    </w:rPr>
                  </w:pPr>
                  <w:r>
                    <w:rPr>
                      <w:color w:val="auto"/>
                      <w:szCs w:val="21"/>
                    </w:rPr>
                    <w:t>辆</w:t>
                  </w:r>
                </w:p>
              </w:tc>
              <w:tc>
                <w:tcPr>
                  <w:tcW w:w="1273" w:type="dxa"/>
                  <w:vAlign w:val="center"/>
                </w:tcPr>
                <w:p w14:paraId="208744E7">
                  <w:pPr>
                    <w:pStyle w:val="52"/>
                    <w:rPr>
                      <w:color w:val="auto"/>
                      <w:szCs w:val="21"/>
                    </w:rPr>
                  </w:pPr>
                  <w:r>
                    <w:rPr>
                      <w:color w:val="auto"/>
                      <w:szCs w:val="21"/>
                    </w:rPr>
                    <w:t>2</w:t>
                  </w:r>
                </w:p>
              </w:tc>
              <w:tc>
                <w:tcPr>
                  <w:tcW w:w="1923" w:type="dxa"/>
                  <w:vAlign w:val="center"/>
                </w:tcPr>
                <w:p w14:paraId="2808D6FD">
                  <w:pPr>
                    <w:ind w:firstLine="0" w:firstLineChars="0"/>
                    <w:jc w:val="center"/>
                    <w:rPr>
                      <w:rFonts w:cs="Times New Roman"/>
                      <w:sz w:val="21"/>
                      <w:szCs w:val="21"/>
                    </w:rPr>
                  </w:pPr>
                  <w:r>
                    <w:rPr>
                      <w:rFonts w:cs="Times New Roman"/>
                      <w:sz w:val="21"/>
                      <w:szCs w:val="21"/>
                    </w:rPr>
                    <w:t>已有</w:t>
                  </w:r>
                </w:p>
              </w:tc>
            </w:tr>
            <w:tr w14:paraId="6F9A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781" w:type="dxa"/>
                  <w:vAlign w:val="center"/>
                </w:tcPr>
                <w:p w14:paraId="2C8E6E1C">
                  <w:pPr>
                    <w:widowControl/>
                    <w:ind w:firstLine="420"/>
                    <w:rPr>
                      <w:rFonts w:cs="Times New Roman"/>
                      <w:kern w:val="0"/>
                      <w:sz w:val="21"/>
                      <w:szCs w:val="21"/>
                    </w:rPr>
                  </w:pPr>
                  <w:r>
                    <w:rPr>
                      <w:rFonts w:cs="Times New Roman"/>
                      <w:kern w:val="0"/>
                      <w:sz w:val="21"/>
                      <w:szCs w:val="21"/>
                    </w:rPr>
                    <w:t>推土机</w:t>
                  </w:r>
                </w:p>
              </w:tc>
              <w:tc>
                <w:tcPr>
                  <w:tcW w:w="2325" w:type="dxa"/>
                  <w:vAlign w:val="center"/>
                </w:tcPr>
                <w:p w14:paraId="526C1792">
                  <w:pPr>
                    <w:widowControl/>
                    <w:ind w:firstLine="420"/>
                    <w:jc w:val="center"/>
                    <w:rPr>
                      <w:rFonts w:cs="Times New Roman"/>
                      <w:kern w:val="0"/>
                      <w:sz w:val="21"/>
                      <w:szCs w:val="21"/>
                    </w:rPr>
                  </w:pPr>
                  <w:r>
                    <w:rPr>
                      <w:rFonts w:cs="Times New Roman"/>
                      <w:sz w:val="21"/>
                      <w:szCs w:val="21"/>
                    </w:rPr>
                    <w:t>山推TY230A</w:t>
                  </w:r>
                </w:p>
              </w:tc>
              <w:tc>
                <w:tcPr>
                  <w:tcW w:w="1643" w:type="dxa"/>
                  <w:vAlign w:val="center"/>
                </w:tcPr>
                <w:p w14:paraId="7F88E323">
                  <w:pPr>
                    <w:widowControl/>
                    <w:ind w:firstLine="0" w:firstLineChars="0"/>
                    <w:jc w:val="center"/>
                    <w:rPr>
                      <w:rFonts w:cs="Times New Roman"/>
                      <w:kern w:val="0"/>
                      <w:sz w:val="21"/>
                      <w:szCs w:val="21"/>
                    </w:rPr>
                  </w:pPr>
                  <w:r>
                    <w:rPr>
                      <w:rFonts w:cs="Times New Roman"/>
                      <w:kern w:val="0"/>
                      <w:sz w:val="21"/>
                      <w:szCs w:val="21"/>
                    </w:rPr>
                    <w:t>台</w:t>
                  </w:r>
                </w:p>
              </w:tc>
              <w:tc>
                <w:tcPr>
                  <w:tcW w:w="1273" w:type="dxa"/>
                  <w:vAlign w:val="center"/>
                </w:tcPr>
                <w:p w14:paraId="6CD073BD">
                  <w:pPr>
                    <w:pStyle w:val="52"/>
                    <w:rPr>
                      <w:color w:val="auto"/>
                      <w:szCs w:val="21"/>
                    </w:rPr>
                  </w:pPr>
                  <w:r>
                    <w:rPr>
                      <w:color w:val="auto"/>
                      <w:szCs w:val="21"/>
                    </w:rPr>
                    <w:t>1</w:t>
                  </w:r>
                </w:p>
              </w:tc>
              <w:tc>
                <w:tcPr>
                  <w:tcW w:w="1923" w:type="dxa"/>
                  <w:vAlign w:val="center"/>
                </w:tcPr>
                <w:p w14:paraId="4964C3A6">
                  <w:pPr>
                    <w:ind w:firstLine="0" w:firstLineChars="0"/>
                    <w:jc w:val="center"/>
                    <w:rPr>
                      <w:rFonts w:cs="Times New Roman"/>
                      <w:sz w:val="21"/>
                      <w:szCs w:val="21"/>
                    </w:rPr>
                  </w:pPr>
                  <w:r>
                    <w:rPr>
                      <w:rFonts w:cs="Times New Roman"/>
                      <w:sz w:val="21"/>
                      <w:szCs w:val="21"/>
                    </w:rPr>
                    <w:t>已有</w:t>
                  </w:r>
                </w:p>
              </w:tc>
            </w:tr>
            <w:tr w14:paraId="4E8A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223F1F3F">
                  <w:pPr>
                    <w:pStyle w:val="52"/>
                    <w:rPr>
                      <w:color w:val="auto"/>
                      <w:szCs w:val="21"/>
                    </w:rPr>
                  </w:pPr>
                  <w:r>
                    <w:rPr>
                      <w:color w:val="auto"/>
                      <w:szCs w:val="21"/>
                    </w:rPr>
                    <w:t>破碎锤</w:t>
                  </w:r>
                </w:p>
              </w:tc>
              <w:tc>
                <w:tcPr>
                  <w:tcW w:w="2325" w:type="dxa"/>
                  <w:vAlign w:val="center"/>
                </w:tcPr>
                <w:p w14:paraId="7540D32E">
                  <w:pPr>
                    <w:pStyle w:val="52"/>
                    <w:rPr>
                      <w:color w:val="auto"/>
                      <w:szCs w:val="21"/>
                    </w:rPr>
                  </w:pPr>
                  <w:r>
                    <w:rPr>
                      <w:color w:val="auto"/>
                      <w:szCs w:val="21"/>
                    </w:rPr>
                    <w:t>邦立</w:t>
                  </w:r>
                </w:p>
              </w:tc>
              <w:tc>
                <w:tcPr>
                  <w:tcW w:w="1643" w:type="dxa"/>
                  <w:vAlign w:val="center"/>
                </w:tcPr>
                <w:p w14:paraId="52EE8F33">
                  <w:pPr>
                    <w:pStyle w:val="52"/>
                    <w:rPr>
                      <w:color w:val="auto"/>
                      <w:szCs w:val="21"/>
                    </w:rPr>
                  </w:pPr>
                  <w:r>
                    <w:rPr>
                      <w:color w:val="auto"/>
                      <w:szCs w:val="21"/>
                    </w:rPr>
                    <w:t>台</w:t>
                  </w:r>
                </w:p>
              </w:tc>
              <w:tc>
                <w:tcPr>
                  <w:tcW w:w="1273" w:type="dxa"/>
                  <w:vAlign w:val="center"/>
                </w:tcPr>
                <w:p w14:paraId="406D9D79">
                  <w:pPr>
                    <w:pStyle w:val="52"/>
                    <w:rPr>
                      <w:color w:val="auto"/>
                      <w:szCs w:val="21"/>
                    </w:rPr>
                  </w:pPr>
                  <w:r>
                    <w:rPr>
                      <w:color w:val="auto"/>
                      <w:szCs w:val="21"/>
                    </w:rPr>
                    <w:t>2</w:t>
                  </w:r>
                </w:p>
              </w:tc>
              <w:tc>
                <w:tcPr>
                  <w:tcW w:w="1923" w:type="dxa"/>
                  <w:vAlign w:val="center"/>
                </w:tcPr>
                <w:p w14:paraId="73045BD4">
                  <w:pPr>
                    <w:ind w:firstLine="0" w:firstLineChars="0"/>
                    <w:jc w:val="center"/>
                    <w:rPr>
                      <w:rFonts w:cs="Times New Roman"/>
                      <w:sz w:val="21"/>
                      <w:szCs w:val="21"/>
                    </w:rPr>
                  </w:pPr>
                  <w:r>
                    <w:rPr>
                      <w:rFonts w:cs="Times New Roman"/>
                      <w:sz w:val="21"/>
                      <w:szCs w:val="21"/>
                    </w:rPr>
                    <w:t>已有</w:t>
                  </w:r>
                </w:p>
              </w:tc>
            </w:tr>
            <w:tr w14:paraId="395F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049A9A04">
                  <w:pPr>
                    <w:pStyle w:val="52"/>
                    <w:rPr>
                      <w:color w:val="auto"/>
                      <w:szCs w:val="21"/>
                    </w:rPr>
                  </w:pPr>
                  <w:r>
                    <w:rPr>
                      <w:color w:val="auto"/>
                      <w:szCs w:val="21"/>
                    </w:rPr>
                    <w:t>自卸汽车</w:t>
                  </w:r>
                </w:p>
              </w:tc>
              <w:tc>
                <w:tcPr>
                  <w:tcW w:w="2325" w:type="dxa"/>
                  <w:vAlign w:val="center"/>
                </w:tcPr>
                <w:p w14:paraId="2EF3E2FE">
                  <w:pPr>
                    <w:pStyle w:val="52"/>
                    <w:rPr>
                      <w:color w:val="auto"/>
                      <w:szCs w:val="21"/>
                    </w:rPr>
                  </w:pPr>
                  <w:r>
                    <w:rPr>
                      <w:color w:val="auto"/>
                      <w:szCs w:val="21"/>
                    </w:rPr>
                    <w:t>/</w:t>
                  </w:r>
                </w:p>
              </w:tc>
              <w:tc>
                <w:tcPr>
                  <w:tcW w:w="1643" w:type="dxa"/>
                  <w:vAlign w:val="center"/>
                </w:tcPr>
                <w:p w14:paraId="700FAD80">
                  <w:pPr>
                    <w:pStyle w:val="52"/>
                    <w:rPr>
                      <w:color w:val="auto"/>
                      <w:szCs w:val="21"/>
                    </w:rPr>
                  </w:pPr>
                  <w:r>
                    <w:rPr>
                      <w:color w:val="auto"/>
                      <w:szCs w:val="21"/>
                    </w:rPr>
                    <w:t>辆</w:t>
                  </w:r>
                </w:p>
              </w:tc>
              <w:tc>
                <w:tcPr>
                  <w:tcW w:w="1273" w:type="dxa"/>
                  <w:vAlign w:val="center"/>
                </w:tcPr>
                <w:p w14:paraId="7D28F633">
                  <w:pPr>
                    <w:pStyle w:val="52"/>
                    <w:rPr>
                      <w:color w:val="auto"/>
                      <w:szCs w:val="21"/>
                    </w:rPr>
                  </w:pPr>
                  <w:r>
                    <w:rPr>
                      <w:color w:val="auto"/>
                      <w:szCs w:val="21"/>
                    </w:rPr>
                    <w:t>7</w:t>
                  </w:r>
                </w:p>
              </w:tc>
              <w:tc>
                <w:tcPr>
                  <w:tcW w:w="1923" w:type="dxa"/>
                  <w:vAlign w:val="center"/>
                </w:tcPr>
                <w:p w14:paraId="53ADF4DC">
                  <w:pPr>
                    <w:pStyle w:val="52"/>
                    <w:rPr>
                      <w:color w:val="auto"/>
                      <w:szCs w:val="21"/>
                    </w:rPr>
                  </w:pPr>
                  <w:r>
                    <w:rPr>
                      <w:color w:val="auto"/>
                      <w:szCs w:val="21"/>
                    </w:rPr>
                    <w:t>已有6，新购1</w:t>
                  </w:r>
                </w:p>
              </w:tc>
            </w:tr>
            <w:tr w14:paraId="4298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1A95F1A7">
                  <w:pPr>
                    <w:widowControl/>
                    <w:ind w:firstLine="420"/>
                    <w:rPr>
                      <w:rFonts w:cs="Times New Roman"/>
                      <w:kern w:val="0"/>
                      <w:sz w:val="21"/>
                      <w:szCs w:val="21"/>
                    </w:rPr>
                  </w:pPr>
                  <w:r>
                    <w:rPr>
                      <w:rFonts w:cs="Times New Roman"/>
                      <w:kern w:val="0"/>
                      <w:sz w:val="21"/>
                      <w:szCs w:val="21"/>
                    </w:rPr>
                    <w:t>洒水车</w:t>
                  </w:r>
                </w:p>
              </w:tc>
              <w:tc>
                <w:tcPr>
                  <w:tcW w:w="2325" w:type="dxa"/>
                  <w:vAlign w:val="center"/>
                </w:tcPr>
                <w:p w14:paraId="15EDCB81">
                  <w:pPr>
                    <w:widowControl/>
                    <w:ind w:firstLine="199" w:firstLineChars="95"/>
                    <w:jc w:val="center"/>
                    <w:rPr>
                      <w:rFonts w:cs="Times New Roman"/>
                      <w:kern w:val="0"/>
                      <w:sz w:val="21"/>
                      <w:szCs w:val="21"/>
                    </w:rPr>
                  </w:pPr>
                  <w:r>
                    <w:rPr>
                      <w:rFonts w:cs="Times New Roman"/>
                      <w:sz w:val="21"/>
                      <w:szCs w:val="21"/>
                      <w:shd w:val="clear" w:color="auto" w:fill="FFFFFF"/>
                    </w:rPr>
                    <w:t>CLW5080GPSB5</w:t>
                  </w:r>
                </w:p>
              </w:tc>
              <w:tc>
                <w:tcPr>
                  <w:tcW w:w="1643" w:type="dxa"/>
                  <w:vAlign w:val="center"/>
                </w:tcPr>
                <w:p w14:paraId="6F51E93C">
                  <w:pPr>
                    <w:widowControl/>
                    <w:ind w:firstLine="0" w:firstLineChars="0"/>
                    <w:jc w:val="center"/>
                    <w:rPr>
                      <w:rFonts w:cs="Times New Roman"/>
                      <w:kern w:val="0"/>
                      <w:sz w:val="21"/>
                      <w:szCs w:val="21"/>
                    </w:rPr>
                  </w:pPr>
                  <w:r>
                    <w:rPr>
                      <w:rFonts w:cs="Times New Roman"/>
                      <w:kern w:val="0"/>
                      <w:sz w:val="21"/>
                      <w:szCs w:val="21"/>
                    </w:rPr>
                    <w:t>台</w:t>
                  </w:r>
                </w:p>
              </w:tc>
              <w:tc>
                <w:tcPr>
                  <w:tcW w:w="1273" w:type="dxa"/>
                  <w:vAlign w:val="center"/>
                </w:tcPr>
                <w:p w14:paraId="3FAC08BA">
                  <w:pPr>
                    <w:pStyle w:val="52"/>
                    <w:rPr>
                      <w:color w:val="auto"/>
                      <w:szCs w:val="21"/>
                    </w:rPr>
                  </w:pPr>
                  <w:r>
                    <w:rPr>
                      <w:color w:val="auto"/>
                      <w:szCs w:val="21"/>
                    </w:rPr>
                    <w:t>1</w:t>
                  </w:r>
                </w:p>
              </w:tc>
              <w:tc>
                <w:tcPr>
                  <w:tcW w:w="1923" w:type="dxa"/>
                  <w:vAlign w:val="center"/>
                </w:tcPr>
                <w:p w14:paraId="036C1D1B">
                  <w:pPr>
                    <w:pStyle w:val="52"/>
                    <w:rPr>
                      <w:color w:val="FF0000"/>
                      <w:szCs w:val="21"/>
                    </w:rPr>
                  </w:pPr>
                  <w:r>
                    <w:rPr>
                      <w:rFonts w:hint="eastAsia"/>
                      <w:color w:val="FF0000"/>
                      <w:szCs w:val="21"/>
                    </w:rPr>
                    <w:t>已有</w:t>
                  </w:r>
                </w:p>
              </w:tc>
            </w:tr>
            <w:tr w14:paraId="7003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3D1B60CF">
                  <w:pPr>
                    <w:widowControl/>
                    <w:ind w:firstLine="420"/>
                    <w:rPr>
                      <w:rFonts w:cs="Times New Roman"/>
                      <w:kern w:val="0"/>
                      <w:sz w:val="21"/>
                      <w:szCs w:val="21"/>
                    </w:rPr>
                  </w:pPr>
                  <w:r>
                    <w:rPr>
                      <w:rFonts w:cs="Times New Roman"/>
                      <w:kern w:val="0"/>
                      <w:sz w:val="21"/>
                      <w:szCs w:val="21"/>
                    </w:rPr>
                    <w:t>辅助用车</w:t>
                  </w:r>
                </w:p>
              </w:tc>
              <w:tc>
                <w:tcPr>
                  <w:tcW w:w="2325" w:type="dxa"/>
                  <w:vAlign w:val="center"/>
                </w:tcPr>
                <w:p w14:paraId="63C34357">
                  <w:pPr>
                    <w:widowControl/>
                    <w:ind w:firstLine="840" w:firstLineChars="400"/>
                    <w:jc w:val="center"/>
                    <w:rPr>
                      <w:rFonts w:cs="Times New Roman"/>
                      <w:kern w:val="0"/>
                      <w:sz w:val="21"/>
                      <w:szCs w:val="21"/>
                    </w:rPr>
                  </w:pPr>
                  <w:r>
                    <w:rPr>
                      <w:rFonts w:cs="Times New Roman"/>
                      <w:kern w:val="0"/>
                      <w:sz w:val="21"/>
                      <w:szCs w:val="21"/>
                    </w:rPr>
                    <w:t>皮卡</w:t>
                  </w:r>
                </w:p>
              </w:tc>
              <w:tc>
                <w:tcPr>
                  <w:tcW w:w="1643" w:type="dxa"/>
                  <w:vAlign w:val="center"/>
                </w:tcPr>
                <w:p w14:paraId="44999790">
                  <w:pPr>
                    <w:widowControl/>
                    <w:ind w:firstLine="0" w:firstLineChars="0"/>
                    <w:jc w:val="center"/>
                    <w:rPr>
                      <w:rFonts w:cs="Times New Roman"/>
                      <w:kern w:val="0"/>
                      <w:sz w:val="21"/>
                      <w:szCs w:val="21"/>
                    </w:rPr>
                  </w:pPr>
                  <w:r>
                    <w:rPr>
                      <w:rFonts w:cs="Times New Roman"/>
                      <w:kern w:val="0"/>
                      <w:sz w:val="21"/>
                      <w:szCs w:val="21"/>
                    </w:rPr>
                    <w:t>辆</w:t>
                  </w:r>
                </w:p>
              </w:tc>
              <w:tc>
                <w:tcPr>
                  <w:tcW w:w="1273" w:type="dxa"/>
                  <w:vAlign w:val="center"/>
                </w:tcPr>
                <w:p w14:paraId="2CB9F525">
                  <w:pPr>
                    <w:widowControl/>
                    <w:ind w:firstLine="0" w:firstLineChars="0"/>
                    <w:jc w:val="center"/>
                    <w:rPr>
                      <w:rFonts w:cs="Times New Roman"/>
                      <w:kern w:val="0"/>
                      <w:sz w:val="21"/>
                      <w:szCs w:val="21"/>
                    </w:rPr>
                  </w:pPr>
                  <w:r>
                    <w:rPr>
                      <w:rFonts w:cs="Times New Roman"/>
                      <w:kern w:val="0"/>
                      <w:sz w:val="21"/>
                      <w:szCs w:val="21"/>
                    </w:rPr>
                    <w:t>2</w:t>
                  </w:r>
                </w:p>
              </w:tc>
              <w:tc>
                <w:tcPr>
                  <w:tcW w:w="1923" w:type="dxa"/>
                  <w:vAlign w:val="center"/>
                </w:tcPr>
                <w:p w14:paraId="2637F683">
                  <w:pPr>
                    <w:ind w:firstLine="0" w:firstLineChars="0"/>
                    <w:jc w:val="center"/>
                    <w:rPr>
                      <w:rFonts w:cs="Times New Roman"/>
                      <w:sz w:val="21"/>
                      <w:szCs w:val="21"/>
                    </w:rPr>
                  </w:pPr>
                  <w:r>
                    <w:rPr>
                      <w:rFonts w:cs="Times New Roman"/>
                      <w:sz w:val="21"/>
                      <w:szCs w:val="21"/>
                    </w:rPr>
                    <w:t>新购</w:t>
                  </w:r>
                </w:p>
              </w:tc>
            </w:tr>
            <w:tr w14:paraId="7858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1" w:type="dxa"/>
                  <w:vAlign w:val="center"/>
                </w:tcPr>
                <w:p w14:paraId="25DEE031">
                  <w:pPr>
                    <w:pStyle w:val="52"/>
                    <w:rPr>
                      <w:color w:val="FF0000"/>
                      <w:szCs w:val="21"/>
                    </w:rPr>
                  </w:pPr>
                  <w:r>
                    <w:rPr>
                      <w:color w:val="FF0000"/>
                      <w:szCs w:val="21"/>
                    </w:rPr>
                    <w:t>雾炮机</w:t>
                  </w:r>
                </w:p>
              </w:tc>
              <w:tc>
                <w:tcPr>
                  <w:tcW w:w="2325" w:type="dxa"/>
                  <w:vAlign w:val="center"/>
                </w:tcPr>
                <w:p w14:paraId="0EAC0508">
                  <w:pPr>
                    <w:pStyle w:val="52"/>
                    <w:rPr>
                      <w:color w:val="auto"/>
                      <w:szCs w:val="21"/>
                    </w:rPr>
                  </w:pPr>
                  <w:r>
                    <w:rPr>
                      <w:color w:val="auto"/>
                      <w:szCs w:val="21"/>
                    </w:rPr>
                    <w:t>/</w:t>
                  </w:r>
                </w:p>
              </w:tc>
              <w:tc>
                <w:tcPr>
                  <w:tcW w:w="1643" w:type="dxa"/>
                  <w:vAlign w:val="center"/>
                </w:tcPr>
                <w:p w14:paraId="70E42D2E">
                  <w:pPr>
                    <w:pStyle w:val="52"/>
                    <w:rPr>
                      <w:color w:val="auto"/>
                      <w:szCs w:val="21"/>
                    </w:rPr>
                  </w:pPr>
                  <w:r>
                    <w:rPr>
                      <w:color w:val="auto"/>
                      <w:szCs w:val="21"/>
                    </w:rPr>
                    <w:t>台</w:t>
                  </w:r>
                </w:p>
              </w:tc>
              <w:tc>
                <w:tcPr>
                  <w:tcW w:w="1273" w:type="dxa"/>
                  <w:vAlign w:val="center"/>
                </w:tcPr>
                <w:p w14:paraId="16E781DA">
                  <w:pPr>
                    <w:pStyle w:val="52"/>
                    <w:rPr>
                      <w:color w:val="auto"/>
                      <w:szCs w:val="21"/>
                    </w:rPr>
                  </w:pPr>
                  <w:r>
                    <w:rPr>
                      <w:color w:val="auto"/>
                      <w:szCs w:val="21"/>
                    </w:rPr>
                    <w:t>9</w:t>
                  </w:r>
                </w:p>
              </w:tc>
              <w:tc>
                <w:tcPr>
                  <w:tcW w:w="1923" w:type="dxa"/>
                  <w:vAlign w:val="center"/>
                </w:tcPr>
                <w:p w14:paraId="289E4E0E">
                  <w:pPr>
                    <w:ind w:firstLine="0" w:firstLineChars="0"/>
                    <w:jc w:val="center"/>
                    <w:rPr>
                      <w:rFonts w:cs="Times New Roman"/>
                      <w:sz w:val="21"/>
                      <w:szCs w:val="21"/>
                    </w:rPr>
                  </w:pPr>
                  <w:r>
                    <w:rPr>
                      <w:rFonts w:cs="Times New Roman"/>
                      <w:sz w:val="21"/>
                      <w:szCs w:val="21"/>
                    </w:rPr>
                    <w:t>已购</w:t>
                  </w:r>
                </w:p>
              </w:tc>
            </w:tr>
          </w:tbl>
          <w:p w14:paraId="57AB6E25">
            <w:pPr>
              <w:ind w:firstLine="482"/>
              <w:rPr>
                <w:rFonts w:cs="Times New Roman"/>
                <w:b/>
                <w:bCs/>
              </w:rPr>
            </w:pPr>
          </w:p>
          <w:p w14:paraId="6A47317E">
            <w:pPr>
              <w:ind w:firstLine="482"/>
              <w:rPr>
                <w:rFonts w:cs="Times New Roman"/>
                <w:b/>
                <w:bCs/>
              </w:rPr>
            </w:pPr>
            <w:r>
              <w:rPr>
                <w:rFonts w:cs="Times New Roman"/>
                <w:b/>
                <w:bCs/>
              </w:rPr>
              <w:t>9、矿区范围及资源储量</w:t>
            </w:r>
          </w:p>
          <w:p w14:paraId="29832960">
            <w:pPr>
              <w:ind w:firstLine="480"/>
              <w:rPr>
                <w:rFonts w:cs="Times New Roman"/>
                <w:bCs/>
              </w:rPr>
            </w:pPr>
            <w:r>
              <w:rPr>
                <w:rFonts w:cs="Times New Roman"/>
                <w:bCs/>
              </w:rPr>
              <w:t>（1）矿区范围</w:t>
            </w:r>
          </w:p>
          <w:p w14:paraId="338C8FE7">
            <w:pPr>
              <w:ind w:left="9600" w:leftChars="200" w:hanging="9120" w:hangingChars="3800"/>
              <w:rPr>
                <w:rFonts w:cs="Times New Roman"/>
                <w:bCs/>
              </w:rPr>
            </w:pPr>
            <w:r>
              <w:rPr>
                <w:rFonts w:cs="Times New Roman"/>
                <w:bCs/>
              </w:rPr>
              <w:t>本项目矿区面积为0.3744km</w:t>
            </w:r>
            <w:r>
              <w:rPr>
                <w:rFonts w:cs="Times New Roman"/>
                <w:bCs/>
                <w:vertAlign w:val="superscript"/>
              </w:rPr>
              <w:t>2</w:t>
            </w:r>
            <w:r>
              <w:rPr>
                <w:rFonts w:cs="Times New Roman"/>
                <w:bCs/>
              </w:rPr>
              <w:t>，由23个拐点圈定，开采深度为1225m~830m，生产规60</w:t>
            </w:r>
          </w:p>
          <w:p w14:paraId="4745532E">
            <w:pPr>
              <w:ind w:firstLine="0" w:firstLineChars="0"/>
              <w:rPr>
                <w:rFonts w:cs="Times New Roman"/>
                <w:bCs/>
              </w:rPr>
            </w:pPr>
            <w:r>
              <w:rPr>
                <w:rFonts w:cs="Times New Roman"/>
                <w:bCs/>
              </w:rPr>
              <w:t>万吨/年。矿区范围及拐点坐标一览表详见表1-6。</w:t>
            </w:r>
          </w:p>
          <w:p w14:paraId="0D0B5F2C">
            <w:pPr>
              <w:pStyle w:val="31"/>
              <w:rPr>
                <w:rFonts w:cs="Times New Roman"/>
                <w:szCs w:val="24"/>
              </w:rPr>
            </w:pPr>
            <w:r>
              <w:rPr>
                <w:rFonts w:cs="Times New Roman"/>
                <w:szCs w:val="24"/>
              </w:rPr>
              <w:t>表1-6  矿区范围及拐点坐标一览表（西安80）</w:t>
            </w:r>
          </w:p>
          <w:tbl>
            <w:tblPr>
              <w:tblStyle w:val="21"/>
              <w:tblW w:w="850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60"/>
              <w:gridCol w:w="1576"/>
              <w:gridCol w:w="1786"/>
              <w:gridCol w:w="2207"/>
            </w:tblGrid>
            <w:tr w14:paraId="77C665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vMerge w:val="restart"/>
                  <w:tcBorders>
                    <w:top w:val="single" w:color="auto" w:sz="18" w:space="0"/>
                    <w:left w:val="single" w:color="auto" w:sz="18" w:space="0"/>
                    <w:bottom w:val="single" w:color="auto" w:sz="6" w:space="0"/>
                    <w:right w:val="single" w:color="auto" w:sz="6" w:space="0"/>
                  </w:tcBorders>
                </w:tcPr>
                <w:p w14:paraId="00CBD065">
                  <w:pPr>
                    <w:ind w:firstLine="422"/>
                    <w:jc w:val="both"/>
                    <w:rPr>
                      <w:rFonts w:cs="Times New Roman"/>
                      <w:b/>
                      <w:bCs/>
                      <w:kern w:val="0"/>
                      <w:sz w:val="21"/>
                      <w:szCs w:val="21"/>
                    </w:rPr>
                  </w:pPr>
                  <w:r>
                    <w:rPr>
                      <w:rFonts w:cs="Times New Roman"/>
                      <w:b/>
                      <w:bCs/>
                      <w:kern w:val="0"/>
                      <w:sz w:val="21"/>
                      <w:szCs w:val="21"/>
                    </w:rPr>
                    <w:t>点号</w:t>
                  </w:r>
                </w:p>
              </w:tc>
              <w:tc>
                <w:tcPr>
                  <w:tcW w:w="3234" w:type="dxa"/>
                  <w:gridSpan w:val="2"/>
                  <w:tcBorders>
                    <w:top w:val="single" w:color="auto" w:sz="18" w:space="0"/>
                    <w:left w:val="single" w:color="auto" w:sz="6" w:space="0"/>
                    <w:bottom w:val="single" w:color="auto" w:sz="6" w:space="0"/>
                    <w:right w:val="single" w:color="auto" w:sz="6" w:space="0"/>
                  </w:tcBorders>
                </w:tcPr>
                <w:p w14:paraId="08234C23">
                  <w:pPr>
                    <w:widowControl/>
                    <w:ind w:firstLine="422"/>
                    <w:jc w:val="both"/>
                    <w:rPr>
                      <w:rFonts w:cs="Times New Roman"/>
                      <w:b/>
                      <w:bCs/>
                      <w:kern w:val="0"/>
                      <w:sz w:val="21"/>
                      <w:szCs w:val="21"/>
                    </w:rPr>
                  </w:pPr>
                  <w:r>
                    <w:rPr>
                      <w:rFonts w:cs="Times New Roman"/>
                      <w:b/>
                      <w:bCs/>
                      <w:kern w:val="0"/>
                      <w:sz w:val="21"/>
                      <w:szCs w:val="21"/>
                    </w:rPr>
                    <w:t>直角坐标</w:t>
                  </w:r>
                </w:p>
              </w:tc>
              <w:tc>
                <w:tcPr>
                  <w:tcW w:w="3990" w:type="dxa"/>
                  <w:gridSpan w:val="2"/>
                  <w:tcBorders>
                    <w:top w:val="single" w:color="auto" w:sz="18" w:space="0"/>
                    <w:left w:val="single" w:color="auto" w:sz="6" w:space="0"/>
                    <w:bottom w:val="single" w:color="auto" w:sz="6" w:space="0"/>
                    <w:right w:val="single" w:color="auto" w:sz="18" w:space="0"/>
                  </w:tcBorders>
                </w:tcPr>
                <w:p w14:paraId="12B45087">
                  <w:pPr>
                    <w:widowControl/>
                    <w:ind w:firstLine="422"/>
                    <w:jc w:val="both"/>
                    <w:rPr>
                      <w:rFonts w:cs="Times New Roman"/>
                      <w:b/>
                      <w:bCs/>
                      <w:kern w:val="0"/>
                      <w:sz w:val="21"/>
                      <w:szCs w:val="21"/>
                    </w:rPr>
                  </w:pPr>
                  <w:r>
                    <w:rPr>
                      <w:rFonts w:cs="Times New Roman"/>
                      <w:b/>
                      <w:bCs/>
                      <w:kern w:val="0"/>
                      <w:sz w:val="21"/>
                      <w:szCs w:val="21"/>
                    </w:rPr>
                    <w:t>地理坐标</w:t>
                  </w:r>
                </w:p>
              </w:tc>
            </w:tr>
            <w:tr w14:paraId="09B535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vMerge w:val="continue"/>
                  <w:tcBorders>
                    <w:top w:val="single" w:color="auto" w:sz="18" w:space="0"/>
                    <w:left w:val="single" w:color="auto" w:sz="18" w:space="0"/>
                    <w:bottom w:val="single" w:color="auto" w:sz="6" w:space="0"/>
                    <w:right w:val="single" w:color="auto" w:sz="6" w:space="0"/>
                  </w:tcBorders>
                </w:tcPr>
                <w:p w14:paraId="77B374CA">
                  <w:pPr>
                    <w:widowControl/>
                    <w:ind w:firstLine="422"/>
                    <w:jc w:val="both"/>
                    <w:rPr>
                      <w:rFonts w:cs="Times New Roman"/>
                      <w:b/>
                      <w:bCs/>
                      <w:kern w:val="0"/>
                      <w:sz w:val="21"/>
                      <w:szCs w:val="21"/>
                    </w:rPr>
                  </w:pPr>
                </w:p>
              </w:tc>
              <w:tc>
                <w:tcPr>
                  <w:tcW w:w="1659" w:type="dxa"/>
                  <w:tcBorders>
                    <w:top w:val="single" w:color="auto" w:sz="6" w:space="0"/>
                    <w:left w:val="single" w:color="auto" w:sz="6" w:space="0"/>
                    <w:bottom w:val="single" w:color="auto" w:sz="6" w:space="0"/>
                    <w:right w:val="single" w:color="auto" w:sz="6" w:space="0"/>
                  </w:tcBorders>
                </w:tcPr>
                <w:p w14:paraId="05B127C8">
                  <w:pPr>
                    <w:widowControl/>
                    <w:ind w:firstLine="422"/>
                    <w:jc w:val="both"/>
                    <w:rPr>
                      <w:rFonts w:cs="Times New Roman"/>
                      <w:b/>
                      <w:bCs/>
                      <w:kern w:val="0"/>
                      <w:sz w:val="21"/>
                      <w:szCs w:val="21"/>
                    </w:rPr>
                  </w:pPr>
                  <w:r>
                    <w:rPr>
                      <w:rFonts w:cs="Times New Roman"/>
                      <w:b/>
                      <w:bCs/>
                      <w:kern w:val="0"/>
                      <w:sz w:val="21"/>
                      <w:szCs w:val="21"/>
                    </w:rPr>
                    <w:t>X</w:t>
                  </w:r>
                </w:p>
              </w:tc>
              <w:tc>
                <w:tcPr>
                  <w:tcW w:w="1575" w:type="dxa"/>
                  <w:tcBorders>
                    <w:top w:val="single" w:color="auto" w:sz="6" w:space="0"/>
                    <w:left w:val="single" w:color="auto" w:sz="6" w:space="0"/>
                    <w:bottom w:val="single" w:color="auto" w:sz="6" w:space="0"/>
                    <w:right w:val="single" w:color="auto" w:sz="6" w:space="0"/>
                  </w:tcBorders>
                </w:tcPr>
                <w:p w14:paraId="1FC2A0A8">
                  <w:pPr>
                    <w:widowControl/>
                    <w:ind w:firstLine="422"/>
                    <w:jc w:val="both"/>
                    <w:rPr>
                      <w:rFonts w:cs="Times New Roman"/>
                      <w:b/>
                      <w:bCs/>
                      <w:kern w:val="0"/>
                      <w:sz w:val="21"/>
                      <w:szCs w:val="21"/>
                    </w:rPr>
                  </w:pPr>
                  <w:r>
                    <w:rPr>
                      <w:rFonts w:cs="Times New Roman"/>
                      <w:b/>
                      <w:bCs/>
                      <w:kern w:val="0"/>
                      <w:sz w:val="21"/>
                      <w:szCs w:val="21"/>
                    </w:rPr>
                    <w:t>Y</w:t>
                  </w:r>
                </w:p>
              </w:tc>
              <w:tc>
                <w:tcPr>
                  <w:tcW w:w="1785" w:type="dxa"/>
                  <w:tcBorders>
                    <w:top w:val="single" w:color="auto" w:sz="6" w:space="0"/>
                    <w:left w:val="single" w:color="auto" w:sz="6" w:space="0"/>
                    <w:bottom w:val="single" w:color="auto" w:sz="6" w:space="0"/>
                    <w:right w:val="single" w:color="auto" w:sz="6" w:space="0"/>
                  </w:tcBorders>
                </w:tcPr>
                <w:p w14:paraId="4739F8C6">
                  <w:pPr>
                    <w:widowControl/>
                    <w:ind w:firstLine="422"/>
                    <w:jc w:val="both"/>
                    <w:rPr>
                      <w:rFonts w:cs="Times New Roman"/>
                      <w:b/>
                      <w:bCs/>
                      <w:kern w:val="0"/>
                      <w:sz w:val="21"/>
                      <w:szCs w:val="21"/>
                    </w:rPr>
                  </w:pPr>
                  <w:r>
                    <w:rPr>
                      <w:rFonts w:cs="Times New Roman"/>
                      <w:b/>
                      <w:bCs/>
                      <w:kern w:val="0"/>
                      <w:sz w:val="21"/>
                      <w:szCs w:val="21"/>
                    </w:rPr>
                    <w:t>东经</w:t>
                  </w:r>
                </w:p>
              </w:tc>
              <w:tc>
                <w:tcPr>
                  <w:tcW w:w="2205" w:type="dxa"/>
                  <w:tcBorders>
                    <w:top w:val="single" w:color="auto" w:sz="6" w:space="0"/>
                    <w:left w:val="single" w:color="auto" w:sz="6" w:space="0"/>
                    <w:bottom w:val="single" w:color="auto" w:sz="6" w:space="0"/>
                    <w:right w:val="single" w:color="auto" w:sz="18" w:space="0"/>
                  </w:tcBorders>
                </w:tcPr>
                <w:p w14:paraId="16CC437A">
                  <w:pPr>
                    <w:widowControl/>
                    <w:ind w:firstLine="422"/>
                    <w:jc w:val="both"/>
                    <w:rPr>
                      <w:rFonts w:cs="Times New Roman"/>
                      <w:b/>
                      <w:bCs/>
                      <w:kern w:val="0"/>
                      <w:sz w:val="21"/>
                      <w:szCs w:val="21"/>
                    </w:rPr>
                  </w:pPr>
                  <w:r>
                    <w:rPr>
                      <w:rFonts w:cs="Times New Roman"/>
                      <w:b/>
                      <w:bCs/>
                      <w:kern w:val="0"/>
                      <w:sz w:val="21"/>
                      <w:szCs w:val="21"/>
                    </w:rPr>
                    <w:t>北纬</w:t>
                  </w:r>
                </w:p>
              </w:tc>
            </w:tr>
            <w:tr w14:paraId="6E3D2B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3F146452">
                  <w:pPr>
                    <w:widowControl/>
                    <w:ind w:firstLine="420"/>
                    <w:jc w:val="both"/>
                    <w:rPr>
                      <w:rFonts w:cs="Times New Roman"/>
                      <w:kern w:val="0"/>
                      <w:sz w:val="21"/>
                      <w:szCs w:val="21"/>
                    </w:rPr>
                  </w:pPr>
                  <w:r>
                    <w:rPr>
                      <w:rFonts w:cs="Times New Roman"/>
                      <w:kern w:val="0"/>
                      <w:sz w:val="21"/>
                      <w:szCs w:val="21"/>
                    </w:rPr>
                    <w:t>1</w:t>
                  </w:r>
                </w:p>
              </w:tc>
              <w:tc>
                <w:tcPr>
                  <w:tcW w:w="1659" w:type="dxa"/>
                  <w:tcBorders>
                    <w:top w:val="single" w:color="auto" w:sz="6" w:space="0"/>
                    <w:left w:val="single" w:color="auto" w:sz="6" w:space="0"/>
                    <w:bottom w:val="single" w:color="auto" w:sz="6" w:space="0"/>
                    <w:right w:val="single" w:color="auto" w:sz="6" w:space="0"/>
                  </w:tcBorders>
                </w:tcPr>
                <w:p w14:paraId="0E20B884">
                  <w:pPr>
                    <w:widowControl/>
                    <w:ind w:firstLine="420"/>
                    <w:jc w:val="both"/>
                    <w:rPr>
                      <w:rFonts w:cs="Times New Roman"/>
                      <w:kern w:val="0"/>
                      <w:sz w:val="21"/>
                      <w:szCs w:val="21"/>
                    </w:rPr>
                  </w:pPr>
                  <w:r>
                    <w:rPr>
                      <w:rFonts w:cs="Times New Roman"/>
                      <w:kern w:val="0"/>
                      <w:sz w:val="21"/>
                      <w:szCs w:val="21"/>
                    </w:rPr>
                    <w:t>2693560.21</w:t>
                  </w:r>
                </w:p>
              </w:tc>
              <w:tc>
                <w:tcPr>
                  <w:tcW w:w="1575" w:type="dxa"/>
                  <w:tcBorders>
                    <w:top w:val="single" w:color="auto" w:sz="6" w:space="0"/>
                    <w:left w:val="single" w:color="auto" w:sz="6" w:space="0"/>
                    <w:bottom w:val="single" w:color="auto" w:sz="6" w:space="0"/>
                    <w:right w:val="single" w:color="auto" w:sz="6" w:space="0"/>
                  </w:tcBorders>
                </w:tcPr>
                <w:p w14:paraId="4B686EA6">
                  <w:pPr>
                    <w:widowControl/>
                    <w:ind w:firstLine="420"/>
                    <w:jc w:val="both"/>
                    <w:rPr>
                      <w:rFonts w:cs="Times New Roman"/>
                      <w:kern w:val="0"/>
                      <w:sz w:val="21"/>
                      <w:szCs w:val="21"/>
                    </w:rPr>
                  </w:pPr>
                  <w:r>
                    <w:rPr>
                      <w:rFonts w:cs="Times New Roman"/>
                      <w:kern w:val="0"/>
                      <w:sz w:val="21"/>
                      <w:szCs w:val="21"/>
                    </w:rPr>
                    <w:t>33443377.13</w:t>
                  </w:r>
                </w:p>
              </w:tc>
              <w:tc>
                <w:tcPr>
                  <w:tcW w:w="1785" w:type="dxa"/>
                  <w:tcBorders>
                    <w:top w:val="single" w:color="auto" w:sz="6" w:space="0"/>
                    <w:left w:val="single" w:color="auto" w:sz="6" w:space="0"/>
                    <w:bottom w:val="single" w:color="auto" w:sz="6" w:space="0"/>
                    <w:right w:val="single" w:color="auto" w:sz="6" w:space="0"/>
                  </w:tcBorders>
                </w:tcPr>
                <w:p w14:paraId="0A20D7EA">
                  <w:pPr>
                    <w:widowControl/>
                    <w:ind w:firstLine="420"/>
                    <w:jc w:val="both"/>
                    <w:rPr>
                      <w:rFonts w:cs="Times New Roman"/>
                      <w:kern w:val="0"/>
                      <w:sz w:val="21"/>
                      <w:szCs w:val="21"/>
                    </w:rPr>
                  </w:pPr>
                  <w:r>
                    <w:rPr>
                      <w:rFonts w:cs="Times New Roman"/>
                      <w:kern w:val="0"/>
                      <w:sz w:val="21"/>
                      <w:szCs w:val="21"/>
                    </w:rPr>
                    <w:t>098°26′31″</w:t>
                  </w:r>
                </w:p>
              </w:tc>
              <w:tc>
                <w:tcPr>
                  <w:tcW w:w="2205" w:type="dxa"/>
                  <w:tcBorders>
                    <w:top w:val="single" w:color="auto" w:sz="6" w:space="0"/>
                    <w:left w:val="single" w:color="auto" w:sz="6" w:space="0"/>
                    <w:bottom w:val="single" w:color="auto" w:sz="6" w:space="0"/>
                    <w:right w:val="single" w:color="auto" w:sz="18" w:space="0"/>
                  </w:tcBorders>
                </w:tcPr>
                <w:p w14:paraId="322EAFC1">
                  <w:pPr>
                    <w:widowControl/>
                    <w:ind w:firstLine="420"/>
                    <w:jc w:val="both"/>
                    <w:rPr>
                      <w:rFonts w:cs="Times New Roman"/>
                      <w:kern w:val="0"/>
                      <w:sz w:val="21"/>
                      <w:szCs w:val="21"/>
                    </w:rPr>
                  </w:pPr>
                  <w:r>
                    <w:rPr>
                      <w:rFonts w:cs="Times New Roman"/>
                      <w:kern w:val="0"/>
                      <w:sz w:val="21"/>
                      <w:szCs w:val="21"/>
                    </w:rPr>
                    <w:t>24°20′40″</w:t>
                  </w:r>
                </w:p>
              </w:tc>
            </w:tr>
            <w:tr w14:paraId="3F74FA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7615565D">
                  <w:pPr>
                    <w:widowControl/>
                    <w:ind w:firstLine="420"/>
                    <w:jc w:val="both"/>
                    <w:rPr>
                      <w:rFonts w:cs="Times New Roman"/>
                      <w:kern w:val="0"/>
                      <w:sz w:val="21"/>
                      <w:szCs w:val="21"/>
                    </w:rPr>
                  </w:pPr>
                  <w:r>
                    <w:rPr>
                      <w:rFonts w:cs="Times New Roman"/>
                      <w:kern w:val="0"/>
                      <w:sz w:val="21"/>
                      <w:szCs w:val="21"/>
                    </w:rPr>
                    <w:t>2</w:t>
                  </w:r>
                </w:p>
              </w:tc>
              <w:tc>
                <w:tcPr>
                  <w:tcW w:w="1659" w:type="dxa"/>
                  <w:tcBorders>
                    <w:top w:val="single" w:color="auto" w:sz="6" w:space="0"/>
                    <w:left w:val="single" w:color="auto" w:sz="6" w:space="0"/>
                    <w:bottom w:val="single" w:color="auto" w:sz="6" w:space="0"/>
                    <w:right w:val="single" w:color="auto" w:sz="6" w:space="0"/>
                  </w:tcBorders>
                </w:tcPr>
                <w:p w14:paraId="45712EB2">
                  <w:pPr>
                    <w:widowControl/>
                    <w:ind w:firstLine="420"/>
                    <w:jc w:val="both"/>
                    <w:rPr>
                      <w:rFonts w:cs="Times New Roman"/>
                      <w:kern w:val="0"/>
                      <w:sz w:val="21"/>
                      <w:szCs w:val="21"/>
                    </w:rPr>
                  </w:pPr>
                  <w:r>
                    <w:rPr>
                      <w:rFonts w:cs="Times New Roman"/>
                      <w:kern w:val="0"/>
                      <w:sz w:val="21"/>
                      <w:szCs w:val="21"/>
                    </w:rPr>
                    <w:t>2693578.21</w:t>
                  </w:r>
                </w:p>
              </w:tc>
              <w:tc>
                <w:tcPr>
                  <w:tcW w:w="1575" w:type="dxa"/>
                  <w:tcBorders>
                    <w:top w:val="single" w:color="auto" w:sz="6" w:space="0"/>
                    <w:left w:val="single" w:color="auto" w:sz="6" w:space="0"/>
                    <w:bottom w:val="single" w:color="auto" w:sz="6" w:space="0"/>
                    <w:right w:val="single" w:color="auto" w:sz="6" w:space="0"/>
                  </w:tcBorders>
                </w:tcPr>
                <w:p w14:paraId="7713DA16">
                  <w:pPr>
                    <w:widowControl/>
                    <w:ind w:firstLine="420"/>
                    <w:jc w:val="both"/>
                    <w:rPr>
                      <w:rFonts w:cs="Times New Roman"/>
                      <w:kern w:val="0"/>
                      <w:sz w:val="21"/>
                      <w:szCs w:val="21"/>
                    </w:rPr>
                  </w:pPr>
                  <w:r>
                    <w:rPr>
                      <w:rFonts w:cs="Times New Roman"/>
                      <w:kern w:val="0"/>
                      <w:sz w:val="21"/>
                      <w:szCs w:val="21"/>
                    </w:rPr>
                    <w:t>33443305.13</w:t>
                  </w:r>
                </w:p>
              </w:tc>
              <w:tc>
                <w:tcPr>
                  <w:tcW w:w="1785" w:type="dxa"/>
                  <w:tcBorders>
                    <w:top w:val="single" w:color="auto" w:sz="6" w:space="0"/>
                    <w:left w:val="single" w:color="auto" w:sz="6" w:space="0"/>
                    <w:bottom w:val="single" w:color="auto" w:sz="6" w:space="0"/>
                    <w:right w:val="single" w:color="auto" w:sz="6" w:space="0"/>
                  </w:tcBorders>
                </w:tcPr>
                <w:p w14:paraId="20A04CC6">
                  <w:pPr>
                    <w:widowControl/>
                    <w:ind w:firstLine="420"/>
                    <w:jc w:val="both"/>
                    <w:rPr>
                      <w:rFonts w:cs="Times New Roman"/>
                      <w:kern w:val="0"/>
                      <w:sz w:val="21"/>
                      <w:szCs w:val="21"/>
                    </w:rPr>
                  </w:pPr>
                  <w:r>
                    <w:rPr>
                      <w:rFonts w:cs="Times New Roman"/>
                      <w:kern w:val="0"/>
                      <w:sz w:val="21"/>
                      <w:szCs w:val="21"/>
                    </w:rPr>
                    <w:t>098°26′29″</w:t>
                  </w:r>
                </w:p>
              </w:tc>
              <w:tc>
                <w:tcPr>
                  <w:tcW w:w="2205" w:type="dxa"/>
                  <w:tcBorders>
                    <w:top w:val="single" w:color="auto" w:sz="6" w:space="0"/>
                    <w:left w:val="single" w:color="auto" w:sz="6" w:space="0"/>
                    <w:bottom w:val="single" w:color="auto" w:sz="6" w:space="0"/>
                    <w:right w:val="single" w:color="auto" w:sz="18" w:space="0"/>
                  </w:tcBorders>
                </w:tcPr>
                <w:p w14:paraId="0C5EA7DB">
                  <w:pPr>
                    <w:widowControl/>
                    <w:ind w:firstLine="420"/>
                    <w:jc w:val="both"/>
                    <w:rPr>
                      <w:rFonts w:cs="Times New Roman"/>
                      <w:kern w:val="0"/>
                      <w:sz w:val="21"/>
                      <w:szCs w:val="21"/>
                    </w:rPr>
                  </w:pPr>
                  <w:r>
                    <w:rPr>
                      <w:rFonts w:cs="Times New Roman"/>
                      <w:kern w:val="0"/>
                      <w:sz w:val="21"/>
                      <w:szCs w:val="21"/>
                    </w:rPr>
                    <w:t>24°20′41″</w:t>
                  </w:r>
                </w:p>
              </w:tc>
            </w:tr>
            <w:tr w14:paraId="2A7D9A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7E4379D9">
                  <w:pPr>
                    <w:widowControl/>
                    <w:ind w:firstLine="420"/>
                    <w:jc w:val="both"/>
                    <w:rPr>
                      <w:rFonts w:cs="Times New Roman"/>
                      <w:kern w:val="0"/>
                      <w:sz w:val="21"/>
                      <w:szCs w:val="21"/>
                    </w:rPr>
                  </w:pPr>
                  <w:r>
                    <w:rPr>
                      <w:rFonts w:cs="Times New Roman"/>
                      <w:kern w:val="0"/>
                      <w:sz w:val="21"/>
                      <w:szCs w:val="21"/>
                    </w:rPr>
                    <w:t>3</w:t>
                  </w:r>
                </w:p>
              </w:tc>
              <w:tc>
                <w:tcPr>
                  <w:tcW w:w="1659" w:type="dxa"/>
                  <w:tcBorders>
                    <w:top w:val="single" w:color="auto" w:sz="6" w:space="0"/>
                    <w:left w:val="single" w:color="auto" w:sz="6" w:space="0"/>
                    <w:bottom w:val="single" w:color="auto" w:sz="6" w:space="0"/>
                    <w:right w:val="single" w:color="auto" w:sz="6" w:space="0"/>
                  </w:tcBorders>
                </w:tcPr>
                <w:p w14:paraId="40AB7F90">
                  <w:pPr>
                    <w:widowControl/>
                    <w:ind w:firstLine="420"/>
                    <w:jc w:val="both"/>
                    <w:rPr>
                      <w:rFonts w:cs="Times New Roman"/>
                      <w:kern w:val="0"/>
                      <w:sz w:val="21"/>
                      <w:szCs w:val="21"/>
                    </w:rPr>
                  </w:pPr>
                  <w:r>
                    <w:rPr>
                      <w:rFonts w:cs="Times New Roman"/>
                      <w:kern w:val="0"/>
                      <w:sz w:val="21"/>
                      <w:szCs w:val="21"/>
                    </w:rPr>
                    <w:t>2693647.21</w:t>
                  </w:r>
                </w:p>
              </w:tc>
              <w:tc>
                <w:tcPr>
                  <w:tcW w:w="1575" w:type="dxa"/>
                  <w:tcBorders>
                    <w:top w:val="single" w:color="auto" w:sz="6" w:space="0"/>
                    <w:left w:val="single" w:color="auto" w:sz="6" w:space="0"/>
                    <w:bottom w:val="single" w:color="auto" w:sz="6" w:space="0"/>
                    <w:right w:val="single" w:color="auto" w:sz="6" w:space="0"/>
                  </w:tcBorders>
                </w:tcPr>
                <w:p w14:paraId="6B66C79B">
                  <w:pPr>
                    <w:widowControl/>
                    <w:ind w:firstLine="420"/>
                    <w:jc w:val="both"/>
                    <w:rPr>
                      <w:rFonts w:cs="Times New Roman"/>
                      <w:kern w:val="0"/>
                      <w:sz w:val="21"/>
                      <w:szCs w:val="21"/>
                    </w:rPr>
                  </w:pPr>
                  <w:r>
                    <w:rPr>
                      <w:rFonts w:cs="Times New Roman"/>
                      <w:kern w:val="0"/>
                      <w:sz w:val="21"/>
                      <w:szCs w:val="21"/>
                    </w:rPr>
                    <w:t>33443212.13</w:t>
                  </w:r>
                </w:p>
              </w:tc>
              <w:tc>
                <w:tcPr>
                  <w:tcW w:w="1785" w:type="dxa"/>
                  <w:tcBorders>
                    <w:top w:val="single" w:color="auto" w:sz="6" w:space="0"/>
                    <w:left w:val="single" w:color="auto" w:sz="6" w:space="0"/>
                    <w:bottom w:val="single" w:color="auto" w:sz="6" w:space="0"/>
                    <w:right w:val="single" w:color="auto" w:sz="6" w:space="0"/>
                  </w:tcBorders>
                </w:tcPr>
                <w:p w14:paraId="1DC9CF04">
                  <w:pPr>
                    <w:widowControl/>
                    <w:ind w:firstLine="420"/>
                    <w:jc w:val="both"/>
                    <w:rPr>
                      <w:rFonts w:cs="Times New Roman"/>
                      <w:kern w:val="0"/>
                      <w:sz w:val="21"/>
                      <w:szCs w:val="21"/>
                    </w:rPr>
                  </w:pPr>
                  <w:r>
                    <w:rPr>
                      <w:rFonts w:cs="Times New Roman"/>
                      <w:kern w:val="0"/>
                      <w:sz w:val="21"/>
                      <w:szCs w:val="21"/>
                    </w:rPr>
                    <w:t>098°26′25″</w:t>
                  </w:r>
                </w:p>
              </w:tc>
              <w:tc>
                <w:tcPr>
                  <w:tcW w:w="2205" w:type="dxa"/>
                  <w:tcBorders>
                    <w:top w:val="single" w:color="auto" w:sz="6" w:space="0"/>
                    <w:left w:val="single" w:color="auto" w:sz="6" w:space="0"/>
                    <w:bottom w:val="single" w:color="auto" w:sz="6" w:space="0"/>
                    <w:right w:val="single" w:color="auto" w:sz="18" w:space="0"/>
                  </w:tcBorders>
                </w:tcPr>
                <w:p w14:paraId="6EA73D36">
                  <w:pPr>
                    <w:widowControl/>
                    <w:ind w:firstLine="420"/>
                    <w:jc w:val="both"/>
                    <w:rPr>
                      <w:rFonts w:cs="Times New Roman"/>
                      <w:kern w:val="0"/>
                      <w:sz w:val="21"/>
                      <w:szCs w:val="21"/>
                    </w:rPr>
                  </w:pPr>
                  <w:r>
                    <w:rPr>
                      <w:rFonts w:cs="Times New Roman"/>
                      <w:kern w:val="0"/>
                      <w:sz w:val="21"/>
                      <w:szCs w:val="21"/>
                    </w:rPr>
                    <w:t>24°20′43″</w:t>
                  </w:r>
                </w:p>
              </w:tc>
            </w:tr>
            <w:tr w14:paraId="5BA9AC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01C8D70F">
                  <w:pPr>
                    <w:widowControl/>
                    <w:ind w:firstLine="420"/>
                    <w:jc w:val="both"/>
                    <w:rPr>
                      <w:rFonts w:cs="Times New Roman"/>
                      <w:kern w:val="0"/>
                      <w:sz w:val="21"/>
                      <w:szCs w:val="21"/>
                    </w:rPr>
                  </w:pPr>
                  <w:r>
                    <w:rPr>
                      <w:rFonts w:cs="Times New Roman"/>
                      <w:kern w:val="0"/>
                      <w:sz w:val="21"/>
                      <w:szCs w:val="21"/>
                    </w:rPr>
                    <w:t>4</w:t>
                  </w:r>
                </w:p>
              </w:tc>
              <w:tc>
                <w:tcPr>
                  <w:tcW w:w="1659" w:type="dxa"/>
                  <w:tcBorders>
                    <w:top w:val="single" w:color="auto" w:sz="6" w:space="0"/>
                    <w:left w:val="single" w:color="auto" w:sz="6" w:space="0"/>
                    <w:bottom w:val="single" w:color="auto" w:sz="6" w:space="0"/>
                    <w:right w:val="single" w:color="auto" w:sz="6" w:space="0"/>
                  </w:tcBorders>
                </w:tcPr>
                <w:p w14:paraId="1DCF9D56">
                  <w:pPr>
                    <w:widowControl/>
                    <w:ind w:firstLine="420"/>
                    <w:jc w:val="both"/>
                    <w:rPr>
                      <w:rFonts w:cs="Times New Roman"/>
                      <w:kern w:val="0"/>
                      <w:sz w:val="21"/>
                      <w:szCs w:val="21"/>
                    </w:rPr>
                  </w:pPr>
                  <w:r>
                    <w:rPr>
                      <w:rFonts w:cs="Times New Roman"/>
                      <w:kern w:val="0"/>
                      <w:sz w:val="21"/>
                      <w:szCs w:val="21"/>
                    </w:rPr>
                    <w:t>2693832.21</w:t>
                  </w:r>
                </w:p>
              </w:tc>
              <w:tc>
                <w:tcPr>
                  <w:tcW w:w="1575" w:type="dxa"/>
                  <w:tcBorders>
                    <w:top w:val="single" w:color="auto" w:sz="6" w:space="0"/>
                    <w:left w:val="single" w:color="auto" w:sz="6" w:space="0"/>
                    <w:bottom w:val="single" w:color="auto" w:sz="6" w:space="0"/>
                    <w:right w:val="single" w:color="auto" w:sz="6" w:space="0"/>
                  </w:tcBorders>
                </w:tcPr>
                <w:p w14:paraId="393A3B43">
                  <w:pPr>
                    <w:widowControl/>
                    <w:ind w:firstLine="420"/>
                    <w:jc w:val="both"/>
                    <w:rPr>
                      <w:rFonts w:cs="Times New Roman"/>
                      <w:kern w:val="0"/>
                      <w:sz w:val="21"/>
                      <w:szCs w:val="21"/>
                    </w:rPr>
                  </w:pPr>
                  <w:r>
                    <w:rPr>
                      <w:rFonts w:cs="Times New Roman"/>
                      <w:kern w:val="0"/>
                      <w:sz w:val="21"/>
                      <w:szCs w:val="21"/>
                    </w:rPr>
                    <w:t>33443210.13</w:t>
                  </w:r>
                </w:p>
              </w:tc>
              <w:tc>
                <w:tcPr>
                  <w:tcW w:w="1785" w:type="dxa"/>
                  <w:tcBorders>
                    <w:top w:val="single" w:color="auto" w:sz="6" w:space="0"/>
                    <w:left w:val="single" w:color="auto" w:sz="6" w:space="0"/>
                    <w:bottom w:val="single" w:color="auto" w:sz="6" w:space="0"/>
                    <w:right w:val="single" w:color="auto" w:sz="6" w:space="0"/>
                  </w:tcBorders>
                </w:tcPr>
                <w:p w14:paraId="4DCB266D">
                  <w:pPr>
                    <w:widowControl/>
                    <w:ind w:firstLine="420"/>
                    <w:jc w:val="both"/>
                    <w:rPr>
                      <w:rFonts w:cs="Times New Roman"/>
                      <w:kern w:val="0"/>
                      <w:sz w:val="21"/>
                      <w:szCs w:val="21"/>
                    </w:rPr>
                  </w:pPr>
                  <w:r>
                    <w:rPr>
                      <w:rFonts w:cs="Times New Roman"/>
                      <w:kern w:val="0"/>
                      <w:sz w:val="21"/>
                      <w:szCs w:val="21"/>
                    </w:rPr>
                    <w:t>098°26′25″</w:t>
                  </w:r>
                </w:p>
              </w:tc>
              <w:tc>
                <w:tcPr>
                  <w:tcW w:w="2205" w:type="dxa"/>
                  <w:tcBorders>
                    <w:top w:val="single" w:color="auto" w:sz="6" w:space="0"/>
                    <w:left w:val="single" w:color="auto" w:sz="6" w:space="0"/>
                    <w:bottom w:val="single" w:color="auto" w:sz="6" w:space="0"/>
                    <w:right w:val="single" w:color="auto" w:sz="18" w:space="0"/>
                  </w:tcBorders>
                </w:tcPr>
                <w:p w14:paraId="08163BD2">
                  <w:pPr>
                    <w:widowControl/>
                    <w:ind w:firstLine="420"/>
                    <w:jc w:val="both"/>
                    <w:rPr>
                      <w:rFonts w:cs="Times New Roman"/>
                      <w:kern w:val="0"/>
                      <w:sz w:val="21"/>
                      <w:szCs w:val="21"/>
                    </w:rPr>
                  </w:pPr>
                  <w:r>
                    <w:rPr>
                      <w:rFonts w:cs="Times New Roman"/>
                      <w:kern w:val="0"/>
                      <w:sz w:val="21"/>
                      <w:szCs w:val="21"/>
                    </w:rPr>
                    <w:t>24°20′49″</w:t>
                  </w:r>
                </w:p>
              </w:tc>
            </w:tr>
            <w:tr w14:paraId="5B3D7C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360343FB">
                  <w:pPr>
                    <w:widowControl/>
                    <w:ind w:firstLine="420"/>
                    <w:jc w:val="both"/>
                    <w:rPr>
                      <w:rFonts w:cs="Times New Roman"/>
                      <w:kern w:val="0"/>
                      <w:sz w:val="21"/>
                      <w:szCs w:val="21"/>
                    </w:rPr>
                  </w:pPr>
                  <w:r>
                    <w:rPr>
                      <w:rFonts w:cs="Times New Roman"/>
                      <w:kern w:val="0"/>
                      <w:sz w:val="21"/>
                      <w:szCs w:val="21"/>
                    </w:rPr>
                    <w:t>5</w:t>
                  </w:r>
                </w:p>
              </w:tc>
              <w:tc>
                <w:tcPr>
                  <w:tcW w:w="1659" w:type="dxa"/>
                  <w:tcBorders>
                    <w:top w:val="single" w:color="auto" w:sz="6" w:space="0"/>
                    <w:left w:val="single" w:color="auto" w:sz="6" w:space="0"/>
                    <w:bottom w:val="single" w:color="auto" w:sz="6" w:space="0"/>
                    <w:right w:val="single" w:color="auto" w:sz="6" w:space="0"/>
                  </w:tcBorders>
                </w:tcPr>
                <w:p w14:paraId="580D862C">
                  <w:pPr>
                    <w:widowControl/>
                    <w:ind w:firstLine="420"/>
                    <w:jc w:val="both"/>
                    <w:rPr>
                      <w:rFonts w:cs="Times New Roman"/>
                      <w:kern w:val="0"/>
                      <w:sz w:val="21"/>
                      <w:szCs w:val="21"/>
                    </w:rPr>
                  </w:pPr>
                  <w:r>
                    <w:rPr>
                      <w:rFonts w:cs="Times New Roman"/>
                      <w:kern w:val="0"/>
                      <w:sz w:val="21"/>
                      <w:szCs w:val="21"/>
                    </w:rPr>
                    <w:t>2694006.21</w:t>
                  </w:r>
                </w:p>
              </w:tc>
              <w:tc>
                <w:tcPr>
                  <w:tcW w:w="1575" w:type="dxa"/>
                  <w:tcBorders>
                    <w:top w:val="single" w:color="auto" w:sz="6" w:space="0"/>
                    <w:left w:val="single" w:color="auto" w:sz="6" w:space="0"/>
                    <w:bottom w:val="single" w:color="auto" w:sz="6" w:space="0"/>
                    <w:right w:val="single" w:color="auto" w:sz="6" w:space="0"/>
                  </w:tcBorders>
                </w:tcPr>
                <w:p w14:paraId="3BCAF457">
                  <w:pPr>
                    <w:widowControl/>
                    <w:ind w:firstLine="420"/>
                    <w:jc w:val="both"/>
                    <w:rPr>
                      <w:rFonts w:cs="Times New Roman"/>
                      <w:kern w:val="0"/>
                      <w:sz w:val="21"/>
                      <w:szCs w:val="21"/>
                    </w:rPr>
                  </w:pPr>
                  <w:r>
                    <w:rPr>
                      <w:rFonts w:cs="Times New Roman"/>
                      <w:kern w:val="0"/>
                      <w:sz w:val="21"/>
                      <w:szCs w:val="21"/>
                    </w:rPr>
                    <w:t>33443187.12</w:t>
                  </w:r>
                </w:p>
              </w:tc>
              <w:tc>
                <w:tcPr>
                  <w:tcW w:w="1785" w:type="dxa"/>
                  <w:tcBorders>
                    <w:top w:val="single" w:color="auto" w:sz="6" w:space="0"/>
                    <w:left w:val="single" w:color="auto" w:sz="6" w:space="0"/>
                    <w:bottom w:val="single" w:color="auto" w:sz="6" w:space="0"/>
                    <w:right w:val="single" w:color="auto" w:sz="6" w:space="0"/>
                  </w:tcBorders>
                </w:tcPr>
                <w:p w14:paraId="0E825870">
                  <w:pPr>
                    <w:widowControl/>
                    <w:ind w:firstLine="420"/>
                    <w:jc w:val="both"/>
                    <w:rPr>
                      <w:rFonts w:cs="Times New Roman"/>
                      <w:kern w:val="0"/>
                      <w:sz w:val="21"/>
                      <w:szCs w:val="21"/>
                    </w:rPr>
                  </w:pPr>
                  <w:r>
                    <w:rPr>
                      <w:rFonts w:cs="Times New Roman"/>
                      <w:kern w:val="0"/>
                      <w:sz w:val="21"/>
                      <w:szCs w:val="21"/>
                    </w:rPr>
                    <w:t>098°26′25″</w:t>
                  </w:r>
                </w:p>
              </w:tc>
              <w:tc>
                <w:tcPr>
                  <w:tcW w:w="2205" w:type="dxa"/>
                  <w:tcBorders>
                    <w:top w:val="single" w:color="auto" w:sz="6" w:space="0"/>
                    <w:left w:val="single" w:color="auto" w:sz="6" w:space="0"/>
                    <w:bottom w:val="single" w:color="auto" w:sz="6" w:space="0"/>
                    <w:right w:val="single" w:color="auto" w:sz="18" w:space="0"/>
                  </w:tcBorders>
                </w:tcPr>
                <w:p w14:paraId="20E1E90F">
                  <w:pPr>
                    <w:widowControl/>
                    <w:ind w:firstLine="420"/>
                    <w:jc w:val="both"/>
                    <w:rPr>
                      <w:rFonts w:cs="Times New Roman"/>
                      <w:kern w:val="0"/>
                      <w:sz w:val="21"/>
                      <w:szCs w:val="21"/>
                    </w:rPr>
                  </w:pPr>
                  <w:r>
                    <w:rPr>
                      <w:rFonts w:cs="Times New Roman"/>
                      <w:kern w:val="0"/>
                      <w:sz w:val="21"/>
                      <w:szCs w:val="21"/>
                    </w:rPr>
                    <w:t>24°20′55″</w:t>
                  </w:r>
                </w:p>
              </w:tc>
            </w:tr>
            <w:tr w14:paraId="46F0CF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1805FF43">
                  <w:pPr>
                    <w:widowControl/>
                    <w:ind w:firstLine="420"/>
                    <w:jc w:val="both"/>
                    <w:rPr>
                      <w:rFonts w:cs="Times New Roman"/>
                      <w:kern w:val="0"/>
                      <w:sz w:val="21"/>
                      <w:szCs w:val="21"/>
                    </w:rPr>
                  </w:pPr>
                  <w:r>
                    <w:rPr>
                      <w:rFonts w:cs="Times New Roman"/>
                      <w:kern w:val="0"/>
                      <w:sz w:val="21"/>
                      <w:szCs w:val="21"/>
                    </w:rPr>
                    <w:t>6</w:t>
                  </w:r>
                </w:p>
              </w:tc>
              <w:tc>
                <w:tcPr>
                  <w:tcW w:w="1659" w:type="dxa"/>
                  <w:tcBorders>
                    <w:top w:val="single" w:color="auto" w:sz="6" w:space="0"/>
                    <w:left w:val="single" w:color="auto" w:sz="6" w:space="0"/>
                    <w:bottom w:val="single" w:color="auto" w:sz="6" w:space="0"/>
                    <w:right w:val="single" w:color="auto" w:sz="6" w:space="0"/>
                  </w:tcBorders>
                </w:tcPr>
                <w:p w14:paraId="35C8F9B1">
                  <w:pPr>
                    <w:widowControl/>
                    <w:ind w:firstLine="420"/>
                    <w:jc w:val="both"/>
                    <w:rPr>
                      <w:rFonts w:cs="Times New Roman"/>
                      <w:kern w:val="0"/>
                      <w:sz w:val="21"/>
                      <w:szCs w:val="21"/>
                    </w:rPr>
                  </w:pPr>
                  <w:r>
                    <w:rPr>
                      <w:rFonts w:cs="Times New Roman"/>
                      <w:kern w:val="0"/>
                      <w:sz w:val="21"/>
                      <w:szCs w:val="21"/>
                    </w:rPr>
                    <w:t>2694124.22</w:t>
                  </w:r>
                </w:p>
              </w:tc>
              <w:tc>
                <w:tcPr>
                  <w:tcW w:w="1575" w:type="dxa"/>
                  <w:tcBorders>
                    <w:top w:val="single" w:color="auto" w:sz="6" w:space="0"/>
                    <w:left w:val="single" w:color="auto" w:sz="6" w:space="0"/>
                    <w:bottom w:val="single" w:color="auto" w:sz="6" w:space="0"/>
                    <w:right w:val="single" w:color="auto" w:sz="6" w:space="0"/>
                  </w:tcBorders>
                </w:tcPr>
                <w:p w14:paraId="12377F4B">
                  <w:pPr>
                    <w:widowControl/>
                    <w:ind w:firstLine="420"/>
                    <w:jc w:val="both"/>
                    <w:rPr>
                      <w:rFonts w:cs="Times New Roman"/>
                      <w:kern w:val="0"/>
                      <w:sz w:val="21"/>
                      <w:szCs w:val="21"/>
                    </w:rPr>
                  </w:pPr>
                  <w:r>
                    <w:rPr>
                      <w:rFonts w:cs="Times New Roman"/>
                      <w:kern w:val="0"/>
                      <w:sz w:val="21"/>
                      <w:szCs w:val="21"/>
                    </w:rPr>
                    <w:t>33443250.12</w:t>
                  </w:r>
                </w:p>
              </w:tc>
              <w:tc>
                <w:tcPr>
                  <w:tcW w:w="1785" w:type="dxa"/>
                  <w:tcBorders>
                    <w:top w:val="single" w:color="auto" w:sz="6" w:space="0"/>
                    <w:left w:val="single" w:color="auto" w:sz="6" w:space="0"/>
                    <w:bottom w:val="single" w:color="auto" w:sz="6" w:space="0"/>
                    <w:right w:val="single" w:color="auto" w:sz="6" w:space="0"/>
                  </w:tcBorders>
                </w:tcPr>
                <w:p w14:paraId="33A8BB00">
                  <w:pPr>
                    <w:widowControl/>
                    <w:ind w:firstLine="420"/>
                    <w:jc w:val="both"/>
                    <w:rPr>
                      <w:rFonts w:cs="Times New Roman"/>
                      <w:kern w:val="0"/>
                      <w:sz w:val="21"/>
                      <w:szCs w:val="21"/>
                    </w:rPr>
                  </w:pPr>
                  <w:r>
                    <w:rPr>
                      <w:rFonts w:cs="Times New Roman"/>
                      <w:kern w:val="0"/>
                      <w:sz w:val="21"/>
                      <w:szCs w:val="21"/>
                    </w:rPr>
                    <w:t>098°26′27″</w:t>
                  </w:r>
                </w:p>
              </w:tc>
              <w:tc>
                <w:tcPr>
                  <w:tcW w:w="2205" w:type="dxa"/>
                  <w:tcBorders>
                    <w:top w:val="single" w:color="auto" w:sz="6" w:space="0"/>
                    <w:left w:val="single" w:color="auto" w:sz="6" w:space="0"/>
                    <w:bottom w:val="single" w:color="auto" w:sz="6" w:space="0"/>
                    <w:right w:val="single" w:color="auto" w:sz="18" w:space="0"/>
                  </w:tcBorders>
                </w:tcPr>
                <w:p w14:paraId="5000FF09">
                  <w:pPr>
                    <w:widowControl/>
                    <w:ind w:firstLine="420"/>
                    <w:jc w:val="both"/>
                    <w:rPr>
                      <w:rFonts w:cs="Times New Roman"/>
                      <w:kern w:val="0"/>
                      <w:sz w:val="21"/>
                      <w:szCs w:val="21"/>
                    </w:rPr>
                  </w:pPr>
                  <w:r>
                    <w:rPr>
                      <w:rFonts w:cs="Times New Roman"/>
                      <w:kern w:val="0"/>
                      <w:sz w:val="21"/>
                      <w:szCs w:val="21"/>
                    </w:rPr>
                    <w:t>24°20′58″</w:t>
                  </w:r>
                </w:p>
              </w:tc>
            </w:tr>
            <w:tr w14:paraId="66D1FD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5F1D3240">
                  <w:pPr>
                    <w:widowControl/>
                    <w:ind w:firstLine="420"/>
                    <w:jc w:val="both"/>
                    <w:rPr>
                      <w:rFonts w:cs="Times New Roman"/>
                      <w:kern w:val="0"/>
                      <w:sz w:val="21"/>
                      <w:szCs w:val="21"/>
                    </w:rPr>
                  </w:pPr>
                  <w:r>
                    <w:rPr>
                      <w:rFonts w:cs="Times New Roman"/>
                      <w:kern w:val="0"/>
                      <w:sz w:val="21"/>
                      <w:szCs w:val="21"/>
                    </w:rPr>
                    <w:t>7</w:t>
                  </w:r>
                </w:p>
              </w:tc>
              <w:tc>
                <w:tcPr>
                  <w:tcW w:w="1659" w:type="dxa"/>
                  <w:tcBorders>
                    <w:top w:val="single" w:color="auto" w:sz="6" w:space="0"/>
                    <w:left w:val="single" w:color="auto" w:sz="6" w:space="0"/>
                    <w:bottom w:val="single" w:color="auto" w:sz="6" w:space="0"/>
                    <w:right w:val="single" w:color="auto" w:sz="6" w:space="0"/>
                  </w:tcBorders>
                </w:tcPr>
                <w:p w14:paraId="53E2B8B8">
                  <w:pPr>
                    <w:widowControl/>
                    <w:ind w:firstLine="420"/>
                    <w:jc w:val="both"/>
                    <w:rPr>
                      <w:rFonts w:cs="Times New Roman"/>
                      <w:kern w:val="0"/>
                      <w:sz w:val="21"/>
                      <w:szCs w:val="21"/>
                    </w:rPr>
                  </w:pPr>
                  <w:r>
                    <w:rPr>
                      <w:rFonts w:cs="Times New Roman"/>
                      <w:kern w:val="0"/>
                      <w:sz w:val="21"/>
                      <w:szCs w:val="21"/>
                    </w:rPr>
                    <w:t>2694179.22</w:t>
                  </w:r>
                </w:p>
              </w:tc>
              <w:tc>
                <w:tcPr>
                  <w:tcW w:w="1575" w:type="dxa"/>
                  <w:tcBorders>
                    <w:top w:val="single" w:color="auto" w:sz="6" w:space="0"/>
                    <w:left w:val="single" w:color="auto" w:sz="6" w:space="0"/>
                    <w:bottom w:val="single" w:color="auto" w:sz="6" w:space="0"/>
                    <w:right w:val="single" w:color="auto" w:sz="6" w:space="0"/>
                  </w:tcBorders>
                </w:tcPr>
                <w:p w14:paraId="1339BD05">
                  <w:pPr>
                    <w:widowControl/>
                    <w:ind w:firstLine="420"/>
                    <w:jc w:val="both"/>
                    <w:rPr>
                      <w:rFonts w:cs="Times New Roman"/>
                      <w:kern w:val="0"/>
                      <w:sz w:val="21"/>
                      <w:szCs w:val="21"/>
                    </w:rPr>
                  </w:pPr>
                  <w:r>
                    <w:rPr>
                      <w:rFonts w:cs="Times New Roman"/>
                      <w:kern w:val="0"/>
                      <w:sz w:val="21"/>
                      <w:szCs w:val="21"/>
                    </w:rPr>
                    <w:t>33443243.12</w:t>
                  </w:r>
                </w:p>
              </w:tc>
              <w:tc>
                <w:tcPr>
                  <w:tcW w:w="1785" w:type="dxa"/>
                  <w:tcBorders>
                    <w:top w:val="single" w:color="auto" w:sz="6" w:space="0"/>
                    <w:left w:val="single" w:color="auto" w:sz="6" w:space="0"/>
                    <w:bottom w:val="single" w:color="auto" w:sz="6" w:space="0"/>
                    <w:right w:val="single" w:color="auto" w:sz="6" w:space="0"/>
                  </w:tcBorders>
                </w:tcPr>
                <w:p w14:paraId="5BA6D717">
                  <w:pPr>
                    <w:widowControl/>
                    <w:ind w:firstLine="420"/>
                    <w:jc w:val="both"/>
                    <w:rPr>
                      <w:rFonts w:cs="Times New Roman"/>
                      <w:kern w:val="0"/>
                      <w:sz w:val="21"/>
                      <w:szCs w:val="21"/>
                    </w:rPr>
                  </w:pPr>
                  <w:r>
                    <w:rPr>
                      <w:rFonts w:cs="Times New Roman"/>
                      <w:kern w:val="0"/>
                      <w:sz w:val="21"/>
                      <w:szCs w:val="21"/>
                    </w:rPr>
                    <w:t>098°26′26″</w:t>
                  </w:r>
                </w:p>
              </w:tc>
              <w:tc>
                <w:tcPr>
                  <w:tcW w:w="2205" w:type="dxa"/>
                  <w:tcBorders>
                    <w:top w:val="single" w:color="auto" w:sz="6" w:space="0"/>
                    <w:left w:val="single" w:color="auto" w:sz="6" w:space="0"/>
                    <w:bottom w:val="single" w:color="auto" w:sz="6" w:space="0"/>
                    <w:right w:val="single" w:color="auto" w:sz="18" w:space="0"/>
                  </w:tcBorders>
                </w:tcPr>
                <w:p w14:paraId="36697870">
                  <w:pPr>
                    <w:widowControl/>
                    <w:ind w:firstLine="420"/>
                    <w:jc w:val="both"/>
                    <w:rPr>
                      <w:rFonts w:cs="Times New Roman"/>
                      <w:kern w:val="0"/>
                      <w:sz w:val="21"/>
                      <w:szCs w:val="21"/>
                    </w:rPr>
                  </w:pPr>
                  <w:r>
                    <w:rPr>
                      <w:rFonts w:cs="Times New Roman"/>
                      <w:kern w:val="0"/>
                      <w:sz w:val="21"/>
                      <w:szCs w:val="21"/>
                    </w:rPr>
                    <w:t>24°21′00″</w:t>
                  </w:r>
                </w:p>
              </w:tc>
            </w:tr>
            <w:tr w14:paraId="333A22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022481B0">
                  <w:pPr>
                    <w:widowControl/>
                    <w:ind w:firstLine="420"/>
                    <w:jc w:val="both"/>
                    <w:rPr>
                      <w:rFonts w:cs="Times New Roman"/>
                      <w:kern w:val="0"/>
                      <w:sz w:val="21"/>
                      <w:szCs w:val="21"/>
                    </w:rPr>
                  </w:pPr>
                  <w:r>
                    <w:rPr>
                      <w:rFonts w:cs="Times New Roman"/>
                      <w:kern w:val="0"/>
                      <w:sz w:val="21"/>
                      <w:szCs w:val="21"/>
                    </w:rPr>
                    <w:t>8</w:t>
                  </w:r>
                </w:p>
              </w:tc>
              <w:tc>
                <w:tcPr>
                  <w:tcW w:w="1659" w:type="dxa"/>
                  <w:tcBorders>
                    <w:top w:val="single" w:color="auto" w:sz="6" w:space="0"/>
                    <w:left w:val="single" w:color="auto" w:sz="6" w:space="0"/>
                    <w:bottom w:val="single" w:color="auto" w:sz="6" w:space="0"/>
                    <w:right w:val="single" w:color="auto" w:sz="6" w:space="0"/>
                  </w:tcBorders>
                </w:tcPr>
                <w:p w14:paraId="7EA4BF71">
                  <w:pPr>
                    <w:widowControl/>
                    <w:ind w:firstLine="420"/>
                    <w:jc w:val="both"/>
                    <w:rPr>
                      <w:rFonts w:cs="Times New Roman"/>
                      <w:kern w:val="0"/>
                      <w:sz w:val="21"/>
                      <w:szCs w:val="21"/>
                    </w:rPr>
                  </w:pPr>
                  <w:r>
                    <w:rPr>
                      <w:rFonts w:cs="Times New Roman"/>
                      <w:kern w:val="0"/>
                      <w:sz w:val="21"/>
                      <w:szCs w:val="21"/>
                    </w:rPr>
                    <w:t>2694358.21</w:t>
                  </w:r>
                </w:p>
              </w:tc>
              <w:tc>
                <w:tcPr>
                  <w:tcW w:w="1575" w:type="dxa"/>
                  <w:tcBorders>
                    <w:top w:val="single" w:color="auto" w:sz="6" w:space="0"/>
                    <w:left w:val="single" w:color="auto" w:sz="6" w:space="0"/>
                    <w:bottom w:val="single" w:color="auto" w:sz="6" w:space="0"/>
                    <w:right w:val="single" w:color="auto" w:sz="6" w:space="0"/>
                  </w:tcBorders>
                </w:tcPr>
                <w:p w14:paraId="11DA7C04">
                  <w:pPr>
                    <w:widowControl/>
                    <w:ind w:firstLine="420"/>
                    <w:jc w:val="both"/>
                    <w:rPr>
                      <w:rFonts w:cs="Times New Roman"/>
                      <w:kern w:val="0"/>
                      <w:sz w:val="21"/>
                      <w:szCs w:val="21"/>
                    </w:rPr>
                  </w:pPr>
                  <w:r>
                    <w:rPr>
                      <w:rFonts w:cs="Times New Roman"/>
                      <w:kern w:val="0"/>
                      <w:sz w:val="21"/>
                      <w:szCs w:val="21"/>
                    </w:rPr>
                    <w:t>33443120.12</w:t>
                  </w:r>
                </w:p>
              </w:tc>
              <w:tc>
                <w:tcPr>
                  <w:tcW w:w="1785" w:type="dxa"/>
                  <w:tcBorders>
                    <w:top w:val="single" w:color="auto" w:sz="6" w:space="0"/>
                    <w:left w:val="single" w:color="auto" w:sz="6" w:space="0"/>
                    <w:bottom w:val="single" w:color="auto" w:sz="6" w:space="0"/>
                    <w:right w:val="single" w:color="auto" w:sz="6" w:space="0"/>
                  </w:tcBorders>
                </w:tcPr>
                <w:p w14:paraId="5817F4BA">
                  <w:pPr>
                    <w:widowControl/>
                    <w:ind w:firstLine="420"/>
                    <w:jc w:val="both"/>
                    <w:rPr>
                      <w:rFonts w:cs="Times New Roman"/>
                      <w:kern w:val="0"/>
                      <w:sz w:val="21"/>
                      <w:szCs w:val="21"/>
                    </w:rPr>
                  </w:pPr>
                  <w:r>
                    <w:rPr>
                      <w:rFonts w:cs="Times New Roman"/>
                      <w:kern w:val="0"/>
                      <w:sz w:val="21"/>
                      <w:szCs w:val="21"/>
                    </w:rPr>
                    <w:t>098°.26′22″</w:t>
                  </w:r>
                </w:p>
              </w:tc>
              <w:tc>
                <w:tcPr>
                  <w:tcW w:w="2205" w:type="dxa"/>
                  <w:tcBorders>
                    <w:top w:val="single" w:color="auto" w:sz="6" w:space="0"/>
                    <w:left w:val="single" w:color="auto" w:sz="6" w:space="0"/>
                    <w:bottom w:val="single" w:color="auto" w:sz="6" w:space="0"/>
                    <w:right w:val="single" w:color="auto" w:sz="18" w:space="0"/>
                  </w:tcBorders>
                </w:tcPr>
                <w:p w14:paraId="7DE531AC">
                  <w:pPr>
                    <w:widowControl/>
                    <w:ind w:firstLine="420"/>
                    <w:jc w:val="both"/>
                    <w:rPr>
                      <w:rFonts w:cs="Times New Roman"/>
                      <w:kern w:val="0"/>
                      <w:sz w:val="21"/>
                      <w:szCs w:val="21"/>
                    </w:rPr>
                  </w:pPr>
                  <w:r>
                    <w:rPr>
                      <w:rFonts w:cs="Times New Roman"/>
                      <w:kern w:val="0"/>
                      <w:sz w:val="21"/>
                      <w:szCs w:val="21"/>
                    </w:rPr>
                    <w:t>24°21′06″</w:t>
                  </w:r>
                </w:p>
              </w:tc>
            </w:tr>
            <w:tr w14:paraId="770845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760C3319">
                  <w:pPr>
                    <w:widowControl/>
                    <w:ind w:firstLine="420"/>
                    <w:jc w:val="both"/>
                    <w:rPr>
                      <w:rFonts w:cs="Times New Roman"/>
                      <w:kern w:val="0"/>
                      <w:sz w:val="21"/>
                      <w:szCs w:val="21"/>
                    </w:rPr>
                  </w:pPr>
                  <w:r>
                    <w:rPr>
                      <w:rFonts w:cs="Times New Roman"/>
                      <w:kern w:val="0"/>
                      <w:sz w:val="21"/>
                      <w:szCs w:val="21"/>
                    </w:rPr>
                    <w:t>9</w:t>
                  </w:r>
                </w:p>
              </w:tc>
              <w:tc>
                <w:tcPr>
                  <w:tcW w:w="1659" w:type="dxa"/>
                  <w:tcBorders>
                    <w:top w:val="single" w:color="auto" w:sz="6" w:space="0"/>
                    <w:left w:val="single" w:color="auto" w:sz="6" w:space="0"/>
                    <w:bottom w:val="single" w:color="auto" w:sz="6" w:space="0"/>
                    <w:right w:val="single" w:color="auto" w:sz="6" w:space="0"/>
                  </w:tcBorders>
                </w:tcPr>
                <w:p w14:paraId="23C42DA3">
                  <w:pPr>
                    <w:widowControl/>
                    <w:ind w:firstLine="420"/>
                    <w:jc w:val="both"/>
                    <w:rPr>
                      <w:rFonts w:cs="Times New Roman"/>
                      <w:kern w:val="0"/>
                      <w:sz w:val="21"/>
                      <w:szCs w:val="21"/>
                    </w:rPr>
                  </w:pPr>
                  <w:r>
                    <w:rPr>
                      <w:rFonts w:cs="Times New Roman"/>
                      <w:kern w:val="0"/>
                      <w:sz w:val="21"/>
                      <w:szCs w:val="21"/>
                    </w:rPr>
                    <w:t>2694471.22</w:t>
                  </w:r>
                </w:p>
              </w:tc>
              <w:tc>
                <w:tcPr>
                  <w:tcW w:w="1575" w:type="dxa"/>
                  <w:tcBorders>
                    <w:top w:val="single" w:color="auto" w:sz="6" w:space="0"/>
                    <w:left w:val="single" w:color="auto" w:sz="6" w:space="0"/>
                    <w:bottom w:val="single" w:color="auto" w:sz="6" w:space="0"/>
                    <w:right w:val="single" w:color="auto" w:sz="6" w:space="0"/>
                  </w:tcBorders>
                </w:tcPr>
                <w:p w14:paraId="026CABE6">
                  <w:pPr>
                    <w:widowControl/>
                    <w:ind w:firstLine="420"/>
                    <w:jc w:val="both"/>
                    <w:rPr>
                      <w:rFonts w:cs="Times New Roman"/>
                      <w:kern w:val="0"/>
                      <w:sz w:val="21"/>
                      <w:szCs w:val="21"/>
                    </w:rPr>
                  </w:pPr>
                  <w:r>
                    <w:rPr>
                      <w:rFonts w:cs="Times New Roman"/>
                      <w:kern w:val="0"/>
                      <w:sz w:val="21"/>
                      <w:szCs w:val="21"/>
                    </w:rPr>
                    <w:t>33443229.12</w:t>
                  </w:r>
                </w:p>
              </w:tc>
              <w:tc>
                <w:tcPr>
                  <w:tcW w:w="1785" w:type="dxa"/>
                  <w:tcBorders>
                    <w:top w:val="single" w:color="auto" w:sz="6" w:space="0"/>
                    <w:left w:val="single" w:color="auto" w:sz="6" w:space="0"/>
                    <w:bottom w:val="single" w:color="auto" w:sz="6" w:space="0"/>
                    <w:right w:val="single" w:color="auto" w:sz="6" w:space="0"/>
                  </w:tcBorders>
                </w:tcPr>
                <w:p w14:paraId="0F5A92B6">
                  <w:pPr>
                    <w:widowControl/>
                    <w:ind w:firstLine="420"/>
                    <w:jc w:val="both"/>
                    <w:rPr>
                      <w:rFonts w:cs="Times New Roman"/>
                      <w:kern w:val="0"/>
                      <w:sz w:val="21"/>
                      <w:szCs w:val="21"/>
                    </w:rPr>
                  </w:pPr>
                  <w:r>
                    <w:rPr>
                      <w:rFonts w:cs="Times New Roman"/>
                      <w:kern w:val="0"/>
                      <w:sz w:val="21"/>
                      <w:szCs w:val="21"/>
                    </w:rPr>
                    <w:t>098°26′26″</w:t>
                  </w:r>
                </w:p>
              </w:tc>
              <w:tc>
                <w:tcPr>
                  <w:tcW w:w="2205" w:type="dxa"/>
                  <w:tcBorders>
                    <w:top w:val="single" w:color="auto" w:sz="6" w:space="0"/>
                    <w:left w:val="single" w:color="auto" w:sz="6" w:space="0"/>
                    <w:bottom w:val="single" w:color="auto" w:sz="6" w:space="0"/>
                    <w:right w:val="single" w:color="auto" w:sz="18" w:space="0"/>
                  </w:tcBorders>
                </w:tcPr>
                <w:p w14:paraId="0D191AA9">
                  <w:pPr>
                    <w:widowControl/>
                    <w:ind w:firstLine="420"/>
                    <w:jc w:val="both"/>
                    <w:rPr>
                      <w:rFonts w:cs="Times New Roman"/>
                      <w:kern w:val="0"/>
                      <w:sz w:val="21"/>
                      <w:szCs w:val="21"/>
                    </w:rPr>
                  </w:pPr>
                  <w:r>
                    <w:rPr>
                      <w:rFonts w:cs="Times New Roman"/>
                      <w:kern w:val="0"/>
                      <w:sz w:val="21"/>
                      <w:szCs w:val="21"/>
                    </w:rPr>
                    <w:t>24°21′10″</w:t>
                  </w:r>
                </w:p>
              </w:tc>
            </w:tr>
            <w:tr w14:paraId="16D1E1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61DCD0ED">
                  <w:pPr>
                    <w:widowControl/>
                    <w:ind w:firstLine="420"/>
                    <w:jc w:val="both"/>
                    <w:rPr>
                      <w:rFonts w:cs="Times New Roman"/>
                      <w:kern w:val="0"/>
                      <w:sz w:val="21"/>
                      <w:szCs w:val="21"/>
                    </w:rPr>
                  </w:pPr>
                  <w:r>
                    <w:rPr>
                      <w:rFonts w:cs="Times New Roman"/>
                      <w:kern w:val="0"/>
                      <w:sz w:val="21"/>
                      <w:szCs w:val="21"/>
                    </w:rPr>
                    <w:t>10</w:t>
                  </w:r>
                </w:p>
              </w:tc>
              <w:tc>
                <w:tcPr>
                  <w:tcW w:w="1659" w:type="dxa"/>
                  <w:tcBorders>
                    <w:top w:val="single" w:color="auto" w:sz="6" w:space="0"/>
                    <w:left w:val="single" w:color="auto" w:sz="6" w:space="0"/>
                    <w:bottom w:val="single" w:color="auto" w:sz="6" w:space="0"/>
                    <w:right w:val="single" w:color="auto" w:sz="6" w:space="0"/>
                  </w:tcBorders>
                </w:tcPr>
                <w:p w14:paraId="2CBE3790">
                  <w:pPr>
                    <w:widowControl/>
                    <w:ind w:firstLine="420"/>
                    <w:jc w:val="both"/>
                    <w:rPr>
                      <w:rFonts w:cs="Times New Roman"/>
                      <w:kern w:val="0"/>
                      <w:sz w:val="21"/>
                      <w:szCs w:val="21"/>
                    </w:rPr>
                  </w:pPr>
                  <w:r>
                    <w:rPr>
                      <w:rFonts w:cs="Times New Roman"/>
                      <w:kern w:val="0"/>
                      <w:sz w:val="21"/>
                      <w:szCs w:val="21"/>
                    </w:rPr>
                    <w:t>2694506.22</w:t>
                  </w:r>
                </w:p>
              </w:tc>
              <w:tc>
                <w:tcPr>
                  <w:tcW w:w="1575" w:type="dxa"/>
                  <w:tcBorders>
                    <w:top w:val="single" w:color="auto" w:sz="6" w:space="0"/>
                    <w:left w:val="single" w:color="auto" w:sz="6" w:space="0"/>
                    <w:bottom w:val="single" w:color="auto" w:sz="6" w:space="0"/>
                    <w:right w:val="single" w:color="auto" w:sz="6" w:space="0"/>
                  </w:tcBorders>
                </w:tcPr>
                <w:p w14:paraId="19A34EA6">
                  <w:pPr>
                    <w:widowControl/>
                    <w:ind w:firstLine="420"/>
                    <w:jc w:val="both"/>
                    <w:rPr>
                      <w:rFonts w:cs="Times New Roman"/>
                      <w:kern w:val="0"/>
                      <w:sz w:val="21"/>
                      <w:szCs w:val="21"/>
                    </w:rPr>
                  </w:pPr>
                  <w:r>
                    <w:rPr>
                      <w:rFonts w:cs="Times New Roman"/>
                      <w:kern w:val="0"/>
                      <w:sz w:val="21"/>
                      <w:szCs w:val="21"/>
                    </w:rPr>
                    <w:t>33443372.12</w:t>
                  </w:r>
                </w:p>
              </w:tc>
              <w:tc>
                <w:tcPr>
                  <w:tcW w:w="1785" w:type="dxa"/>
                  <w:tcBorders>
                    <w:top w:val="single" w:color="auto" w:sz="6" w:space="0"/>
                    <w:left w:val="single" w:color="auto" w:sz="6" w:space="0"/>
                    <w:bottom w:val="single" w:color="auto" w:sz="6" w:space="0"/>
                    <w:right w:val="single" w:color="auto" w:sz="6" w:space="0"/>
                  </w:tcBorders>
                </w:tcPr>
                <w:p w14:paraId="5056DEEF">
                  <w:pPr>
                    <w:widowControl/>
                    <w:ind w:firstLine="420"/>
                    <w:jc w:val="both"/>
                    <w:rPr>
                      <w:rFonts w:cs="Times New Roman"/>
                      <w:kern w:val="0"/>
                      <w:sz w:val="21"/>
                      <w:szCs w:val="21"/>
                    </w:rPr>
                  </w:pPr>
                  <w:r>
                    <w:rPr>
                      <w:rFonts w:cs="Times New Roman"/>
                      <w:kern w:val="0"/>
                      <w:sz w:val="21"/>
                      <w:szCs w:val="21"/>
                    </w:rPr>
                    <w:t>098°26′31″</w:t>
                  </w:r>
                </w:p>
              </w:tc>
              <w:tc>
                <w:tcPr>
                  <w:tcW w:w="2205" w:type="dxa"/>
                  <w:tcBorders>
                    <w:top w:val="single" w:color="auto" w:sz="6" w:space="0"/>
                    <w:left w:val="single" w:color="auto" w:sz="6" w:space="0"/>
                    <w:bottom w:val="single" w:color="auto" w:sz="6" w:space="0"/>
                    <w:right w:val="single" w:color="auto" w:sz="18" w:space="0"/>
                  </w:tcBorders>
                </w:tcPr>
                <w:p w14:paraId="722F2888">
                  <w:pPr>
                    <w:widowControl/>
                    <w:ind w:firstLine="420"/>
                    <w:jc w:val="both"/>
                    <w:rPr>
                      <w:rFonts w:cs="Times New Roman"/>
                      <w:kern w:val="0"/>
                      <w:sz w:val="21"/>
                      <w:szCs w:val="21"/>
                    </w:rPr>
                  </w:pPr>
                  <w:r>
                    <w:rPr>
                      <w:rFonts w:cs="Times New Roman"/>
                      <w:kern w:val="0"/>
                      <w:sz w:val="21"/>
                      <w:szCs w:val="21"/>
                    </w:rPr>
                    <w:t>24°21′11″</w:t>
                  </w:r>
                </w:p>
              </w:tc>
            </w:tr>
            <w:tr w14:paraId="66DA6C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30C45CCC">
                  <w:pPr>
                    <w:widowControl/>
                    <w:ind w:firstLine="420"/>
                    <w:jc w:val="both"/>
                    <w:rPr>
                      <w:rFonts w:cs="Times New Roman"/>
                      <w:kern w:val="0"/>
                      <w:sz w:val="21"/>
                      <w:szCs w:val="21"/>
                    </w:rPr>
                  </w:pPr>
                  <w:r>
                    <w:rPr>
                      <w:rFonts w:cs="Times New Roman"/>
                      <w:kern w:val="0"/>
                      <w:sz w:val="21"/>
                      <w:szCs w:val="21"/>
                    </w:rPr>
                    <w:t>11</w:t>
                  </w:r>
                </w:p>
              </w:tc>
              <w:tc>
                <w:tcPr>
                  <w:tcW w:w="1659" w:type="dxa"/>
                  <w:tcBorders>
                    <w:top w:val="single" w:color="auto" w:sz="6" w:space="0"/>
                    <w:left w:val="single" w:color="auto" w:sz="6" w:space="0"/>
                    <w:bottom w:val="single" w:color="auto" w:sz="6" w:space="0"/>
                    <w:right w:val="single" w:color="auto" w:sz="6" w:space="0"/>
                  </w:tcBorders>
                </w:tcPr>
                <w:p w14:paraId="1AA2A3CB">
                  <w:pPr>
                    <w:widowControl/>
                    <w:ind w:firstLine="420"/>
                    <w:jc w:val="both"/>
                    <w:rPr>
                      <w:rFonts w:cs="Times New Roman"/>
                      <w:kern w:val="0"/>
                      <w:sz w:val="21"/>
                      <w:szCs w:val="21"/>
                    </w:rPr>
                  </w:pPr>
                  <w:r>
                    <w:rPr>
                      <w:rFonts w:cs="Times New Roman"/>
                      <w:kern w:val="0"/>
                      <w:sz w:val="21"/>
                      <w:szCs w:val="21"/>
                    </w:rPr>
                    <w:t>2694574.22</w:t>
                  </w:r>
                </w:p>
              </w:tc>
              <w:tc>
                <w:tcPr>
                  <w:tcW w:w="1575" w:type="dxa"/>
                  <w:tcBorders>
                    <w:top w:val="single" w:color="auto" w:sz="6" w:space="0"/>
                    <w:left w:val="single" w:color="auto" w:sz="6" w:space="0"/>
                    <w:bottom w:val="single" w:color="auto" w:sz="6" w:space="0"/>
                    <w:right w:val="single" w:color="auto" w:sz="6" w:space="0"/>
                  </w:tcBorders>
                </w:tcPr>
                <w:p w14:paraId="55F56537">
                  <w:pPr>
                    <w:widowControl/>
                    <w:ind w:firstLine="420"/>
                    <w:jc w:val="both"/>
                    <w:rPr>
                      <w:rFonts w:cs="Times New Roman"/>
                      <w:kern w:val="0"/>
                      <w:sz w:val="21"/>
                      <w:szCs w:val="21"/>
                    </w:rPr>
                  </w:pPr>
                  <w:r>
                    <w:rPr>
                      <w:rFonts w:cs="Times New Roman"/>
                      <w:kern w:val="0"/>
                      <w:sz w:val="21"/>
                      <w:szCs w:val="21"/>
                    </w:rPr>
                    <w:t>33443563.12</w:t>
                  </w:r>
                </w:p>
              </w:tc>
              <w:tc>
                <w:tcPr>
                  <w:tcW w:w="1785" w:type="dxa"/>
                  <w:tcBorders>
                    <w:top w:val="single" w:color="auto" w:sz="6" w:space="0"/>
                    <w:left w:val="single" w:color="auto" w:sz="6" w:space="0"/>
                    <w:bottom w:val="single" w:color="auto" w:sz="6" w:space="0"/>
                    <w:right w:val="single" w:color="auto" w:sz="6" w:space="0"/>
                  </w:tcBorders>
                </w:tcPr>
                <w:p w14:paraId="070D8D85">
                  <w:pPr>
                    <w:widowControl/>
                    <w:ind w:firstLine="420"/>
                    <w:jc w:val="both"/>
                    <w:rPr>
                      <w:rFonts w:cs="Times New Roman"/>
                      <w:kern w:val="0"/>
                      <w:sz w:val="21"/>
                      <w:szCs w:val="21"/>
                    </w:rPr>
                  </w:pPr>
                  <w:r>
                    <w:rPr>
                      <w:rFonts w:cs="Times New Roman"/>
                      <w:kern w:val="0"/>
                      <w:sz w:val="21"/>
                      <w:szCs w:val="21"/>
                    </w:rPr>
                    <w:t>098°26′38″</w:t>
                  </w:r>
                </w:p>
              </w:tc>
              <w:tc>
                <w:tcPr>
                  <w:tcW w:w="2205" w:type="dxa"/>
                  <w:tcBorders>
                    <w:top w:val="single" w:color="auto" w:sz="6" w:space="0"/>
                    <w:left w:val="single" w:color="auto" w:sz="6" w:space="0"/>
                    <w:bottom w:val="single" w:color="auto" w:sz="6" w:space="0"/>
                    <w:right w:val="single" w:color="auto" w:sz="18" w:space="0"/>
                  </w:tcBorders>
                </w:tcPr>
                <w:p w14:paraId="12AC0532">
                  <w:pPr>
                    <w:widowControl/>
                    <w:ind w:firstLine="420"/>
                    <w:jc w:val="both"/>
                    <w:rPr>
                      <w:rFonts w:cs="Times New Roman"/>
                      <w:kern w:val="0"/>
                      <w:sz w:val="21"/>
                      <w:szCs w:val="21"/>
                    </w:rPr>
                  </w:pPr>
                  <w:r>
                    <w:rPr>
                      <w:rFonts w:cs="Times New Roman"/>
                      <w:kern w:val="0"/>
                      <w:sz w:val="21"/>
                      <w:szCs w:val="21"/>
                    </w:rPr>
                    <w:t>24°21′13″</w:t>
                  </w:r>
                </w:p>
              </w:tc>
            </w:tr>
            <w:tr w14:paraId="319BC9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4A051A09">
                  <w:pPr>
                    <w:widowControl/>
                    <w:ind w:firstLine="420"/>
                    <w:jc w:val="both"/>
                    <w:rPr>
                      <w:rFonts w:cs="Times New Roman"/>
                      <w:kern w:val="0"/>
                      <w:sz w:val="21"/>
                      <w:szCs w:val="21"/>
                    </w:rPr>
                  </w:pPr>
                  <w:r>
                    <w:rPr>
                      <w:rFonts w:cs="Times New Roman"/>
                      <w:kern w:val="0"/>
                      <w:sz w:val="21"/>
                      <w:szCs w:val="21"/>
                    </w:rPr>
                    <w:t>12</w:t>
                  </w:r>
                </w:p>
              </w:tc>
              <w:tc>
                <w:tcPr>
                  <w:tcW w:w="1659" w:type="dxa"/>
                  <w:tcBorders>
                    <w:top w:val="single" w:color="auto" w:sz="6" w:space="0"/>
                    <w:left w:val="single" w:color="auto" w:sz="6" w:space="0"/>
                    <w:bottom w:val="single" w:color="auto" w:sz="6" w:space="0"/>
                    <w:right w:val="single" w:color="auto" w:sz="6" w:space="0"/>
                  </w:tcBorders>
                </w:tcPr>
                <w:p w14:paraId="2AFC72E8">
                  <w:pPr>
                    <w:widowControl/>
                    <w:ind w:firstLine="420"/>
                    <w:jc w:val="both"/>
                    <w:rPr>
                      <w:rFonts w:cs="Times New Roman"/>
                      <w:kern w:val="0"/>
                      <w:sz w:val="21"/>
                      <w:szCs w:val="21"/>
                    </w:rPr>
                  </w:pPr>
                  <w:r>
                    <w:rPr>
                      <w:rFonts w:cs="Times New Roman"/>
                      <w:kern w:val="0"/>
                      <w:sz w:val="21"/>
                      <w:szCs w:val="21"/>
                    </w:rPr>
                    <w:t>2694544.22</w:t>
                  </w:r>
                </w:p>
              </w:tc>
              <w:tc>
                <w:tcPr>
                  <w:tcW w:w="1575" w:type="dxa"/>
                  <w:tcBorders>
                    <w:top w:val="single" w:color="auto" w:sz="6" w:space="0"/>
                    <w:left w:val="single" w:color="auto" w:sz="6" w:space="0"/>
                    <w:bottom w:val="single" w:color="auto" w:sz="6" w:space="0"/>
                    <w:right w:val="single" w:color="auto" w:sz="6" w:space="0"/>
                  </w:tcBorders>
                </w:tcPr>
                <w:p w14:paraId="36669D17">
                  <w:pPr>
                    <w:widowControl/>
                    <w:ind w:firstLine="420"/>
                    <w:jc w:val="both"/>
                    <w:rPr>
                      <w:rFonts w:cs="Times New Roman"/>
                      <w:kern w:val="0"/>
                      <w:sz w:val="21"/>
                      <w:szCs w:val="21"/>
                    </w:rPr>
                  </w:pPr>
                  <w:r>
                    <w:rPr>
                      <w:rFonts w:cs="Times New Roman"/>
                      <w:kern w:val="0"/>
                      <w:sz w:val="21"/>
                      <w:szCs w:val="21"/>
                    </w:rPr>
                    <w:t>33443596.12</w:t>
                  </w:r>
                </w:p>
              </w:tc>
              <w:tc>
                <w:tcPr>
                  <w:tcW w:w="1785" w:type="dxa"/>
                  <w:tcBorders>
                    <w:top w:val="single" w:color="auto" w:sz="6" w:space="0"/>
                    <w:left w:val="single" w:color="auto" w:sz="6" w:space="0"/>
                    <w:bottom w:val="single" w:color="auto" w:sz="6" w:space="0"/>
                    <w:right w:val="single" w:color="auto" w:sz="6" w:space="0"/>
                  </w:tcBorders>
                </w:tcPr>
                <w:p w14:paraId="6F16FC42">
                  <w:pPr>
                    <w:widowControl/>
                    <w:ind w:firstLine="420"/>
                    <w:jc w:val="both"/>
                    <w:rPr>
                      <w:rFonts w:cs="Times New Roman"/>
                      <w:kern w:val="0"/>
                      <w:sz w:val="21"/>
                      <w:szCs w:val="21"/>
                    </w:rPr>
                  </w:pPr>
                  <w:r>
                    <w:rPr>
                      <w:rFonts w:cs="Times New Roman"/>
                      <w:kern w:val="0"/>
                      <w:sz w:val="21"/>
                      <w:szCs w:val="21"/>
                    </w:rPr>
                    <w:t>098°26′39″</w:t>
                  </w:r>
                </w:p>
              </w:tc>
              <w:tc>
                <w:tcPr>
                  <w:tcW w:w="2205" w:type="dxa"/>
                  <w:tcBorders>
                    <w:top w:val="single" w:color="auto" w:sz="6" w:space="0"/>
                    <w:left w:val="single" w:color="auto" w:sz="6" w:space="0"/>
                    <w:bottom w:val="single" w:color="auto" w:sz="6" w:space="0"/>
                    <w:right w:val="single" w:color="auto" w:sz="18" w:space="0"/>
                  </w:tcBorders>
                </w:tcPr>
                <w:p w14:paraId="23A21B3F">
                  <w:pPr>
                    <w:widowControl/>
                    <w:ind w:firstLine="420"/>
                    <w:jc w:val="both"/>
                    <w:rPr>
                      <w:rFonts w:cs="Times New Roman"/>
                      <w:kern w:val="0"/>
                      <w:sz w:val="21"/>
                      <w:szCs w:val="21"/>
                    </w:rPr>
                  </w:pPr>
                  <w:r>
                    <w:rPr>
                      <w:rFonts w:cs="Times New Roman"/>
                      <w:kern w:val="0"/>
                      <w:sz w:val="21"/>
                      <w:szCs w:val="21"/>
                    </w:rPr>
                    <w:t>24°21′12″</w:t>
                  </w:r>
                </w:p>
              </w:tc>
            </w:tr>
            <w:tr w14:paraId="22284A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3B557941">
                  <w:pPr>
                    <w:widowControl/>
                    <w:ind w:firstLine="420"/>
                    <w:jc w:val="both"/>
                    <w:rPr>
                      <w:rFonts w:cs="Times New Roman"/>
                      <w:kern w:val="0"/>
                      <w:sz w:val="21"/>
                      <w:szCs w:val="21"/>
                    </w:rPr>
                  </w:pPr>
                  <w:r>
                    <w:rPr>
                      <w:rFonts w:cs="Times New Roman"/>
                      <w:kern w:val="0"/>
                      <w:sz w:val="21"/>
                      <w:szCs w:val="21"/>
                    </w:rPr>
                    <w:t>13</w:t>
                  </w:r>
                </w:p>
              </w:tc>
              <w:tc>
                <w:tcPr>
                  <w:tcW w:w="1659" w:type="dxa"/>
                  <w:tcBorders>
                    <w:top w:val="single" w:color="auto" w:sz="6" w:space="0"/>
                    <w:left w:val="single" w:color="auto" w:sz="6" w:space="0"/>
                    <w:bottom w:val="single" w:color="auto" w:sz="6" w:space="0"/>
                    <w:right w:val="single" w:color="auto" w:sz="6" w:space="0"/>
                  </w:tcBorders>
                </w:tcPr>
                <w:p w14:paraId="53321373">
                  <w:pPr>
                    <w:widowControl/>
                    <w:ind w:firstLine="420"/>
                    <w:jc w:val="both"/>
                    <w:rPr>
                      <w:rFonts w:cs="Times New Roman"/>
                      <w:kern w:val="0"/>
                      <w:sz w:val="21"/>
                      <w:szCs w:val="21"/>
                    </w:rPr>
                  </w:pPr>
                  <w:r>
                    <w:rPr>
                      <w:rFonts w:cs="Times New Roman"/>
                      <w:kern w:val="0"/>
                      <w:sz w:val="21"/>
                      <w:szCs w:val="21"/>
                    </w:rPr>
                    <w:t>2694606.22</w:t>
                  </w:r>
                </w:p>
              </w:tc>
              <w:tc>
                <w:tcPr>
                  <w:tcW w:w="1575" w:type="dxa"/>
                  <w:tcBorders>
                    <w:top w:val="single" w:color="auto" w:sz="6" w:space="0"/>
                    <w:left w:val="single" w:color="auto" w:sz="6" w:space="0"/>
                    <w:bottom w:val="single" w:color="auto" w:sz="6" w:space="0"/>
                    <w:right w:val="single" w:color="auto" w:sz="6" w:space="0"/>
                  </w:tcBorders>
                </w:tcPr>
                <w:p w14:paraId="78997A8E">
                  <w:pPr>
                    <w:widowControl/>
                    <w:ind w:firstLine="420"/>
                    <w:jc w:val="both"/>
                    <w:rPr>
                      <w:rFonts w:cs="Times New Roman"/>
                      <w:kern w:val="0"/>
                      <w:sz w:val="21"/>
                      <w:szCs w:val="21"/>
                    </w:rPr>
                  </w:pPr>
                  <w:r>
                    <w:rPr>
                      <w:rFonts w:cs="Times New Roman"/>
                      <w:kern w:val="0"/>
                      <w:sz w:val="21"/>
                      <w:szCs w:val="21"/>
                    </w:rPr>
                    <w:t>33443658.12</w:t>
                  </w:r>
                </w:p>
              </w:tc>
              <w:tc>
                <w:tcPr>
                  <w:tcW w:w="1785" w:type="dxa"/>
                  <w:tcBorders>
                    <w:top w:val="single" w:color="auto" w:sz="6" w:space="0"/>
                    <w:left w:val="single" w:color="auto" w:sz="6" w:space="0"/>
                    <w:bottom w:val="single" w:color="auto" w:sz="6" w:space="0"/>
                    <w:right w:val="single" w:color="auto" w:sz="6" w:space="0"/>
                  </w:tcBorders>
                </w:tcPr>
                <w:p w14:paraId="08EE69BA">
                  <w:pPr>
                    <w:widowControl/>
                    <w:ind w:firstLine="420"/>
                    <w:jc w:val="both"/>
                    <w:rPr>
                      <w:rFonts w:cs="Times New Roman"/>
                      <w:kern w:val="0"/>
                      <w:sz w:val="21"/>
                      <w:szCs w:val="21"/>
                    </w:rPr>
                  </w:pPr>
                  <w:r>
                    <w:rPr>
                      <w:rFonts w:cs="Times New Roman"/>
                      <w:kern w:val="0"/>
                      <w:sz w:val="21"/>
                      <w:szCs w:val="21"/>
                    </w:rPr>
                    <w:t>098°26′41″</w:t>
                  </w:r>
                </w:p>
              </w:tc>
              <w:tc>
                <w:tcPr>
                  <w:tcW w:w="2205" w:type="dxa"/>
                  <w:tcBorders>
                    <w:top w:val="single" w:color="auto" w:sz="6" w:space="0"/>
                    <w:left w:val="single" w:color="auto" w:sz="6" w:space="0"/>
                    <w:bottom w:val="single" w:color="auto" w:sz="6" w:space="0"/>
                    <w:right w:val="single" w:color="auto" w:sz="18" w:space="0"/>
                  </w:tcBorders>
                </w:tcPr>
                <w:p w14:paraId="28EE24AF">
                  <w:pPr>
                    <w:widowControl/>
                    <w:ind w:firstLine="420"/>
                    <w:jc w:val="both"/>
                    <w:rPr>
                      <w:rFonts w:cs="Times New Roman"/>
                      <w:kern w:val="0"/>
                      <w:sz w:val="21"/>
                      <w:szCs w:val="21"/>
                    </w:rPr>
                  </w:pPr>
                  <w:r>
                    <w:rPr>
                      <w:rFonts w:cs="Times New Roman"/>
                      <w:kern w:val="0"/>
                      <w:sz w:val="21"/>
                      <w:szCs w:val="21"/>
                    </w:rPr>
                    <w:t>24°21′14″</w:t>
                  </w:r>
                </w:p>
              </w:tc>
            </w:tr>
            <w:tr w14:paraId="617A53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7A06B4EA">
                  <w:pPr>
                    <w:widowControl/>
                    <w:ind w:firstLine="420"/>
                    <w:jc w:val="both"/>
                    <w:rPr>
                      <w:rFonts w:cs="Times New Roman"/>
                      <w:kern w:val="0"/>
                      <w:sz w:val="21"/>
                      <w:szCs w:val="21"/>
                    </w:rPr>
                  </w:pPr>
                  <w:r>
                    <w:rPr>
                      <w:rFonts w:cs="Times New Roman"/>
                      <w:kern w:val="0"/>
                      <w:sz w:val="21"/>
                      <w:szCs w:val="21"/>
                    </w:rPr>
                    <w:t>14</w:t>
                  </w:r>
                </w:p>
              </w:tc>
              <w:tc>
                <w:tcPr>
                  <w:tcW w:w="1659" w:type="dxa"/>
                  <w:tcBorders>
                    <w:top w:val="single" w:color="auto" w:sz="6" w:space="0"/>
                    <w:left w:val="single" w:color="auto" w:sz="6" w:space="0"/>
                    <w:bottom w:val="single" w:color="auto" w:sz="6" w:space="0"/>
                    <w:right w:val="single" w:color="auto" w:sz="6" w:space="0"/>
                  </w:tcBorders>
                </w:tcPr>
                <w:p w14:paraId="2E665A56">
                  <w:pPr>
                    <w:widowControl/>
                    <w:ind w:firstLine="420"/>
                    <w:jc w:val="both"/>
                    <w:rPr>
                      <w:rFonts w:cs="Times New Roman"/>
                      <w:kern w:val="0"/>
                      <w:sz w:val="21"/>
                      <w:szCs w:val="21"/>
                    </w:rPr>
                  </w:pPr>
                  <w:r>
                    <w:rPr>
                      <w:rFonts w:cs="Times New Roman"/>
                      <w:kern w:val="0"/>
                      <w:sz w:val="21"/>
                      <w:szCs w:val="21"/>
                    </w:rPr>
                    <w:t>2694568.22</w:t>
                  </w:r>
                </w:p>
              </w:tc>
              <w:tc>
                <w:tcPr>
                  <w:tcW w:w="1575" w:type="dxa"/>
                  <w:tcBorders>
                    <w:top w:val="single" w:color="auto" w:sz="6" w:space="0"/>
                    <w:left w:val="single" w:color="auto" w:sz="6" w:space="0"/>
                    <w:bottom w:val="single" w:color="auto" w:sz="6" w:space="0"/>
                    <w:right w:val="single" w:color="auto" w:sz="6" w:space="0"/>
                  </w:tcBorders>
                </w:tcPr>
                <w:p w14:paraId="68C0637C">
                  <w:pPr>
                    <w:widowControl/>
                    <w:ind w:firstLine="420"/>
                    <w:jc w:val="both"/>
                    <w:rPr>
                      <w:rFonts w:cs="Times New Roman"/>
                      <w:kern w:val="0"/>
                      <w:sz w:val="21"/>
                      <w:szCs w:val="21"/>
                    </w:rPr>
                  </w:pPr>
                  <w:r>
                    <w:rPr>
                      <w:rFonts w:cs="Times New Roman"/>
                      <w:kern w:val="0"/>
                      <w:sz w:val="21"/>
                      <w:szCs w:val="21"/>
                    </w:rPr>
                    <w:t>33443681.12</w:t>
                  </w:r>
                </w:p>
              </w:tc>
              <w:tc>
                <w:tcPr>
                  <w:tcW w:w="1785" w:type="dxa"/>
                  <w:tcBorders>
                    <w:top w:val="single" w:color="auto" w:sz="6" w:space="0"/>
                    <w:left w:val="single" w:color="auto" w:sz="6" w:space="0"/>
                    <w:bottom w:val="single" w:color="auto" w:sz="6" w:space="0"/>
                    <w:right w:val="single" w:color="auto" w:sz="6" w:space="0"/>
                  </w:tcBorders>
                </w:tcPr>
                <w:p w14:paraId="7BB98FF1">
                  <w:pPr>
                    <w:widowControl/>
                    <w:ind w:firstLine="420"/>
                    <w:jc w:val="both"/>
                    <w:rPr>
                      <w:rFonts w:cs="Times New Roman"/>
                      <w:kern w:val="0"/>
                      <w:sz w:val="21"/>
                      <w:szCs w:val="21"/>
                    </w:rPr>
                  </w:pPr>
                  <w:r>
                    <w:rPr>
                      <w:rFonts w:cs="Times New Roman"/>
                      <w:kern w:val="0"/>
                      <w:sz w:val="21"/>
                      <w:szCs w:val="21"/>
                    </w:rPr>
                    <w:t>098°26′42″</w:t>
                  </w:r>
                </w:p>
              </w:tc>
              <w:tc>
                <w:tcPr>
                  <w:tcW w:w="2205" w:type="dxa"/>
                  <w:tcBorders>
                    <w:top w:val="single" w:color="auto" w:sz="6" w:space="0"/>
                    <w:left w:val="single" w:color="auto" w:sz="6" w:space="0"/>
                    <w:bottom w:val="single" w:color="auto" w:sz="6" w:space="0"/>
                    <w:right w:val="single" w:color="auto" w:sz="18" w:space="0"/>
                  </w:tcBorders>
                </w:tcPr>
                <w:p w14:paraId="33296A30">
                  <w:pPr>
                    <w:widowControl/>
                    <w:ind w:firstLine="420"/>
                    <w:jc w:val="both"/>
                    <w:rPr>
                      <w:rFonts w:cs="Times New Roman"/>
                      <w:kern w:val="0"/>
                      <w:sz w:val="21"/>
                      <w:szCs w:val="21"/>
                    </w:rPr>
                  </w:pPr>
                  <w:r>
                    <w:rPr>
                      <w:rFonts w:cs="Times New Roman"/>
                      <w:kern w:val="0"/>
                      <w:sz w:val="21"/>
                      <w:szCs w:val="21"/>
                    </w:rPr>
                    <w:t>24°21′13″</w:t>
                  </w:r>
                </w:p>
              </w:tc>
            </w:tr>
            <w:tr w14:paraId="49057C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77045B62">
                  <w:pPr>
                    <w:widowControl/>
                    <w:ind w:firstLine="420"/>
                    <w:jc w:val="both"/>
                    <w:rPr>
                      <w:rFonts w:cs="Times New Roman"/>
                      <w:kern w:val="0"/>
                      <w:sz w:val="21"/>
                      <w:szCs w:val="21"/>
                    </w:rPr>
                  </w:pPr>
                  <w:r>
                    <w:rPr>
                      <w:rFonts w:cs="Times New Roman"/>
                      <w:kern w:val="0"/>
                      <w:sz w:val="21"/>
                      <w:szCs w:val="21"/>
                    </w:rPr>
                    <w:t>15</w:t>
                  </w:r>
                </w:p>
              </w:tc>
              <w:tc>
                <w:tcPr>
                  <w:tcW w:w="1659" w:type="dxa"/>
                  <w:tcBorders>
                    <w:top w:val="single" w:color="auto" w:sz="6" w:space="0"/>
                    <w:left w:val="single" w:color="auto" w:sz="6" w:space="0"/>
                    <w:bottom w:val="single" w:color="auto" w:sz="6" w:space="0"/>
                    <w:right w:val="single" w:color="auto" w:sz="6" w:space="0"/>
                  </w:tcBorders>
                </w:tcPr>
                <w:p w14:paraId="58AF3876">
                  <w:pPr>
                    <w:widowControl/>
                    <w:ind w:firstLine="420"/>
                    <w:jc w:val="both"/>
                    <w:rPr>
                      <w:rFonts w:cs="Times New Roman"/>
                      <w:kern w:val="0"/>
                      <w:sz w:val="21"/>
                      <w:szCs w:val="21"/>
                    </w:rPr>
                  </w:pPr>
                  <w:r>
                    <w:rPr>
                      <w:rFonts w:cs="Times New Roman"/>
                      <w:kern w:val="0"/>
                      <w:sz w:val="21"/>
                      <w:szCs w:val="21"/>
                    </w:rPr>
                    <w:t>2694341.22</w:t>
                  </w:r>
                </w:p>
              </w:tc>
              <w:tc>
                <w:tcPr>
                  <w:tcW w:w="1575" w:type="dxa"/>
                  <w:tcBorders>
                    <w:top w:val="single" w:color="auto" w:sz="6" w:space="0"/>
                    <w:left w:val="single" w:color="auto" w:sz="6" w:space="0"/>
                    <w:bottom w:val="single" w:color="auto" w:sz="6" w:space="0"/>
                    <w:right w:val="single" w:color="auto" w:sz="6" w:space="0"/>
                  </w:tcBorders>
                </w:tcPr>
                <w:p w14:paraId="16C25B57">
                  <w:pPr>
                    <w:widowControl/>
                    <w:ind w:firstLine="420"/>
                    <w:jc w:val="both"/>
                    <w:rPr>
                      <w:rFonts w:cs="Times New Roman"/>
                      <w:kern w:val="0"/>
                      <w:sz w:val="21"/>
                      <w:szCs w:val="21"/>
                    </w:rPr>
                  </w:pPr>
                  <w:r>
                    <w:rPr>
                      <w:rFonts w:cs="Times New Roman"/>
                      <w:kern w:val="0"/>
                      <w:sz w:val="21"/>
                      <w:szCs w:val="21"/>
                    </w:rPr>
                    <w:t>33443611.12</w:t>
                  </w:r>
                </w:p>
              </w:tc>
              <w:tc>
                <w:tcPr>
                  <w:tcW w:w="1785" w:type="dxa"/>
                  <w:tcBorders>
                    <w:top w:val="single" w:color="auto" w:sz="6" w:space="0"/>
                    <w:left w:val="single" w:color="auto" w:sz="6" w:space="0"/>
                    <w:bottom w:val="single" w:color="auto" w:sz="6" w:space="0"/>
                    <w:right w:val="single" w:color="auto" w:sz="6" w:space="0"/>
                  </w:tcBorders>
                </w:tcPr>
                <w:p w14:paraId="569AE3AF">
                  <w:pPr>
                    <w:widowControl/>
                    <w:ind w:firstLine="420"/>
                    <w:jc w:val="both"/>
                    <w:rPr>
                      <w:rFonts w:cs="Times New Roman"/>
                      <w:kern w:val="0"/>
                      <w:sz w:val="21"/>
                      <w:szCs w:val="21"/>
                    </w:rPr>
                  </w:pPr>
                  <w:r>
                    <w:rPr>
                      <w:rFonts w:cs="Times New Roman"/>
                      <w:kern w:val="0"/>
                      <w:sz w:val="21"/>
                      <w:szCs w:val="21"/>
                    </w:rPr>
                    <w:t>098°26′39″</w:t>
                  </w:r>
                </w:p>
              </w:tc>
              <w:tc>
                <w:tcPr>
                  <w:tcW w:w="2205" w:type="dxa"/>
                  <w:tcBorders>
                    <w:top w:val="single" w:color="auto" w:sz="6" w:space="0"/>
                    <w:left w:val="single" w:color="auto" w:sz="6" w:space="0"/>
                    <w:bottom w:val="single" w:color="auto" w:sz="6" w:space="0"/>
                    <w:right w:val="single" w:color="auto" w:sz="18" w:space="0"/>
                  </w:tcBorders>
                </w:tcPr>
                <w:p w14:paraId="071E91BC">
                  <w:pPr>
                    <w:widowControl/>
                    <w:ind w:firstLine="420"/>
                    <w:jc w:val="both"/>
                    <w:rPr>
                      <w:rFonts w:cs="Times New Roman"/>
                      <w:kern w:val="0"/>
                      <w:sz w:val="21"/>
                      <w:szCs w:val="21"/>
                    </w:rPr>
                  </w:pPr>
                  <w:r>
                    <w:rPr>
                      <w:rFonts w:cs="Times New Roman"/>
                      <w:kern w:val="0"/>
                      <w:sz w:val="21"/>
                      <w:szCs w:val="21"/>
                    </w:rPr>
                    <w:t>24°21′06″</w:t>
                  </w:r>
                </w:p>
              </w:tc>
            </w:tr>
            <w:tr w14:paraId="38412A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2FCF8F52">
                  <w:pPr>
                    <w:widowControl/>
                    <w:ind w:firstLine="420"/>
                    <w:jc w:val="both"/>
                    <w:rPr>
                      <w:rFonts w:cs="Times New Roman"/>
                      <w:kern w:val="0"/>
                      <w:sz w:val="21"/>
                      <w:szCs w:val="21"/>
                    </w:rPr>
                  </w:pPr>
                  <w:r>
                    <w:rPr>
                      <w:rFonts w:cs="Times New Roman"/>
                      <w:kern w:val="0"/>
                      <w:sz w:val="21"/>
                      <w:szCs w:val="21"/>
                    </w:rPr>
                    <w:t>16</w:t>
                  </w:r>
                </w:p>
              </w:tc>
              <w:tc>
                <w:tcPr>
                  <w:tcW w:w="1659" w:type="dxa"/>
                  <w:tcBorders>
                    <w:top w:val="single" w:color="auto" w:sz="6" w:space="0"/>
                    <w:left w:val="single" w:color="auto" w:sz="6" w:space="0"/>
                    <w:bottom w:val="single" w:color="auto" w:sz="6" w:space="0"/>
                    <w:right w:val="single" w:color="auto" w:sz="6" w:space="0"/>
                  </w:tcBorders>
                </w:tcPr>
                <w:p w14:paraId="38BF2611">
                  <w:pPr>
                    <w:widowControl/>
                    <w:ind w:firstLine="420"/>
                    <w:jc w:val="both"/>
                    <w:rPr>
                      <w:rFonts w:cs="Times New Roman"/>
                      <w:kern w:val="0"/>
                      <w:sz w:val="21"/>
                      <w:szCs w:val="21"/>
                    </w:rPr>
                  </w:pPr>
                  <w:r>
                    <w:rPr>
                      <w:rFonts w:cs="Times New Roman"/>
                      <w:kern w:val="0"/>
                      <w:sz w:val="21"/>
                      <w:szCs w:val="21"/>
                    </w:rPr>
                    <w:t>2694218.22</w:t>
                  </w:r>
                </w:p>
              </w:tc>
              <w:tc>
                <w:tcPr>
                  <w:tcW w:w="1575" w:type="dxa"/>
                  <w:tcBorders>
                    <w:top w:val="single" w:color="auto" w:sz="6" w:space="0"/>
                    <w:left w:val="single" w:color="auto" w:sz="6" w:space="0"/>
                    <w:bottom w:val="single" w:color="auto" w:sz="6" w:space="0"/>
                    <w:right w:val="single" w:color="auto" w:sz="6" w:space="0"/>
                  </w:tcBorders>
                </w:tcPr>
                <w:p w14:paraId="0109E3E0">
                  <w:pPr>
                    <w:widowControl/>
                    <w:ind w:firstLine="420"/>
                    <w:jc w:val="both"/>
                    <w:rPr>
                      <w:rFonts w:cs="Times New Roman"/>
                      <w:kern w:val="0"/>
                      <w:sz w:val="21"/>
                      <w:szCs w:val="21"/>
                    </w:rPr>
                  </w:pPr>
                  <w:r>
                    <w:rPr>
                      <w:rFonts w:cs="Times New Roman"/>
                      <w:kern w:val="0"/>
                      <w:sz w:val="21"/>
                      <w:szCs w:val="21"/>
                    </w:rPr>
                    <w:t>33443650.12</w:t>
                  </w:r>
                </w:p>
              </w:tc>
              <w:tc>
                <w:tcPr>
                  <w:tcW w:w="1785" w:type="dxa"/>
                  <w:tcBorders>
                    <w:top w:val="single" w:color="auto" w:sz="6" w:space="0"/>
                    <w:left w:val="single" w:color="auto" w:sz="6" w:space="0"/>
                    <w:bottom w:val="single" w:color="auto" w:sz="6" w:space="0"/>
                    <w:right w:val="single" w:color="auto" w:sz="6" w:space="0"/>
                  </w:tcBorders>
                </w:tcPr>
                <w:p w14:paraId="756A1C1D">
                  <w:pPr>
                    <w:widowControl/>
                    <w:ind w:firstLine="420"/>
                    <w:jc w:val="both"/>
                    <w:rPr>
                      <w:rFonts w:cs="Times New Roman"/>
                      <w:kern w:val="0"/>
                      <w:sz w:val="21"/>
                      <w:szCs w:val="21"/>
                    </w:rPr>
                  </w:pPr>
                  <w:r>
                    <w:rPr>
                      <w:rFonts w:cs="Times New Roman"/>
                      <w:kern w:val="0"/>
                      <w:sz w:val="21"/>
                      <w:szCs w:val="21"/>
                    </w:rPr>
                    <w:t>098°26′41″</w:t>
                  </w:r>
                </w:p>
              </w:tc>
              <w:tc>
                <w:tcPr>
                  <w:tcW w:w="2205" w:type="dxa"/>
                  <w:tcBorders>
                    <w:top w:val="single" w:color="auto" w:sz="6" w:space="0"/>
                    <w:left w:val="single" w:color="auto" w:sz="6" w:space="0"/>
                    <w:bottom w:val="single" w:color="auto" w:sz="6" w:space="0"/>
                    <w:right w:val="single" w:color="auto" w:sz="18" w:space="0"/>
                  </w:tcBorders>
                </w:tcPr>
                <w:p w14:paraId="7D7FCB52">
                  <w:pPr>
                    <w:widowControl/>
                    <w:ind w:firstLine="420"/>
                    <w:jc w:val="both"/>
                    <w:rPr>
                      <w:rFonts w:cs="Times New Roman"/>
                      <w:kern w:val="0"/>
                      <w:sz w:val="21"/>
                      <w:szCs w:val="21"/>
                    </w:rPr>
                  </w:pPr>
                  <w:r>
                    <w:rPr>
                      <w:rFonts w:cs="Times New Roman"/>
                      <w:kern w:val="0"/>
                      <w:sz w:val="21"/>
                      <w:szCs w:val="21"/>
                    </w:rPr>
                    <w:t>24°21′02″</w:t>
                  </w:r>
                </w:p>
              </w:tc>
            </w:tr>
            <w:tr w14:paraId="6966DB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2331A2A6">
                  <w:pPr>
                    <w:widowControl/>
                    <w:ind w:firstLine="420"/>
                    <w:jc w:val="both"/>
                    <w:rPr>
                      <w:rFonts w:cs="Times New Roman"/>
                      <w:kern w:val="0"/>
                      <w:sz w:val="21"/>
                      <w:szCs w:val="21"/>
                    </w:rPr>
                  </w:pPr>
                  <w:r>
                    <w:rPr>
                      <w:rFonts w:cs="Times New Roman"/>
                      <w:kern w:val="0"/>
                      <w:sz w:val="21"/>
                      <w:szCs w:val="21"/>
                    </w:rPr>
                    <w:t>17</w:t>
                  </w:r>
                </w:p>
              </w:tc>
              <w:tc>
                <w:tcPr>
                  <w:tcW w:w="1659" w:type="dxa"/>
                  <w:tcBorders>
                    <w:top w:val="single" w:color="auto" w:sz="6" w:space="0"/>
                    <w:left w:val="single" w:color="auto" w:sz="6" w:space="0"/>
                    <w:bottom w:val="single" w:color="auto" w:sz="6" w:space="0"/>
                    <w:right w:val="single" w:color="auto" w:sz="6" w:space="0"/>
                  </w:tcBorders>
                </w:tcPr>
                <w:p w14:paraId="0F731BFD">
                  <w:pPr>
                    <w:widowControl/>
                    <w:ind w:firstLine="420"/>
                    <w:jc w:val="both"/>
                    <w:rPr>
                      <w:rFonts w:cs="Times New Roman"/>
                      <w:kern w:val="0"/>
                      <w:sz w:val="21"/>
                      <w:szCs w:val="21"/>
                    </w:rPr>
                  </w:pPr>
                  <w:r>
                    <w:rPr>
                      <w:rFonts w:cs="Times New Roman"/>
                      <w:kern w:val="0"/>
                      <w:sz w:val="21"/>
                      <w:szCs w:val="21"/>
                    </w:rPr>
                    <w:t>2694085.22</w:t>
                  </w:r>
                </w:p>
              </w:tc>
              <w:tc>
                <w:tcPr>
                  <w:tcW w:w="1575" w:type="dxa"/>
                  <w:tcBorders>
                    <w:top w:val="single" w:color="auto" w:sz="6" w:space="0"/>
                    <w:left w:val="single" w:color="auto" w:sz="6" w:space="0"/>
                    <w:bottom w:val="single" w:color="auto" w:sz="6" w:space="0"/>
                    <w:right w:val="single" w:color="auto" w:sz="6" w:space="0"/>
                  </w:tcBorders>
                </w:tcPr>
                <w:p w14:paraId="39D9D71C">
                  <w:pPr>
                    <w:widowControl/>
                    <w:ind w:firstLine="420"/>
                    <w:jc w:val="both"/>
                    <w:rPr>
                      <w:rFonts w:cs="Times New Roman"/>
                      <w:kern w:val="0"/>
                      <w:sz w:val="21"/>
                      <w:szCs w:val="21"/>
                    </w:rPr>
                  </w:pPr>
                  <w:r>
                    <w:rPr>
                      <w:rFonts w:cs="Times New Roman"/>
                      <w:kern w:val="0"/>
                      <w:sz w:val="21"/>
                      <w:szCs w:val="21"/>
                    </w:rPr>
                    <w:t>33443566.13</w:t>
                  </w:r>
                </w:p>
              </w:tc>
              <w:tc>
                <w:tcPr>
                  <w:tcW w:w="1785" w:type="dxa"/>
                  <w:tcBorders>
                    <w:top w:val="single" w:color="auto" w:sz="6" w:space="0"/>
                    <w:left w:val="single" w:color="auto" w:sz="6" w:space="0"/>
                    <w:bottom w:val="single" w:color="auto" w:sz="6" w:space="0"/>
                    <w:right w:val="single" w:color="auto" w:sz="6" w:space="0"/>
                  </w:tcBorders>
                </w:tcPr>
                <w:p w14:paraId="233DD380">
                  <w:pPr>
                    <w:widowControl/>
                    <w:ind w:firstLine="420"/>
                    <w:jc w:val="both"/>
                    <w:rPr>
                      <w:rFonts w:cs="Times New Roman"/>
                      <w:kern w:val="0"/>
                      <w:sz w:val="21"/>
                      <w:szCs w:val="21"/>
                    </w:rPr>
                  </w:pPr>
                  <w:r>
                    <w:rPr>
                      <w:rFonts w:cs="Times New Roman"/>
                      <w:kern w:val="0"/>
                      <w:sz w:val="21"/>
                      <w:szCs w:val="21"/>
                    </w:rPr>
                    <w:t>098°26′38″</w:t>
                  </w:r>
                </w:p>
              </w:tc>
              <w:tc>
                <w:tcPr>
                  <w:tcW w:w="2205" w:type="dxa"/>
                  <w:tcBorders>
                    <w:top w:val="single" w:color="auto" w:sz="6" w:space="0"/>
                    <w:left w:val="single" w:color="auto" w:sz="6" w:space="0"/>
                    <w:bottom w:val="single" w:color="auto" w:sz="6" w:space="0"/>
                    <w:right w:val="single" w:color="auto" w:sz="18" w:space="0"/>
                  </w:tcBorders>
                </w:tcPr>
                <w:p w14:paraId="357636E8">
                  <w:pPr>
                    <w:widowControl/>
                    <w:ind w:firstLine="420"/>
                    <w:jc w:val="both"/>
                    <w:rPr>
                      <w:rFonts w:cs="Times New Roman"/>
                      <w:kern w:val="0"/>
                      <w:sz w:val="21"/>
                      <w:szCs w:val="21"/>
                    </w:rPr>
                  </w:pPr>
                  <w:r>
                    <w:rPr>
                      <w:rFonts w:cs="Times New Roman"/>
                      <w:kern w:val="0"/>
                      <w:sz w:val="21"/>
                      <w:szCs w:val="21"/>
                    </w:rPr>
                    <w:t>24°20′57″</w:t>
                  </w:r>
                </w:p>
              </w:tc>
            </w:tr>
            <w:tr w14:paraId="3B5C9A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1496ED1A">
                  <w:pPr>
                    <w:widowControl/>
                    <w:ind w:firstLine="420"/>
                    <w:jc w:val="both"/>
                    <w:rPr>
                      <w:rFonts w:cs="Times New Roman"/>
                      <w:kern w:val="0"/>
                      <w:sz w:val="21"/>
                      <w:szCs w:val="21"/>
                    </w:rPr>
                  </w:pPr>
                  <w:r>
                    <w:rPr>
                      <w:rFonts w:cs="Times New Roman"/>
                      <w:kern w:val="0"/>
                      <w:sz w:val="21"/>
                      <w:szCs w:val="21"/>
                    </w:rPr>
                    <w:t>18</w:t>
                  </w:r>
                </w:p>
              </w:tc>
              <w:tc>
                <w:tcPr>
                  <w:tcW w:w="1659" w:type="dxa"/>
                  <w:tcBorders>
                    <w:top w:val="single" w:color="auto" w:sz="6" w:space="0"/>
                    <w:left w:val="single" w:color="auto" w:sz="6" w:space="0"/>
                    <w:bottom w:val="single" w:color="auto" w:sz="6" w:space="0"/>
                    <w:right w:val="single" w:color="auto" w:sz="6" w:space="0"/>
                  </w:tcBorders>
                </w:tcPr>
                <w:p w14:paraId="3DB963B5">
                  <w:pPr>
                    <w:widowControl/>
                    <w:ind w:firstLine="420"/>
                    <w:jc w:val="both"/>
                    <w:rPr>
                      <w:rFonts w:cs="Times New Roman"/>
                      <w:kern w:val="0"/>
                      <w:sz w:val="21"/>
                      <w:szCs w:val="21"/>
                    </w:rPr>
                  </w:pPr>
                  <w:r>
                    <w:rPr>
                      <w:rFonts w:cs="Times New Roman"/>
                      <w:kern w:val="0"/>
                      <w:sz w:val="21"/>
                      <w:szCs w:val="21"/>
                    </w:rPr>
                    <w:t>2693932.22</w:t>
                  </w:r>
                </w:p>
              </w:tc>
              <w:tc>
                <w:tcPr>
                  <w:tcW w:w="1575" w:type="dxa"/>
                  <w:tcBorders>
                    <w:top w:val="single" w:color="auto" w:sz="6" w:space="0"/>
                    <w:left w:val="single" w:color="auto" w:sz="6" w:space="0"/>
                    <w:bottom w:val="single" w:color="auto" w:sz="6" w:space="0"/>
                    <w:right w:val="single" w:color="auto" w:sz="6" w:space="0"/>
                  </w:tcBorders>
                </w:tcPr>
                <w:p w14:paraId="1BE047FB">
                  <w:pPr>
                    <w:widowControl/>
                    <w:ind w:firstLine="420"/>
                    <w:jc w:val="both"/>
                    <w:rPr>
                      <w:rFonts w:cs="Times New Roman"/>
                      <w:kern w:val="0"/>
                      <w:sz w:val="21"/>
                      <w:szCs w:val="21"/>
                    </w:rPr>
                  </w:pPr>
                  <w:r>
                    <w:rPr>
                      <w:rFonts w:cs="Times New Roman"/>
                      <w:kern w:val="0"/>
                      <w:sz w:val="21"/>
                      <w:szCs w:val="21"/>
                    </w:rPr>
                    <w:t>33443540.13</w:t>
                  </w:r>
                </w:p>
              </w:tc>
              <w:tc>
                <w:tcPr>
                  <w:tcW w:w="1785" w:type="dxa"/>
                  <w:tcBorders>
                    <w:top w:val="single" w:color="auto" w:sz="6" w:space="0"/>
                    <w:left w:val="single" w:color="auto" w:sz="6" w:space="0"/>
                    <w:bottom w:val="single" w:color="auto" w:sz="6" w:space="0"/>
                    <w:right w:val="single" w:color="auto" w:sz="6" w:space="0"/>
                  </w:tcBorders>
                </w:tcPr>
                <w:p w14:paraId="42F48D7B">
                  <w:pPr>
                    <w:widowControl/>
                    <w:ind w:firstLine="420"/>
                    <w:jc w:val="both"/>
                    <w:rPr>
                      <w:rFonts w:cs="Times New Roman"/>
                      <w:kern w:val="0"/>
                      <w:sz w:val="21"/>
                      <w:szCs w:val="21"/>
                    </w:rPr>
                  </w:pPr>
                  <w:r>
                    <w:rPr>
                      <w:rFonts w:cs="Times New Roman"/>
                      <w:kern w:val="0"/>
                      <w:sz w:val="21"/>
                      <w:szCs w:val="21"/>
                    </w:rPr>
                    <w:t>098°26′37″</w:t>
                  </w:r>
                </w:p>
              </w:tc>
              <w:tc>
                <w:tcPr>
                  <w:tcW w:w="2205" w:type="dxa"/>
                  <w:tcBorders>
                    <w:top w:val="single" w:color="auto" w:sz="6" w:space="0"/>
                    <w:left w:val="single" w:color="auto" w:sz="6" w:space="0"/>
                    <w:bottom w:val="single" w:color="auto" w:sz="6" w:space="0"/>
                    <w:right w:val="single" w:color="auto" w:sz="18" w:space="0"/>
                  </w:tcBorders>
                </w:tcPr>
                <w:p w14:paraId="6D1FBD24">
                  <w:pPr>
                    <w:widowControl/>
                    <w:ind w:firstLine="420"/>
                    <w:jc w:val="both"/>
                    <w:rPr>
                      <w:rFonts w:cs="Times New Roman"/>
                      <w:kern w:val="0"/>
                      <w:sz w:val="21"/>
                      <w:szCs w:val="21"/>
                    </w:rPr>
                  </w:pPr>
                  <w:r>
                    <w:rPr>
                      <w:rFonts w:cs="Times New Roman"/>
                      <w:kern w:val="0"/>
                      <w:sz w:val="21"/>
                      <w:szCs w:val="21"/>
                    </w:rPr>
                    <w:t>24°20′52″</w:t>
                  </w:r>
                </w:p>
              </w:tc>
            </w:tr>
            <w:tr w14:paraId="01F23D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6D2A4BAB">
                  <w:pPr>
                    <w:widowControl/>
                    <w:ind w:firstLine="420"/>
                    <w:jc w:val="both"/>
                    <w:rPr>
                      <w:rFonts w:cs="Times New Roman"/>
                      <w:kern w:val="0"/>
                      <w:sz w:val="21"/>
                      <w:szCs w:val="21"/>
                    </w:rPr>
                  </w:pPr>
                  <w:r>
                    <w:rPr>
                      <w:rFonts w:cs="Times New Roman"/>
                      <w:kern w:val="0"/>
                      <w:sz w:val="21"/>
                      <w:szCs w:val="21"/>
                    </w:rPr>
                    <w:t>19</w:t>
                  </w:r>
                </w:p>
              </w:tc>
              <w:tc>
                <w:tcPr>
                  <w:tcW w:w="1659" w:type="dxa"/>
                  <w:tcBorders>
                    <w:top w:val="single" w:color="auto" w:sz="6" w:space="0"/>
                    <w:left w:val="single" w:color="auto" w:sz="6" w:space="0"/>
                    <w:bottom w:val="single" w:color="auto" w:sz="6" w:space="0"/>
                    <w:right w:val="single" w:color="auto" w:sz="6" w:space="0"/>
                  </w:tcBorders>
                </w:tcPr>
                <w:p w14:paraId="5CD2832E">
                  <w:pPr>
                    <w:widowControl/>
                    <w:ind w:firstLine="420"/>
                    <w:jc w:val="both"/>
                    <w:rPr>
                      <w:rFonts w:cs="Times New Roman"/>
                      <w:kern w:val="0"/>
                      <w:sz w:val="21"/>
                      <w:szCs w:val="21"/>
                    </w:rPr>
                  </w:pPr>
                  <w:r>
                    <w:rPr>
                      <w:rFonts w:cs="Times New Roman"/>
                      <w:kern w:val="0"/>
                      <w:sz w:val="21"/>
                      <w:szCs w:val="21"/>
                    </w:rPr>
                    <w:t>2693883.22</w:t>
                  </w:r>
                </w:p>
              </w:tc>
              <w:tc>
                <w:tcPr>
                  <w:tcW w:w="1575" w:type="dxa"/>
                  <w:tcBorders>
                    <w:top w:val="single" w:color="auto" w:sz="6" w:space="0"/>
                    <w:left w:val="single" w:color="auto" w:sz="6" w:space="0"/>
                    <w:bottom w:val="single" w:color="auto" w:sz="6" w:space="0"/>
                    <w:right w:val="single" w:color="auto" w:sz="6" w:space="0"/>
                  </w:tcBorders>
                </w:tcPr>
                <w:p w14:paraId="23682818">
                  <w:pPr>
                    <w:widowControl/>
                    <w:ind w:firstLine="420"/>
                    <w:jc w:val="both"/>
                    <w:rPr>
                      <w:rFonts w:cs="Times New Roman"/>
                      <w:kern w:val="0"/>
                      <w:sz w:val="21"/>
                      <w:szCs w:val="21"/>
                    </w:rPr>
                  </w:pPr>
                  <w:r>
                    <w:rPr>
                      <w:rFonts w:cs="Times New Roman"/>
                      <w:kern w:val="0"/>
                      <w:sz w:val="21"/>
                      <w:szCs w:val="21"/>
                    </w:rPr>
                    <w:t>33443606.13</w:t>
                  </w:r>
                </w:p>
              </w:tc>
              <w:tc>
                <w:tcPr>
                  <w:tcW w:w="1785" w:type="dxa"/>
                  <w:tcBorders>
                    <w:top w:val="single" w:color="auto" w:sz="6" w:space="0"/>
                    <w:left w:val="single" w:color="auto" w:sz="6" w:space="0"/>
                    <w:bottom w:val="single" w:color="auto" w:sz="6" w:space="0"/>
                    <w:right w:val="single" w:color="auto" w:sz="6" w:space="0"/>
                  </w:tcBorders>
                </w:tcPr>
                <w:p w14:paraId="7E8A1C40">
                  <w:pPr>
                    <w:widowControl/>
                    <w:ind w:firstLine="420"/>
                    <w:jc w:val="both"/>
                    <w:rPr>
                      <w:rFonts w:cs="Times New Roman"/>
                      <w:kern w:val="0"/>
                      <w:sz w:val="21"/>
                      <w:szCs w:val="21"/>
                    </w:rPr>
                  </w:pPr>
                  <w:r>
                    <w:rPr>
                      <w:rFonts w:cs="Times New Roman"/>
                      <w:kern w:val="0"/>
                      <w:sz w:val="21"/>
                      <w:szCs w:val="21"/>
                    </w:rPr>
                    <w:t>098°26′39″</w:t>
                  </w:r>
                </w:p>
              </w:tc>
              <w:tc>
                <w:tcPr>
                  <w:tcW w:w="2205" w:type="dxa"/>
                  <w:tcBorders>
                    <w:top w:val="single" w:color="auto" w:sz="6" w:space="0"/>
                    <w:left w:val="single" w:color="auto" w:sz="6" w:space="0"/>
                    <w:bottom w:val="single" w:color="auto" w:sz="6" w:space="0"/>
                    <w:right w:val="single" w:color="auto" w:sz="18" w:space="0"/>
                  </w:tcBorders>
                </w:tcPr>
                <w:p w14:paraId="130387CC">
                  <w:pPr>
                    <w:widowControl/>
                    <w:ind w:firstLine="420"/>
                    <w:jc w:val="both"/>
                    <w:rPr>
                      <w:rFonts w:cs="Times New Roman"/>
                      <w:kern w:val="0"/>
                      <w:sz w:val="21"/>
                      <w:szCs w:val="21"/>
                    </w:rPr>
                  </w:pPr>
                  <w:r>
                    <w:rPr>
                      <w:rFonts w:cs="Times New Roman"/>
                      <w:kern w:val="0"/>
                      <w:sz w:val="21"/>
                      <w:szCs w:val="21"/>
                    </w:rPr>
                    <w:t>24°20′51″</w:t>
                  </w:r>
                </w:p>
              </w:tc>
            </w:tr>
            <w:tr w14:paraId="47260A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3DF75392">
                  <w:pPr>
                    <w:widowControl/>
                    <w:ind w:firstLine="420"/>
                    <w:jc w:val="both"/>
                    <w:rPr>
                      <w:rFonts w:cs="Times New Roman"/>
                      <w:kern w:val="0"/>
                      <w:sz w:val="21"/>
                      <w:szCs w:val="21"/>
                    </w:rPr>
                  </w:pPr>
                  <w:r>
                    <w:rPr>
                      <w:rFonts w:cs="Times New Roman"/>
                      <w:kern w:val="0"/>
                      <w:sz w:val="21"/>
                      <w:szCs w:val="21"/>
                    </w:rPr>
                    <w:t>20</w:t>
                  </w:r>
                </w:p>
              </w:tc>
              <w:tc>
                <w:tcPr>
                  <w:tcW w:w="1659" w:type="dxa"/>
                  <w:tcBorders>
                    <w:top w:val="single" w:color="auto" w:sz="6" w:space="0"/>
                    <w:left w:val="single" w:color="auto" w:sz="6" w:space="0"/>
                    <w:bottom w:val="single" w:color="auto" w:sz="6" w:space="0"/>
                    <w:right w:val="single" w:color="auto" w:sz="6" w:space="0"/>
                  </w:tcBorders>
                </w:tcPr>
                <w:p w14:paraId="567A22CE">
                  <w:pPr>
                    <w:widowControl/>
                    <w:ind w:firstLine="420"/>
                    <w:jc w:val="both"/>
                    <w:rPr>
                      <w:rFonts w:cs="Times New Roman"/>
                      <w:kern w:val="0"/>
                      <w:sz w:val="21"/>
                      <w:szCs w:val="21"/>
                    </w:rPr>
                  </w:pPr>
                  <w:r>
                    <w:rPr>
                      <w:rFonts w:cs="Times New Roman"/>
                      <w:kern w:val="0"/>
                      <w:sz w:val="21"/>
                      <w:szCs w:val="21"/>
                    </w:rPr>
                    <w:t>2693833.22</w:t>
                  </w:r>
                </w:p>
              </w:tc>
              <w:tc>
                <w:tcPr>
                  <w:tcW w:w="1575" w:type="dxa"/>
                  <w:tcBorders>
                    <w:top w:val="single" w:color="auto" w:sz="6" w:space="0"/>
                    <w:left w:val="single" w:color="auto" w:sz="6" w:space="0"/>
                    <w:bottom w:val="single" w:color="auto" w:sz="6" w:space="0"/>
                    <w:right w:val="single" w:color="auto" w:sz="6" w:space="0"/>
                  </w:tcBorders>
                </w:tcPr>
                <w:p w14:paraId="2255905A">
                  <w:pPr>
                    <w:widowControl/>
                    <w:ind w:firstLine="420"/>
                    <w:jc w:val="both"/>
                    <w:rPr>
                      <w:rFonts w:cs="Times New Roman"/>
                      <w:kern w:val="0"/>
                      <w:sz w:val="21"/>
                      <w:szCs w:val="21"/>
                    </w:rPr>
                  </w:pPr>
                  <w:r>
                    <w:rPr>
                      <w:rFonts w:cs="Times New Roman"/>
                      <w:kern w:val="0"/>
                      <w:sz w:val="21"/>
                      <w:szCs w:val="21"/>
                    </w:rPr>
                    <w:t>33443568.13</w:t>
                  </w:r>
                </w:p>
              </w:tc>
              <w:tc>
                <w:tcPr>
                  <w:tcW w:w="1785" w:type="dxa"/>
                  <w:tcBorders>
                    <w:top w:val="single" w:color="auto" w:sz="6" w:space="0"/>
                    <w:left w:val="single" w:color="auto" w:sz="6" w:space="0"/>
                    <w:bottom w:val="single" w:color="auto" w:sz="6" w:space="0"/>
                    <w:right w:val="single" w:color="auto" w:sz="6" w:space="0"/>
                  </w:tcBorders>
                </w:tcPr>
                <w:p w14:paraId="32FFE0A4">
                  <w:pPr>
                    <w:widowControl/>
                    <w:ind w:firstLine="420"/>
                    <w:jc w:val="both"/>
                    <w:rPr>
                      <w:rFonts w:cs="Times New Roman"/>
                      <w:kern w:val="0"/>
                      <w:sz w:val="21"/>
                      <w:szCs w:val="21"/>
                    </w:rPr>
                  </w:pPr>
                  <w:r>
                    <w:rPr>
                      <w:rFonts w:cs="Times New Roman"/>
                      <w:kern w:val="0"/>
                      <w:sz w:val="21"/>
                      <w:szCs w:val="21"/>
                    </w:rPr>
                    <w:t>098°26′38″</w:t>
                  </w:r>
                </w:p>
              </w:tc>
              <w:tc>
                <w:tcPr>
                  <w:tcW w:w="2205" w:type="dxa"/>
                  <w:tcBorders>
                    <w:top w:val="single" w:color="auto" w:sz="6" w:space="0"/>
                    <w:left w:val="single" w:color="auto" w:sz="6" w:space="0"/>
                    <w:bottom w:val="single" w:color="auto" w:sz="6" w:space="0"/>
                    <w:right w:val="single" w:color="auto" w:sz="18" w:space="0"/>
                  </w:tcBorders>
                </w:tcPr>
                <w:p w14:paraId="414D41F3">
                  <w:pPr>
                    <w:widowControl/>
                    <w:ind w:firstLine="420"/>
                    <w:jc w:val="both"/>
                    <w:rPr>
                      <w:rFonts w:cs="Times New Roman"/>
                      <w:kern w:val="0"/>
                      <w:sz w:val="21"/>
                      <w:szCs w:val="21"/>
                    </w:rPr>
                  </w:pPr>
                  <w:r>
                    <w:rPr>
                      <w:rFonts w:cs="Times New Roman"/>
                      <w:kern w:val="0"/>
                      <w:sz w:val="21"/>
                      <w:szCs w:val="21"/>
                    </w:rPr>
                    <w:t>24°20′49″</w:t>
                  </w:r>
                </w:p>
              </w:tc>
            </w:tr>
            <w:tr w14:paraId="719F2F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21F82C00">
                  <w:pPr>
                    <w:widowControl/>
                    <w:ind w:firstLine="420"/>
                    <w:jc w:val="both"/>
                    <w:rPr>
                      <w:rFonts w:cs="Times New Roman"/>
                      <w:kern w:val="0"/>
                      <w:sz w:val="21"/>
                      <w:szCs w:val="21"/>
                    </w:rPr>
                  </w:pPr>
                  <w:r>
                    <w:rPr>
                      <w:rFonts w:cs="Times New Roman"/>
                      <w:kern w:val="0"/>
                      <w:sz w:val="21"/>
                      <w:szCs w:val="21"/>
                    </w:rPr>
                    <w:t>21</w:t>
                  </w:r>
                </w:p>
              </w:tc>
              <w:tc>
                <w:tcPr>
                  <w:tcW w:w="1659" w:type="dxa"/>
                  <w:tcBorders>
                    <w:top w:val="single" w:color="auto" w:sz="6" w:space="0"/>
                    <w:left w:val="single" w:color="auto" w:sz="6" w:space="0"/>
                    <w:bottom w:val="single" w:color="auto" w:sz="6" w:space="0"/>
                    <w:right w:val="single" w:color="auto" w:sz="6" w:space="0"/>
                  </w:tcBorders>
                </w:tcPr>
                <w:p w14:paraId="3F1A81E2">
                  <w:pPr>
                    <w:widowControl/>
                    <w:ind w:firstLine="420"/>
                    <w:jc w:val="both"/>
                    <w:rPr>
                      <w:rFonts w:cs="Times New Roman"/>
                      <w:kern w:val="0"/>
                      <w:sz w:val="21"/>
                      <w:szCs w:val="21"/>
                    </w:rPr>
                  </w:pPr>
                  <w:r>
                    <w:rPr>
                      <w:rFonts w:cs="Times New Roman"/>
                      <w:kern w:val="0"/>
                      <w:sz w:val="21"/>
                      <w:szCs w:val="21"/>
                    </w:rPr>
                    <w:t>2693764.22</w:t>
                  </w:r>
                </w:p>
              </w:tc>
              <w:tc>
                <w:tcPr>
                  <w:tcW w:w="1575" w:type="dxa"/>
                  <w:tcBorders>
                    <w:top w:val="single" w:color="auto" w:sz="6" w:space="0"/>
                    <w:left w:val="single" w:color="auto" w:sz="6" w:space="0"/>
                    <w:bottom w:val="single" w:color="auto" w:sz="6" w:space="0"/>
                    <w:right w:val="single" w:color="auto" w:sz="6" w:space="0"/>
                  </w:tcBorders>
                </w:tcPr>
                <w:p w14:paraId="58060EB8">
                  <w:pPr>
                    <w:widowControl/>
                    <w:ind w:firstLine="420"/>
                    <w:jc w:val="both"/>
                    <w:rPr>
                      <w:rFonts w:cs="Times New Roman"/>
                      <w:kern w:val="0"/>
                      <w:sz w:val="21"/>
                      <w:szCs w:val="21"/>
                    </w:rPr>
                  </w:pPr>
                  <w:r>
                    <w:rPr>
                      <w:rFonts w:cs="Times New Roman"/>
                      <w:kern w:val="0"/>
                      <w:sz w:val="21"/>
                      <w:szCs w:val="21"/>
                    </w:rPr>
                    <w:t>33443595.13</w:t>
                  </w:r>
                </w:p>
              </w:tc>
              <w:tc>
                <w:tcPr>
                  <w:tcW w:w="1785" w:type="dxa"/>
                  <w:tcBorders>
                    <w:top w:val="single" w:color="auto" w:sz="6" w:space="0"/>
                    <w:left w:val="single" w:color="auto" w:sz="6" w:space="0"/>
                    <w:bottom w:val="single" w:color="auto" w:sz="6" w:space="0"/>
                    <w:right w:val="single" w:color="auto" w:sz="6" w:space="0"/>
                  </w:tcBorders>
                </w:tcPr>
                <w:p w14:paraId="792B79BC">
                  <w:pPr>
                    <w:widowControl/>
                    <w:ind w:firstLine="420"/>
                    <w:jc w:val="both"/>
                    <w:rPr>
                      <w:rFonts w:cs="Times New Roman"/>
                      <w:kern w:val="0"/>
                      <w:sz w:val="21"/>
                      <w:szCs w:val="21"/>
                    </w:rPr>
                  </w:pPr>
                  <w:r>
                    <w:rPr>
                      <w:rFonts w:cs="Times New Roman"/>
                      <w:kern w:val="0"/>
                      <w:sz w:val="21"/>
                      <w:szCs w:val="21"/>
                    </w:rPr>
                    <w:t>098°26′39″</w:t>
                  </w:r>
                </w:p>
              </w:tc>
              <w:tc>
                <w:tcPr>
                  <w:tcW w:w="2205" w:type="dxa"/>
                  <w:tcBorders>
                    <w:top w:val="single" w:color="auto" w:sz="6" w:space="0"/>
                    <w:left w:val="single" w:color="auto" w:sz="6" w:space="0"/>
                    <w:bottom w:val="single" w:color="auto" w:sz="6" w:space="0"/>
                    <w:right w:val="single" w:color="auto" w:sz="18" w:space="0"/>
                  </w:tcBorders>
                </w:tcPr>
                <w:p w14:paraId="4AFA9D1F">
                  <w:pPr>
                    <w:widowControl/>
                    <w:ind w:firstLine="420"/>
                    <w:jc w:val="both"/>
                    <w:rPr>
                      <w:rFonts w:cs="Times New Roman"/>
                      <w:kern w:val="0"/>
                      <w:sz w:val="21"/>
                      <w:szCs w:val="21"/>
                    </w:rPr>
                  </w:pPr>
                  <w:r>
                    <w:rPr>
                      <w:rFonts w:cs="Times New Roman"/>
                      <w:kern w:val="0"/>
                      <w:sz w:val="21"/>
                      <w:szCs w:val="21"/>
                    </w:rPr>
                    <w:t>24°20′47″</w:t>
                  </w:r>
                </w:p>
              </w:tc>
            </w:tr>
            <w:tr w14:paraId="0397A8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58553041">
                  <w:pPr>
                    <w:widowControl/>
                    <w:ind w:firstLine="420"/>
                    <w:jc w:val="both"/>
                    <w:rPr>
                      <w:rFonts w:cs="Times New Roman"/>
                      <w:kern w:val="0"/>
                      <w:sz w:val="21"/>
                      <w:szCs w:val="21"/>
                    </w:rPr>
                  </w:pPr>
                  <w:r>
                    <w:rPr>
                      <w:rFonts w:cs="Times New Roman"/>
                      <w:kern w:val="0"/>
                      <w:sz w:val="21"/>
                      <w:szCs w:val="21"/>
                    </w:rPr>
                    <w:t>22</w:t>
                  </w:r>
                </w:p>
              </w:tc>
              <w:tc>
                <w:tcPr>
                  <w:tcW w:w="1659" w:type="dxa"/>
                  <w:tcBorders>
                    <w:top w:val="single" w:color="auto" w:sz="6" w:space="0"/>
                    <w:left w:val="single" w:color="auto" w:sz="6" w:space="0"/>
                    <w:bottom w:val="single" w:color="auto" w:sz="6" w:space="0"/>
                    <w:right w:val="single" w:color="auto" w:sz="6" w:space="0"/>
                  </w:tcBorders>
                </w:tcPr>
                <w:p w14:paraId="244054ED">
                  <w:pPr>
                    <w:widowControl/>
                    <w:ind w:firstLine="420"/>
                    <w:jc w:val="both"/>
                    <w:rPr>
                      <w:rFonts w:cs="Times New Roman"/>
                      <w:kern w:val="0"/>
                      <w:sz w:val="21"/>
                      <w:szCs w:val="21"/>
                    </w:rPr>
                  </w:pPr>
                  <w:r>
                    <w:rPr>
                      <w:rFonts w:cs="Times New Roman"/>
                      <w:kern w:val="0"/>
                      <w:sz w:val="21"/>
                      <w:szCs w:val="21"/>
                    </w:rPr>
                    <w:t>2693629.22</w:t>
                  </w:r>
                </w:p>
              </w:tc>
              <w:tc>
                <w:tcPr>
                  <w:tcW w:w="1575" w:type="dxa"/>
                  <w:tcBorders>
                    <w:top w:val="single" w:color="auto" w:sz="6" w:space="0"/>
                    <w:left w:val="single" w:color="auto" w:sz="6" w:space="0"/>
                    <w:bottom w:val="single" w:color="auto" w:sz="6" w:space="0"/>
                    <w:right w:val="single" w:color="auto" w:sz="6" w:space="0"/>
                  </w:tcBorders>
                </w:tcPr>
                <w:p w14:paraId="51ABE3E1">
                  <w:pPr>
                    <w:widowControl/>
                    <w:ind w:firstLine="420"/>
                    <w:jc w:val="both"/>
                    <w:rPr>
                      <w:rFonts w:cs="Times New Roman"/>
                      <w:kern w:val="0"/>
                      <w:sz w:val="21"/>
                      <w:szCs w:val="21"/>
                    </w:rPr>
                  </w:pPr>
                  <w:r>
                    <w:rPr>
                      <w:rFonts w:cs="Times New Roman"/>
                      <w:kern w:val="0"/>
                      <w:sz w:val="21"/>
                      <w:szCs w:val="21"/>
                    </w:rPr>
                    <w:t>33443528.13</w:t>
                  </w:r>
                </w:p>
              </w:tc>
              <w:tc>
                <w:tcPr>
                  <w:tcW w:w="1785" w:type="dxa"/>
                  <w:tcBorders>
                    <w:top w:val="single" w:color="auto" w:sz="6" w:space="0"/>
                    <w:left w:val="single" w:color="auto" w:sz="6" w:space="0"/>
                    <w:bottom w:val="single" w:color="auto" w:sz="6" w:space="0"/>
                    <w:right w:val="single" w:color="auto" w:sz="6" w:space="0"/>
                  </w:tcBorders>
                </w:tcPr>
                <w:p w14:paraId="05FDD832">
                  <w:pPr>
                    <w:widowControl/>
                    <w:ind w:firstLine="420"/>
                    <w:jc w:val="both"/>
                    <w:rPr>
                      <w:rFonts w:cs="Times New Roman"/>
                      <w:kern w:val="0"/>
                      <w:sz w:val="21"/>
                      <w:szCs w:val="21"/>
                    </w:rPr>
                  </w:pPr>
                  <w:r>
                    <w:rPr>
                      <w:rFonts w:cs="Times New Roman"/>
                      <w:kern w:val="0"/>
                      <w:sz w:val="21"/>
                      <w:szCs w:val="21"/>
                    </w:rPr>
                    <w:t>098°26′37″</w:t>
                  </w:r>
                </w:p>
              </w:tc>
              <w:tc>
                <w:tcPr>
                  <w:tcW w:w="2205" w:type="dxa"/>
                  <w:tcBorders>
                    <w:top w:val="single" w:color="auto" w:sz="6" w:space="0"/>
                    <w:left w:val="single" w:color="auto" w:sz="6" w:space="0"/>
                    <w:bottom w:val="single" w:color="auto" w:sz="6" w:space="0"/>
                    <w:right w:val="single" w:color="auto" w:sz="18" w:space="0"/>
                  </w:tcBorders>
                </w:tcPr>
                <w:p w14:paraId="6A7194AE">
                  <w:pPr>
                    <w:widowControl/>
                    <w:ind w:firstLine="420"/>
                    <w:jc w:val="both"/>
                    <w:rPr>
                      <w:rFonts w:cs="Times New Roman"/>
                      <w:kern w:val="0"/>
                      <w:sz w:val="21"/>
                      <w:szCs w:val="21"/>
                    </w:rPr>
                  </w:pPr>
                  <w:r>
                    <w:rPr>
                      <w:rFonts w:cs="Times New Roman"/>
                      <w:kern w:val="0"/>
                      <w:sz w:val="21"/>
                      <w:szCs w:val="21"/>
                    </w:rPr>
                    <w:t>24°20′42″</w:t>
                  </w:r>
                </w:p>
              </w:tc>
            </w:tr>
            <w:tr w14:paraId="27FEB0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7E6556CD">
                  <w:pPr>
                    <w:widowControl/>
                    <w:ind w:firstLine="420"/>
                    <w:jc w:val="both"/>
                    <w:rPr>
                      <w:rFonts w:cs="Times New Roman"/>
                      <w:kern w:val="0"/>
                      <w:sz w:val="21"/>
                      <w:szCs w:val="21"/>
                    </w:rPr>
                  </w:pPr>
                  <w:r>
                    <w:rPr>
                      <w:rFonts w:cs="Times New Roman"/>
                      <w:kern w:val="0"/>
                      <w:sz w:val="21"/>
                      <w:szCs w:val="21"/>
                    </w:rPr>
                    <w:t>23</w:t>
                  </w:r>
                </w:p>
              </w:tc>
              <w:tc>
                <w:tcPr>
                  <w:tcW w:w="1659" w:type="dxa"/>
                  <w:tcBorders>
                    <w:top w:val="single" w:color="auto" w:sz="6" w:space="0"/>
                    <w:left w:val="single" w:color="auto" w:sz="6" w:space="0"/>
                    <w:bottom w:val="single" w:color="auto" w:sz="6" w:space="0"/>
                    <w:right w:val="single" w:color="auto" w:sz="6" w:space="0"/>
                  </w:tcBorders>
                </w:tcPr>
                <w:p w14:paraId="02897AA8">
                  <w:pPr>
                    <w:widowControl/>
                    <w:ind w:firstLine="420"/>
                    <w:jc w:val="both"/>
                    <w:rPr>
                      <w:rFonts w:cs="Times New Roman"/>
                      <w:kern w:val="0"/>
                      <w:sz w:val="21"/>
                      <w:szCs w:val="21"/>
                    </w:rPr>
                  </w:pPr>
                  <w:r>
                    <w:rPr>
                      <w:rFonts w:cs="Times New Roman"/>
                      <w:kern w:val="0"/>
                      <w:sz w:val="21"/>
                      <w:szCs w:val="21"/>
                    </w:rPr>
                    <w:t>2693512.21</w:t>
                  </w:r>
                </w:p>
              </w:tc>
              <w:tc>
                <w:tcPr>
                  <w:tcW w:w="1575" w:type="dxa"/>
                  <w:tcBorders>
                    <w:top w:val="single" w:color="auto" w:sz="6" w:space="0"/>
                    <w:left w:val="single" w:color="auto" w:sz="6" w:space="0"/>
                    <w:bottom w:val="single" w:color="auto" w:sz="6" w:space="0"/>
                    <w:right w:val="single" w:color="auto" w:sz="6" w:space="0"/>
                  </w:tcBorders>
                </w:tcPr>
                <w:p w14:paraId="777B6E7F">
                  <w:pPr>
                    <w:widowControl/>
                    <w:ind w:firstLine="420"/>
                    <w:jc w:val="both"/>
                    <w:rPr>
                      <w:rFonts w:cs="Times New Roman"/>
                      <w:kern w:val="0"/>
                      <w:sz w:val="21"/>
                      <w:szCs w:val="21"/>
                    </w:rPr>
                  </w:pPr>
                  <w:r>
                    <w:rPr>
                      <w:rFonts w:cs="Times New Roman"/>
                      <w:kern w:val="0"/>
                      <w:sz w:val="21"/>
                      <w:szCs w:val="21"/>
                    </w:rPr>
                    <w:t>33443492.13</w:t>
                  </w:r>
                </w:p>
              </w:tc>
              <w:tc>
                <w:tcPr>
                  <w:tcW w:w="1785" w:type="dxa"/>
                  <w:tcBorders>
                    <w:top w:val="single" w:color="auto" w:sz="6" w:space="0"/>
                    <w:left w:val="single" w:color="auto" w:sz="6" w:space="0"/>
                    <w:bottom w:val="single" w:color="auto" w:sz="6" w:space="0"/>
                    <w:right w:val="single" w:color="auto" w:sz="6" w:space="0"/>
                  </w:tcBorders>
                </w:tcPr>
                <w:p w14:paraId="17FEA8B5">
                  <w:pPr>
                    <w:widowControl/>
                    <w:ind w:firstLine="420"/>
                    <w:jc w:val="both"/>
                    <w:rPr>
                      <w:rFonts w:cs="Times New Roman"/>
                      <w:kern w:val="0"/>
                      <w:sz w:val="21"/>
                      <w:szCs w:val="21"/>
                    </w:rPr>
                  </w:pPr>
                  <w:r>
                    <w:rPr>
                      <w:rFonts w:cs="Times New Roman"/>
                      <w:kern w:val="0"/>
                      <w:sz w:val="21"/>
                      <w:szCs w:val="21"/>
                    </w:rPr>
                    <w:t>098°26′35″</w:t>
                  </w:r>
                </w:p>
              </w:tc>
              <w:tc>
                <w:tcPr>
                  <w:tcW w:w="2205" w:type="dxa"/>
                  <w:tcBorders>
                    <w:top w:val="single" w:color="auto" w:sz="6" w:space="0"/>
                    <w:left w:val="single" w:color="auto" w:sz="6" w:space="0"/>
                    <w:bottom w:val="single" w:color="auto" w:sz="6" w:space="0"/>
                    <w:right w:val="single" w:color="auto" w:sz="18" w:space="0"/>
                  </w:tcBorders>
                </w:tcPr>
                <w:p w14:paraId="18B23B02">
                  <w:pPr>
                    <w:widowControl/>
                    <w:ind w:firstLine="420"/>
                    <w:jc w:val="both"/>
                    <w:rPr>
                      <w:rFonts w:cs="Times New Roman"/>
                      <w:kern w:val="0"/>
                      <w:sz w:val="21"/>
                      <w:szCs w:val="21"/>
                    </w:rPr>
                  </w:pPr>
                  <w:r>
                    <w:rPr>
                      <w:rFonts w:cs="Times New Roman"/>
                      <w:kern w:val="0"/>
                      <w:sz w:val="21"/>
                      <w:szCs w:val="21"/>
                    </w:rPr>
                    <w:t>24°20′39″</w:t>
                  </w:r>
                </w:p>
              </w:tc>
            </w:tr>
            <w:tr w14:paraId="6574E0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3B592F8E">
                  <w:pPr>
                    <w:widowControl/>
                    <w:ind w:firstLine="0" w:firstLineChars="0"/>
                    <w:jc w:val="both"/>
                    <w:rPr>
                      <w:rFonts w:cs="Times New Roman"/>
                      <w:kern w:val="0"/>
                      <w:sz w:val="21"/>
                      <w:szCs w:val="21"/>
                    </w:rPr>
                  </w:pPr>
                  <w:r>
                    <w:rPr>
                      <w:rFonts w:cs="Times New Roman"/>
                      <w:kern w:val="0"/>
                      <w:sz w:val="21"/>
                      <w:szCs w:val="21"/>
                    </w:rPr>
                    <w:t>矿区面积</w:t>
                  </w:r>
                </w:p>
              </w:tc>
              <w:tc>
                <w:tcPr>
                  <w:tcW w:w="7224" w:type="dxa"/>
                  <w:gridSpan w:val="4"/>
                  <w:tcBorders>
                    <w:top w:val="single" w:color="auto" w:sz="6" w:space="0"/>
                    <w:left w:val="single" w:color="auto" w:sz="6" w:space="0"/>
                    <w:bottom w:val="single" w:color="auto" w:sz="6" w:space="0"/>
                    <w:right w:val="single" w:color="auto" w:sz="18" w:space="0"/>
                  </w:tcBorders>
                </w:tcPr>
                <w:p w14:paraId="23F1BBF5">
                  <w:pPr>
                    <w:widowControl/>
                    <w:ind w:firstLine="420"/>
                    <w:jc w:val="center"/>
                    <w:rPr>
                      <w:rFonts w:cs="Times New Roman"/>
                      <w:kern w:val="0"/>
                      <w:sz w:val="21"/>
                      <w:szCs w:val="21"/>
                    </w:rPr>
                  </w:pPr>
                  <w:r>
                    <w:rPr>
                      <w:rFonts w:cs="Times New Roman"/>
                      <w:kern w:val="0"/>
                      <w:sz w:val="21"/>
                      <w:szCs w:val="21"/>
                    </w:rPr>
                    <w:t>0.3744km</w:t>
                  </w:r>
                  <w:r>
                    <w:rPr>
                      <w:rFonts w:cs="Times New Roman"/>
                      <w:kern w:val="0"/>
                      <w:sz w:val="21"/>
                      <w:szCs w:val="21"/>
                      <w:vertAlign w:val="superscript"/>
                    </w:rPr>
                    <w:t>2</w:t>
                  </w:r>
                </w:p>
              </w:tc>
            </w:tr>
            <w:tr w14:paraId="16AC5D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6" w:space="0"/>
                    <w:right w:val="single" w:color="auto" w:sz="6" w:space="0"/>
                  </w:tcBorders>
                </w:tcPr>
                <w:p w14:paraId="60EAA383">
                  <w:pPr>
                    <w:widowControl/>
                    <w:ind w:firstLine="0" w:firstLineChars="0"/>
                    <w:jc w:val="both"/>
                    <w:rPr>
                      <w:rFonts w:cs="Times New Roman"/>
                      <w:kern w:val="0"/>
                      <w:sz w:val="21"/>
                      <w:szCs w:val="21"/>
                    </w:rPr>
                  </w:pPr>
                  <w:r>
                    <w:rPr>
                      <w:rFonts w:cs="Times New Roman"/>
                      <w:kern w:val="0"/>
                      <w:sz w:val="21"/>
                      <w:szCs w:val="21"/>
                    </w:rPr>
                    <w:t>开采面积</w:t>
                  </w:r>
                </w:p>
              </w:tc>
              <w:tc>
                <w:tcPr>
                  <w:tcW w:w="7224" w:type="dxa"/>
                  <w:gridSpan w:val="4"/>
                  <w:tcBorders>
                    <w:top w:val="single" w:color="auto" w:sz="6" w:space="0"/>
                    <w:left w:val="single" w:color="auto" w:sz="6" w:space="0"/>
                    <w:bottom w:val="single" w:color="auto" w:sz="6" w:space="0"/>
                    <w:right w:val="single" w:color="auto" w:sz="18" w:space="0"/>
                  </w:tcBorders>
                </w:tcPr>
                <w:p w14:paraId="64707A4E">
                  <w:pPr>
                    <w:widowControl/>
                    <w:ind w:firstLine="420"/>
                    <w:jc w:val="center"/>
                    <w:rPr>
                      <w:rFonts w:cs="Times New Roman"/>
                      <w:kern w:val="0"/>
                      <w:sz w:val="21"/>
                      <w:szCs w:val="21"/>
                    </w:rPr>
                  </w:pPr>
                  <w:r>
                    <w:rPr>
                      <w:rFonts w:cs="Times New Roman"/>
                      <w:kern w:val="0"/>
                      <w:sz w:val="21"/>
                      <w:szCs w:val="21"/>
                    </w:rPr>
                    <w:t>0.2920km</w:t>
                  </w:r>
                  <w:r>
                    <w:rPr>
                      <w:rFonts w:cs="Times New Roman"/>
                      <w:kern w:val="0"/>
                      <w:sz w:val="21"/>
                      <w:szCs w:val="21"/>
                      <w:vertAlign w:val="superscript"/>
                    </w:rPr>
                    <w:t>2</w:t>
                  </w:r>
                </w:p>
              </w:tc>
            </w:tr>
            <w:tr w14:paraId="042F2F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5" w:type="dxa"/>
                  <w:tcBorders>
                    <w:top w:val="single" w:color="auto" w:sz="6" w:space="0"/>
                    <w:left w:val="single" w:color="auto" w:sz="18" w:space="0"/>
                    <w:bottom w:val="single" w:color="auto" w:sz="18" w:space="0"/>
                    <w:right w:val="single" w:color="auto" w:sz="6" w:space="0"/>
                  </w:tcBorders>
                </w:tcPr>
                <w:p w14:paraId="3A540331">
                  <w:pPr>
                    <w:widowControl/>
                    <w:ind w:firstLine="0" w:firstLineChars="0"/>
                    <w:jc w:val="both"/>
                    <w:rPr>
                      <w:rFonts w:cs="Times New Roman"/>
                      <w:kern w:val="0"/>
                      <w:sz w:val="21"/>
                      <w:szCs w:val="21"/>
                    </w:rPr>
                  </w:pPr>
                  <w:r>
                    <w:rPr>
                      <w:rFonts w:cs="Times New Roman"/>
                      <w:kern w:val="0"/>
                      <w:sz w:val="21"/>
                      <w:szCs w:val="21"/>
                    </w:rPr>
                    <w:t>开采标高</w:t>
                  </w:r>
                </w:p>
              </w:tc>
              <w:tc>
                <w:tcPr>
                  <w:tcW w:w="7224" w:type="dxa"/>
                  <w:gridSpan w:val="4"/>
                  <w:tcBorders>
                    <w:top w:val="single" w:color="auto" w:sz="6" w:space="0"/>
                    <w:left w:val="single" w:color="auto" w:sz="6" w:space="0"/>
                    <w:bottom w:val="single" w:color="auto" w:sz="18" w:space="0"/>
                    <w:right w:val="single" w:color="auto" w:sz="18" w:space="0"/>
                  </w:tcBorders>
                </w:tcPr>
                <w:p w14:paraId="36CF824B">
                  <w:pPr>
                    <w:widowControl/>
                    <w:ind w:firstLine="480"/>
                    <w:jc w:val="center"/>
                    <w:rPr>
                      <w:rFonts w:cs="Times New Roman"/>
                      <w:kern w:val="0"/>
                      <w:sz w:val="21"/>
                      <w:szCs w:val="21"/>
                    </w:rPr>
                  </w:pPr>
                  <w:r>
                    <w:rPr>
                      <w:rFonts w:cs="Times New Roman"/>
                      <w:bCs/>
                    </w:rPr>
                    <w:t>1225m~830m</w:t>
                  </w:r>
                </w:p>
              </w:tc>
            </w:tr>
          </w:tbl>
          <w:p w14:paraId="749337BD">
            <w:pPr>
              <w:pStyle w:val="31"/>
              <w:rPr>
                <w:rFonts w:cs="Times New Roman"/>
              </w:rPr>
            </w:pPr>
          </w:p>
          <w:p w14:paraId="63E920C5">
            <w:pPr>
              <w:ind w:firstLine="480"/>
              <w:rPr>
                <w:rFonts w:cs="Times New Roman"/>
                <w:bCs/>
              </w:rPr>
            </w:pPr>
            <w:r>
              <w:rPr>
                <w:rFonts w:cs="Times New Roman"/>
                <w:bCs/>
              </w:rPr>
              <w:t>（2）采空区</w:t>
            </w:r>
          </w:p>
          <w:p w14:paraId="4838031E">
            <w:pPr>
              <w:ind w:firstLine="480"/>
              <w:rPr>
                <w:rFonts w:cs="Times New Roman"/>
                <w:bCs/>
              </w:rPr>
            </w:pPr>
            <w:r>
              <w:rPr>
                <w:rFonts w:cs="Times New Roman"/>
                <w:bCs/>
              </w:rPr>
              <w:t>根据现场调查，矿区经过多年开采，已形成面积约15000m</w:t>
            </w:r>
            <w:r>
              <w:rPr>
                <w:rFonts w:cs="Times New Roman"/>
                <w:bCs/>
                <w:vertAlign w:val="superscript"/>
              </w:rPr>
              <w:t>2</w:t>
            </w:r>
            <w:r>
              <w:rPr>
                <w:rFonts w:cs="Times New Roman"/>
                <w:bCs/>
              </w:rPr>
              <w:t>的采空区。</w:t>
            </w:r>
          </w:p>
          <w:p w14:paraId="1149A82C">
            <w:pPr>
              <w:ind w:firstLine="482"/>
              <w:rPr>
                <w:rFonts w:cs="Times New Roman"/>
                <w:b/>
                <w:bCs/>
              </w:rPr>
            </w:pPr>
            <w:r>
              <w:rPr>
                <w:rFonts w:cs="Times New Roman"/>
                <w:b/>
                <w:bCs/>
              </w:rPr>
              <w:t>10、矿体特征</w:t>
            </w:r>
          </w:p>
          <w:p w14:paraId="67B28ED2">
            <w:pPr>
              <w:ind w:firstLine="480"/>
              <w:rPr>
                <w:rFonts w:cs="Times New Roman"/>
                <w:bCs/>
              </w:rPr>
            </w:pPr>
            <w:r>
              <w:rPr>
                <w:rFonts w:cs="Times New Roman"/>
                <w:bCs/>
              </w:rPr>
              <w:t>（1）矿体特征</w:t>
            </w:r>
          </w:p>
          <w:p w14:paraId="7A774F87">
            <w:pPr>
              <w:widowControl/>
              <w:adjustRightInd w:val="0"/>
              <w:snapToGrid w:val="0"/>
              <w:ind w:firstLine="480"/>
              <w:rPr>
                <w:rFonts w:cs="Times New Roman"/>
                <w:snapToGrid w:val="0"/>
                <w:kern w:val="30"/>
                <w:szCs w:val="24"/>
              </w:rPr>
            </w:pPr>
            <w:r>
              <w:rPr>
                <w:rFonts w:cs="Times New Roman"/>
                <w:snapToGrid w:val="0"/>
                <w:kern w:val="30"/>
                <w:szCs w:val="24"/>
              </w:rPr>
              <w:t>在矿权内共圈出矿体3个，分别赋存于侏罗系中统柳湾组第二层第一、二段，编号M1、M2、M3。本次工作对矿体形态、产状及规模叙述如下：</w:t>
            </w:r>
          </w:p>
          <w:p w14:paraId="72CCCBC5">
            <w:pPr>
              <w:widowControl/>
              <w:adjustRightInd w:val="0"/>
              <w:snapToGrid w:val="0"/>
              <w:ind w:firstLine="480"/>
              <w:rPr>
                <w:rFonts w:cs="Times New Roman"/>
                <w:snapToGrid w:val="0"/>
                <w:kern w:val="30"/>
                <w:szCs w:val="24"/>
              </w:rPr>
            </w:pPr>
            <w:r>
              <w:rPr>
                <w:rFonts w:cs="Times New Roman"/>
                <w:snapToGrid w:val="0"/>
                <w:kern w:val="30"/>
                <w:szCs w:val="24"/>
              </w:rPr>
              <w:t>M1位于F</w:t>
            </w:r>
            <w:r>
              <w:rPr>
                <w:rFonts w:cs="Times New Roman"/>
                <w:snapToGrid w:val="0"/>
                <w:kern w:val="30"/>
                <w:szCs w:val="24"/>
                <w:vertAlign w:val="subscript"/>
              </w:rPr>
              <w:t>3</w:t>
            </w:r>
            <w:r>
              <w:rPr>
                <w:rFonts w:cs="Times New Roman"/>
                <w:snapToGrid w:val="0"/>
                <w:kern w:val="30"/>
                <w:szCs w:val="24"/>
              </w:rPr>
              <w:t>以南矿区中部，赋存于侏罗系中统柳湾组第二层第一段上部，单斜层状产出，产状300～312°</w:t>
            </w:r>
            <w:r>
              <w:rPr>
                <w:rFonts w:hint="eastAsia" w:ascii="宋体" w:hAnsi="宋体" w:cs="宋体"/>
                <w:snapToGrid w:val="0"/>
                <w:kern w:val="30"/>
                <w:szCs w:val="24"/>
              </w:rPr>
              <w:t>∠</w:t>
            </w:r>
            <w:r>
              <w:rPr>
                <w:rFonts w:cs="Times New Roman"/>
                <w:snapToGrid w:val="0"/>
                <w:kern w:val="30"/>
                <w:szCs w:val="24"/>
              </w:rPr>
              <w:t>45～55°；平面上呈北敛南延带状延伸长＞600m，控制厚15～72m，平均43.5m。</w:t>
            </w:r>
          </w:p>
          <w:p w14:paraId="3D1BE0CD">
            <w:pPr>
              <w:widowControl/>
              <w:adjustRightInd w:val="0"/>
              <w:snapToGrid w:val="0"/>
              <w:ind w:firstLine="480"/>
              <w:rPr>
                <w:rFonts w:cs="Times New Roman"/>
                <w:snapToGrid w:val="0"/>
                <w:kern w:val="30"/>
                <w:szCs w:val="24"/>
              </w:rPr>
            </w:pPr>
            <w:r>
              <w:rPr>
                <w:rFonts w:cs="Times New Roman"/>
                <w:snapToGrid w:val="0"/>
                <w:kern w:val="30"/>
                <w:szCs w:val="24"/>
              </w:rPr>
              <w:t>M2位于F</w:t>
            </w:r>
            <w:r>
              <w:rPr>
                <w:rFonts w:cs="Times New Roman"/>
                <w:snapToGrid w:val="0"/>
                <w:kern w:val="30"/>
                <w:szCs w:val="24"/>
                <w:vertAlign w:val="subscript"/>
              </w:rPr>
              <w:t>3</w:t>
            </w:r>
            <w:r>
              <w:rPr>
                <w:rFonts w:cs="Times New Roman"/>
                <w:snapToGrid w:val="0"/>
                <w:kern w:val="30"/>
                <w:szCs w:val="24"/>
              </w:rPr>
              <w:t>以南矿区东部，赋存于侏罗系中统柳湾组第二层第一段下部，单斜层状产出，产状300～312°</w:t>
            </w:r>
            <w:r>
              <w:rPr>
                <w:rFonts w:hint="eastAsia" w:ascii="宋体" w:hAnsi="宋体" w:cs="宋体"/>
                <w:snapToGrid w:val="0"/>
                <w:kern w:val="30"/>
                <w:szCs w:val="24"/>
              </w:rPr>
              <w:t>∠</w:t>
            </w:r>
            <w:r>
              <w:rPr>
                <w:rFonts w:cs="Times New Roman"/>
                <w:snapToGrid w:val="0"/>
                <w:kern w:val="30"/>
                <w:szCs w:val="24"/>
              </w:rPr>
              <w:t>45～55°；平面上呈南敛北展倒三角形最大延伸长350m，控制厚141～206m，平均173.5m。</w:t>
            </w:r>
          </w:p>
          <w:p w14:paraId="24C0BC52">
            <w:pPr>
              <w:widowControl/>
              <w:adjustRightInd w:val="0"/>
              <w:snapToGrid w:val="0"/>
              <w:ind w:firstLine="480"/>
              <w:rPr>
                <w:rFonts w:cs="Times New Roman"/>
                <w:snapToGrid w:val="0"/>
                <w:kern w:val="30"/>
                <w:szCs w:val="24"/>
              </w:rPr>
            </w:pPr>
            <w:r>
              <w:rPr>
                <w:rFonts w:cs="Times New Roman"/>
                <w:snapToGrid w:val="0"/>
                <w:kern w:val="30"/>
                <w:szCs w:val="24"/>
              </w:rPr>
              <w:t>M3位于F</w:t>
            </w:r>
            <w:r>
              <w:rPr>
                <w:rFonts w:cs="Times New Roman"/>
                <w:snapToGrid w:val="0"/>
                <w:kern w:val="30"/>
                <w:szCs w:val="24"/>
                <w:vertAlign w:val="subscript"/>
              </w:rPr>
              <w:t>3</w:t>
            </w:r>
            <w:r>
              <w:rPr>
                <w:rFonts w:cs="Times New Roman"/>
                <w:snapToGrid w:val="0"/>
                <w:kern w:val="30"/>
                <w:szCs w:val="24"/>
              </w:rPr>
              <w:t>以北及矿区西部，赋存于侏罗系中统柳湾组第二层第二段，矿权内延伸长＞1500 m；受F</w:t>
            </w:r>
            <w:r>
              <w:rPr>
                <w:rFonts w:cs="Times New Roman"/>
                <w:snapToGrid w:val="0"/>
                <w:kern w:val="30"/>
                <w:szCs w:val="24"/>
                <w:vertAlign w:val="subscript"/>
              </w:rPr>
              <w:t>3</w:t>
            </w:r>
            <w:r>
              <w:rPr>
                <w:rFonts w:cs="Times New Roman"/>
                <w:snapToGrid w:val="0"/>
                <w:kern w:val="30"/>
                <w:szCs w:val="24"/>
              </w:rPr>
              <w:t>切错影响，断层以北呈轴向近南北背斜产出，西翼产状285～340°</w:t>
            </w:r>
            <w:r>
              <w:rPr>
                <w:rFonts w:hint="eastAsia" w:ascii="宋体" w:hAnsi="宋体" w:cs="宋体"/>
                <w:snapToGrid w:val="0"/>
                <w:kern w:val="30"/>
                <w:szCs w:val="24"/>
              </w:rPr>
              <w:t>∠</w:t>
            </w:r>
            <w:r>
              <w:rPr>
                <w:rFonts w:cs="Times New Roman"/>
                <w:snapToGrid w:val="0"/>
                <w:kern w:val="30"/>
                <w:szCs w:val="24"/>
              </w:rPr>
              <w:t>20～35°，东翼产状97～130°</w:t>
            </w:r>
            <w:r>
              <w:rPr>
                <w:rFonts w:hint="eastAsia" w:ascii="宋体" w:hAnsi="宋体" w:cs="宋体"/>
                <w:snapToGrid w:val="0"/>
                <w:kern w:val="30"/>
                <w:szCs w:val="24"/>
              </w:rPr>
              <w:t>∠</w:t>
            </w:r>
            <w:r>
              <w:rPr>
                <w:rFonts w:cs="Times New Roman"/>
                <w:snapToGrid w:val="0"/>
                <w:kern w:val="30"/>
                <w:szCs w:val="24"/>
              </w:rPr>
              <w:t>30～69°；以南单斜层状产出，产状303～335°</w:t>
            </w:r>
            <w:r>
              <w:rPr>
                <w:rFonts w:hint="eastAsia" w:ascii="宋体" w:hAnsi="宋体" w:cs="宋体"/>
                <w:snapToGrid w:val="0"/>
                <w:kern w:val="30"/>
                <w:szCs w:val="24"/>
              </w:rPr>
              <w:t>∠</w:t>
            </w:r>
            <w:r>
              <w:rPr>
                <w:rFonts w:cs="Times New Roman"/>
                <w:snapToGrid w:val="0"/>
                <w:kern w:val="30"/>
                <w:szCs w:val="24"/>
              </w:rPr>
              <w:t>33～45°；控制厚9～256 m，平均151.80m。</w:t>
            </w:r>
          </w:p>
          <w:p w14:paraId="6DC28DBF">
            <w:pPr>
              <w:ind w:firstLine="480"/>
              <w:rPr>
                <w:rFonts w:cs="Times New Roman"/>
                <w:bCs/>
              </w:rPr>
            </w:pPr>
            <w:r>
              <w:rPr>
                <w:rFonts w:cs="Times New Roman"/>
                <w:bCs/>
              </w:rPr>
              <w:t>（2）矿石质量</w:t>
            </w:r>
          </w:p>
          <w:p w14:paraId="14505263">
            <w:pPr>
              <w:ind w:firstLine="480"/>
              <w:rPr>
                <w:rFonts w:cs="Times New Roman"/>
                <w:bCs/>
                <w:szCs w:val="24"/>
              </w:rPr>
            </w:pPr>
            <w:r>
              <w:rPr>
                <w:rFonts w:hint="eastAsia" w:ascii="宋体" w:hAnsi="宋体" w:cs="宋体"/>
                <w:bCs/>
                <w:szCs w:val="24"/>
              </w:rPr>
              <w:t>①</w:t>
            </w:r>
            <w:r>
              <w:rPr>
                <w:rFonts w:cs="Times New Roman"/>
                <w:bCs/>
                <w:szCs w:val="24"/>
              </w:rPr>
              <w:t>矿石的结构构造</w:t>
            </w:r>
          </w:p>
          <w:p w14:paraId="763B3079">
            <w:pPr>
              <w:ind w:firstLine="480"/>
              <w:rPr>
                <w:rFonts w:cs="Times New Roman"/>
                <w:szCs w:val="24"/>
              </w:rPr>
            </w:pPr>
            <w:r>
              <w:rPr>
                <w:rFonts w:cs="Times New Roman"/>
                <w:szCs w:val="24"/>
              </w:rPr>
              <w:t>矿石按其矿物组合及生物碎屑含量特征分为三种自然类型，即凝块灰岩、鲕状灰岩、硅质灰岩。凝块灰岩占矿石总量的87.52％。隐晶～细粒及凝块结构，少量砂屑及含生物碎屑结，块状构造。鲕状灰岩，主要分布M1、M2顶部，占矿石总量的5.37%。具隐晶～细粒及鲕状结构，块状构造，鲕粒呈圆形及椭圆形，切面具3～5圈同心圆。硅质灰岩，主要分布于鲕状灰岩中，占矿石总量的7.11％。具隐晶～细粒及凝块结构，块状构造，断口多呈似贝壳状。</w:t>
            </w:r>
          </w:p>
          <w:p w14:paraId="3183EA47">
            <w:pPr>
              <w:ind w:firstLine="480"/>
              <w:rPr>
                <w:rFonts w:cs="Times New Roman"/>
                <w:bCs/>
                <w:szCs w:val="24"/>
              </w:rPr>
            </w:pPr>
            <w:r>
              <w:rPr>
                <w:rFonts w:hint="eastAsia" w:ascii="宋体" w:hAnsi="宋体" w:cs="宋体"/>
                <w:bCs/>
                <w:szCs w:val="24"/>
              </w:rPr>
              <w:t>②</w:t>
            </w:r>
            <w:r>
              <w:rPr>
                <w:rFonts w:cs="Times New Roman"/>
                <w:bCs/>
                <w:szCs w:val="24"/>
              </w:rPr>
              <w:t xml:space="preserve">矿石的物质组分 </w:t>
            </w:r>
          </w:p>
          <w:p w14:paraId="066FC659">
            <w:pPr>
              <w:ind w:firstLine="480"/>
              <w:rPr>
                <w:rFonts w:cs="Times New Roman"/>
                <w:bCs/>
                <w:szCs w:val="24"/>
              </w:rPr>
            </w:pPr>
            <w:r>
              <w:rPr>
                <w:rFonts w:cs="Times New Roman"/>
                <w:bCs/>
                <w:szCs w:val="24"/>
              </w:rPr>
              <w:t>本矿山矿石主要为灰色、青灰色中厚层状灰岩，灰岩的矿物成分较稳定，主要由方解石、白云石、少量褐铁矿、石英组成。</w:t>
            </w:r>
          </w:p>
          <w:p w14:paraId="41B8C813">
            <w:pPr>
              <w:ind w:firstLine="480"/>
              <w:rPr>
                <w:rFonts w:cs="Times New Roman"/>
                <w:bCs/>
                <w:szCs w:val="24"/>
              </w:rPr>
            </w:pPr>
            <w:r>
              <w:rPr>
                <w:rFonts w:hint="eastAsia" w:ascii="宋体" w:hAnsi="宋体" w:cs="宋体"/>
                <w:bCs/>
                <w:szCs w:val="24"/>
              </w:rPr>
              <w:t>③</w:t>
            </w:r>
            <w:r>
              <w:rPr>
                <w:rFonts w:cs="Times New Roman"/>
                <w:bCs/>
                <w:szCs w:val="24"/>
              </w:rPr>
              <w:t xml:space="preserve">矿石的化学成分 </w:t>
            </w:r>
          </w:p>
          <w:p w14:paraId="326FDD8D">
            <w:pPr>
              <w:topLinePunct/>
              <w:adjustRightInd w:val="0"/>
              <w:snapToGrid w:val="0"/>
              <w:ind w:firstLine="480"/>
              <w:rPr>
                <w:rFonts w:cs="Times New Roman"/>
                <w:szCs w:val="24"/>
              </w:rPr>
            </w:pPr>
            <w:r>
              <w:rPr>
                <w:rFonts w:cs="Times New Roman"/>
                <w:szCs w:val="24"/>
              </w:rPr>
              <w:t>矿石</w:t>
            </w:r>
            <w:r>
              <w:rPr>
                <w:rFonts w:hint="eastAsia" w:cs="Times New Roman"/>
                <w:szCs w:val="24"/>
                <w:lang w:eastAsia="zh-CN"/>
              </w:rPr>
              <w:t>化学成分</w:t>
            </w:r>
            <w:r>
              <w:rPr>
                <w:rFonts w:cs="Times New Roman"/>
                <w:szCs w:val="24"/>
              </w:rPr>
              <w:t>CaO：49.71～50.83％，加权平均49.98％；MgO：1.67～2.03％，加权平均l.84％；SiO</w:t>
            </w:r>
            <w:r>
              <w:rPr>
                <w:rFonts w:cs="Times New Roman"/>
                <w:szCs w:val="24"/>
                <w:vertAlign w:val="subscript"/>
              </w:rPr>
              <w:t>2</w:t>
            </w:r>
            <w:r>
              <w:rPr>
                <w:rFonts w:cs="Times New Roman"/>
                <w:szCs w:val="24"/>
              </w:rPr>
              <w:t>：2.00～5.21％，加权平均4.32％；Fe</w:t>
            </w:r>
            <w:r>
              <w:rPr>
                <w:rFonts w:cs="Times New Roman"/>
                <w:szCs w:val="24"/>
                <w:vertAlign w:val="subscript"/>
              </w:rPr>
              <w:t>2</w:t>
            </w:r>
            <w:r>
              <w:rPr>
                <w:rFonts w:cs="Times New Roman"/>
                <w:szCs w:val="24"/>
              </w:rPr>
              <w:t>O</w:t>
            </w:r>
            <w:r>
              <w:rPr>
                <w:rFonts w:cs="Times New Roman"/>
                <w:szCs w:val="24"/>
                <w:vertAlign w:val="subscript"/>
              </w:rPr>
              <w:t>3</w:t>
            </w:r>
            <w:r>
              <w:rPr>
                <w:rFonts w:cs="Times New Roman"/>
                <w:szCs w:val="24"/>
              </w:rPr>
              <w:t>：0.25～0.69％，加权平均0.51％；Al</w:t>
            </w:r>
            <w:r>
              <w:rPr>
                <w:rFonts w:cs="Times New Roman"/>
                <w:szCs w:val="24"/>
                <w:vertAlign w:val="subscript"/>
              </w:rPr>
              <w:t>2</w:t>
            </w:r>
            <w:r>
              <w:rPr>
                <w:rFonts w:cs="Times New Roman"/>
                <w:szCs w:val="24"/>
              </w:rPr>
              <w:t>O</w:t>
            </w:r>
            <w:r>
              <w:rPr>
                <w:rFonts w:cs="Times New Roman"/>
                <w:szCs w:val="24"/>
                <w:vertAlign w:val="subscript"/>
              </w:rPr>
              <w:t>3</w:t>
            </w:r>
            <w:r>
              <w:rPr>
                <w:rFonts w:cs="Times New Roman"/>
                <w:szCs w:val="24"/>
              </w:rPr>
              <w:t>：0.70～1.54％，加权平均0.95％；Loss ：39.369%～43.10%，加权平均41.16%。有益有害组份达水泥用石灰质原料</w:t>
            </w:r>
            <w:r>
              <w:rPr>
                <w:rFonts w:hint="eastAsia" w:ascii="宋体" w:hAnsi="宋体" w:cs="宋体"/>
                <w:szCs w:val="24"/>
              </w:rPr>
              <w:t>Ⅰ</w:t>
            </w:r>
            <w:r>
              <w:rPr>
                <w:rFonts w:cs="Times New Roman"/>
                <w:szCs w:val="24"/>
              </w:rPr>
              <w:t>级品。</w:t>
            </w:r>
          </w:p>
          <w:p w14:paraId="58683DE4">
            <w:pPr>
              <w:ind w:firstLine="480"/>
              <w:rPr>
                <w:rFonts w:cs="Times New Roman"/>
                <w:bCs/>
                <w:szCs w:val="24"/>
              </w:rPr>
            </w:pPr>
            <w:r>
              <w:rPr>
                <w:rFonts w:hint="eastAsia" w:ascii="宋体" w:hAnsi="宋体" w:cs="宋体"/>
                <w:bCs/>
                <w:szCs w:val="24"/>
              </w:rPr>
              <w:t>④</w:t>
            </w:r>
            <w:r>
              <w:rPr>
                <w:rFonts w:cs="Times New Roman"/>
                <w:bCs/>
                <w:szCs w:val="24"/>
              </w:rPr>
              <w:t xml:space="preserve">矿石风（氧）化特征 </w:t>
            </w:r>
          </w:p>
          <w:p w14:paraId="4B9E1E8A">
            <w:pPr>
              <w:ind w:firstLine="480"/>
              <w:rPr>
                <w:rFonts w:cs="Times New Roman"/>
                <w:bCs/>
                <w:szCs w:val="24"/>
              </w:rPr>
            </w:pPr>
            <w:r>
              <w:rPr>
                <w:rFonts w:cs="Times New Roman"/>
                <w:bCs/>
                <w:szCs w:val="24"/>
              </w:rPr>
              <w:t>矿区属侵蚀、溶蚀地貌，灰岩裸露，弱风化。</w:t>
            </w:r>
          </w:p>
          <w:p w14:paraId="761E5FD4">
            <w:pPr>
              <w:ind w:firstLine="482"/>
              <w:rPr>
                <w:rFonts w:cs="Times New Roman"/>
                <w:b/>
              </w:rPr>
            </w:pPr>
            <w:r>
              <w:rPr>
                <w:rFonts w:cs="Times New Roman"/>
                <w:b/>
                <w:bCs/>
              </w:rPr>
              <w:t>11</w:t>
            </w:r>
            <w:r>
              <w:rPr>
                <w:rFonts w:cs="Times New Roman"/>
                <w:b/>
              </w:rPr>
              <w:t>、施工总布置</w:t>
            </w:r>
          </w:p>
          <w:p w14:paraId="28740242">
            <w:pPr>
              <w:ind w:firstLine="480"/>
              <w:rPr>
                <w:rFonts w:cs="Times New Roman"/>
              </w:rPr>
            </w:pPr>
            <w:r>
              <w:rPr>
                <w:rFonts w:cs="Times New Roman"/>
              </w:rPr>
              <w:t>（1）施工条件</w:t>
            </w:r>
          </w:p>
          <w:p w14:paraId="4A392C94">
            <w:pPr>
              <w:ind w:firstLine="480"/>
              <w:rPr>
                <w:rFonts w:cs="Times New Roman"/>
              </w:rPr>
            </w:pPr>
            <w:r>
              <w:rPr>
                <w:rFonts w:hint="eastAsia" w:ascii="宋体" w:hAnsi="宋体" w:cs="宋体"/>
              </w:rPr>
              <w:t>①</w:t>
            </w:r>
            <w:r>
              <w:rPr>
                <w:rFonts w:cs="Times New Roman"/>
              </w:rPr>
              <w:t>施工道路</w:t>
            </w:r>
          </w:p>
          <w:p w14:paraId="58A318C6">
            <w:pPr>
              <w:ind w:firstLine="480"/>
              <w:rPr>
                <w:rFonts w:cs="Times New Roman"/>
              </w:rPr>
            </w:pPr>
            <w:r>
              <w:rPr>
                <w:rFonts w:cs="Times New Roman"/>
              </w:rPr>
              <w:t>项目区</w:t>
            </w:r>
            <w:r>
              <w:rPr>
                <w:rFonts w:cs="Times New Roman"/>
                <w:bCs/>
              </w:rPr>
              <w:t>已有简易道路连接115乡道，工程在原有占地范围内进行，</w:t>
            </w:r>
            <w:r>
              <w:rPr>
                <w:rFonts w:cs="Times New Roman"/>
              </w:rPr>
              <w:t>工程施工时不必新建道路。</w:t>
            </w:r>
          </w:p>
          <w:p w14:paraId="4B10E7B6">
            <w:pPr>
              <w:ind w:firstLine="480"/>
              <w:rPr>
                <w:rFonts w:cs="Times New Roman"/>
              </w:rPr>
            </w:pPr>
            <w:r>
              <w:rPr>
                <w:rFonts w:hint="eastAsia" w:ascii="宋体" w:hAnsi="宋体" w:cs="宋体"/>
              </w:rPr>
              <w:t>②</w:t>
            </w:r>
            <w:r>
              <w:rPr>
                <w:rFonts w:cs="Times New Roman"/>
              </w:rPr>
              <w:t>建筑材料</w:t>
            </w:r>
          </w:p>
          <w:p w14:paraId="0DE692C4">
            <w:pPr>
              <w:ind w:firstLine="480"/>
              <w:rPr>
                <w:rFonts w:cs="Times New Roman"/>
              </w:rPr>
            </w:pPr>
            <w:r>
              <w:rPr>
                <w:rFonts w:cs="Times New Roman"/>
              </w:rPr>
              <w:t>施工时所需建筑材料（如水泥、砖等）均从芒市购买。</w:t>
            </w:r>
          </w:p>
          <w:p w14:paraId="44FEA3D7">
            <w:pPr>
              <w:ind w:firstLine="480"/>
              <w:rPr>
                <w:rFonts w:cs="Times New Roman"/>
              </w:rPr>
            </w:pPr>
            <w:r>
              <w:rPr>
                <w:rFonts w:hint="eastAsia" w:ascii="宋体" w:hAnsi="宋体" w:cs="宋体"/>
              </w:rPr>
              <w:t>③</w:t>
            </w:r>
            <w:r>
              <w:rPr>
                <w:rFonts w:cs="Times New Roman"/>
              </w:rPr>
              <w:t>施工营地及施工人员</w:t>
            </w:r>
          </w:p>
          <w:p w14:paraId="7BFDFCF6">
            <w:pPr>
              <w:ind w:firstLine="480"/>
              <w:rPr>
                <w:rFonts w:cs="Times New Roman"/>
              </w:rPr>
            </w:pPr>
            <w:r>
              <w:rPr>
                <w:rFonts w:cs="Times New Roman"/>
              </w:rPr>
              <w:t>施工人员住宿于已有生活区，施工人员约为18人/日。</w:t>
            </w:r>
          </w:p>
          <w:p w14:paraId="562B639C">
            <w:pPr>
              <w:ind w:firstLine="480"/>
              <w:rPr>
                <w:rFonts w:cs="Times New Roman"/>
              </w:rPr>
            </w:pPr>
            <w:r>
              <w:rPr>
                <w:rFonts w:cs="Times New Roman"/>
              </w:rPr>
              <w:t>（2）施工三场设置</w:t>
            </w:r>
          </w:p>
          <w:p w14:paraId="0B596C52">
            <w:pPr>
              <w:ind w:firstLine="480"/>
              <w:rPr>
                <w:rFonts w:cs="Times New Roman"/>
              </w:rPr>
            </w:pPr>
            <w:r>
              <w:rPr>
                <w:rFonts w:cs="Times New Roman"/>
              </w:rPr>
              <w:t>项目属于扩建工程，大部分设施已经建设完成。项目施工产生土石方运往弃渣场；项目工程均在现有占地范围内施工，不设表土堆场；项目工程所需砂石料采用项目产品，不设砂石料场。</w:t>
            </w:r>
          </w:p>
          <w:p w14:paraId="2674BB58">
            <w:pPr>
              <w:ind w:firstLine="480"/>
              <w:rPr>
                <w:rFonts w:cs="Times New Roman"/>
              </w:rPr>
            </w:pPr>
            <w:r>
              <w:rPr>
                <w:rFonts w:cs="Times New Roman"/>
              </w:rPr>
              <w:t>（3）剩余施工工期</w:t>
            </w:r>
          </w:p>
          <w:p w14:paraId="24EEC79D">
            <w:pPr>
              <w:ind w:firstLine="480"/>
              <w:rPr>
                <w:rFonts w:cs="Times New Roman"/>
              </w:rPr>
            </w:pPr>
            <w:r>
              <w:rPr>
                <w:rFonts w:cs="Times New Roman"/>
              </w:rPr>
              <w:t>项目已建成运营，剩余需完善的工程总工期为2个月。</w:t>
            </w:r>
          </w:p>
          <w:p w14:paraId="7C74D8B2">
            <w:pPr>
              <w:ind w:firstLine="482"/>
              <w:rPr>
                <w:rFonts w:cs="Times New Roman"/>
                <w:b/>
              </w:rPr>
            </w:pPr>
            <w:r>
              <w:rPr>
                <w:rFonts w:cs="Times New Roman"/>
                <w:b/>
              </w:rPr>
              <w:t>12、项目主要经济技术指标</w:t>
            </w:r>
          </w:p>
          <w:p w14:paraId="77C55D7B">
            <w:pPr>
              <w:ind w:firstLine="480"/>
              <w:rPr>
                <w:rFonts w:cs="Times New Roman"/>
              </w:rPr>
            </w:pPr>
            <w:r>
              <w:rPr>
                <w:rFonts w:cs="Times New Roman"/>
              </w:rPr>
              <w:t>项目主要经济技术指标详见表1-7。</w:t>
            </w:r>
          </w:p>
          <w:p w14:paraId="215F0431">
            <w:pPr>
              <w:pStyle w:val="31"/>
              <w:rPr>
                <w:rFonts w:cs="Times New Roman"/>
              </w:rPr>
            </w:pPr>
            <w:r>
              <w:rPr>
                <w:rFonts w:cs="Times New Roman"/>
              </w:rPr>
              <w:t>表1-7  经济技术指标表</w:t>
            </w:r>
          </w:p>
          <w:tbl>
            <w:tblPr>
              <w:tblStyle w:val="21"/>
              <w:tblW w:w="91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6"/>
              <w:gridCol w:w="2868"/>
              <w:gridCol w:w="1401"/>
              <w:gridCol w:w="2391"/>
              <w:gridCol w:w="1754"/>
            </w:tblGrid>
            <w:tr w14:paraId="140A3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blHeader/>
                <w:jc w:val="center"/>
              </w:trPr>
              <w:tc>
                <w:tcPr>
                  <w:tcW w:w="766" w:type="dxa"/>
                  <w:shd w:val="clear" w:color="auto" w:fill="auto"/>
                  <w:vAlign w:val="center"/>
                </w:tcPr>
                <w:p w14:paraId="42BECA9B">
                  <w:pPr>
                    <w:pStyle w:val="52"/>
                    <w:rPr>
                      <w:color w:val="auto"/>
                      <w:szCs w:val="21"/>
                    </w:rPr>
                  </w:pPr>
                  <w:r>
                    <w:rPr>
                      <w:color w:val="auto"/>
                      <w:szCs w:val="21"/>
                    </w:rPr>
                    <w:t>序号</w:t>
                  </w:r>
                </w:p>
              </w:tc>
              <w:tc>
                <w:tcPr>
                  <w:tcW w:w="2868" w:type="dxa"/>
                  <w:shd w:val="clear" w:color="auto" w:fill="auto"/>
                  <w:vAlign w:val="center"/>
                </w:tcPr>
                <w:p w14:paraId="2232294A">
                  <w:pPr>
                    <w:pStyle w:val="52"/>
                    <w:rPr>
                      <w:color w:val="auto"/>
                      <w:szCs w:val="21"/>
                    </w:rPr>
                  </w:pPr>
                  <w:r>
                    <w:rPr>
                      <w:color w:val="auto"/>
                      <w:szCs w:val="21"/>
                    </w:rPr>
                    <w:t>项目名称</w:t>
                  </w:r>
                </w:p>
              </w:tc>
              <w:tc>
                <w:tcPr>
                  <w:tcW w:w="1401" w:type="dxa"/>
                  <w:shd w:val="clear" w:color="auto" w:fill="auto"/>
                  <w:vAlign w:val="center"/>
                </w:tcPr>
                <w:p w14:paraId="38F3207C">
                  <w:pPr>
                    <w:pStyle w:val="52"/>
                    <w:rPr>
                      <w:color w:val="auto"/>
                      <w:szCs w:val="21"/>
                    </w:rPr>
                  </w:pPr>
                  <w:r>
                    <w:rPr>
                      <w:color w:val="auto"/>
                      <w:szCs w:val="21"/>
                    </w:rPr>
                    <w:t>单位</w:t>
                  </w:r>
                </w:p>
              </w:tc>
              <w:tc>
                <w:tcPr>
                  <w:tcW w:w="2391" w:type="dxa"/>
                  <w:shd w:val="clear" w:color="auto" w:fill="auto"/>
                  <w:vAlign w:val="center"/>
                </w:tcPr>
                <w:p w14:paraId="0F3C38B0">
                  <w:pPr>
                    <w:pStyle w:val="52"/>
                    <w:rPr>
                      <w:color w:val="auto"/>
                      <w:szCs w:val="21"/>
                    </w:rPr>
                  </w:pPr>
                  <w:r>
                    <w:rPr>
                      <w:color w:val="auto"/>
                      <w:szCs w:val="21"/>
                    </w:rPr>
                    <w:t>指标</w:t>
                  </w:r>
                </w:p>
              </w:tc>
              <w:tc>
                <w:tcPr>
                  <w:tcW w:w="1754" w:type="dxa"/>
                  <w:shd w:val="clear" w:color="auto" w:fill="auto"/>
                  <w:vAlign w:val="center"/>
                </w:tcPr>
                <w:p w14:paraId="46E52297">
                  <w:pPr>
                    <w:pStyle w:val="52"/>
                    <w:rPr>
                      <w:color w:val="auto"/>
                      <w:szCs w:val="21"/>
                    </w:rPr>
                  </w:pPr>
                  <w:r>
                    <w:rPr>
                      <w:color w:val="auto"/>
                      <w:szCs w:val="21"/>
                    </w:rPr>
                    <w:t>备  注</w:t>
                  </w:r>
                </w:p>
              </w:tc>
            </w:tr>
            <w:tr w14:paraId="3E570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42D8AAB8">
                  <w:pPr>
                    <w:pStyle w:val="52"/>
                    <w:rPr>
                      <w:color w:val="auto"/>
                      <w:szCs w:val="21"/>
                    </w:rPr>
                  </w:pPr>
                  <w:r>
                    <w:rPr>
                      <w:color w:val="auto"/>
                      <w:szCs w:val="21"/>
                    </w:rPr>
                    <w:t>一</w:t>
                  </w:r>
                </w:p>
              </w:tc>
              <w:tc>
                <w:tcPr>
                  <w:tcW w:w="2868" w:type="dxa"/>
                  <w:shd w:val="clear" w:color="auto" w:fill="auto"/>
                  <w:vAlign w:val="center"/>
                </w:tcPr>
                <w:p w14:paraId="3D9E8681">
                  <w:pPr>
                    <w:pStyle w:val="52"/>
                    <w:rPr>
                      <w:color w:val="auto"/>
                      <w:szCs w:val="21"/>
                    </w:rPr>
                  </w:pPr>
                  <w:r>
                    <w:rPr>
                      <w:color w:val="auto"/>
                      <w:szCs w:val="21"/>
                    </w:rPr>
                    <w:t>地质资源及储量</w:t>
                  </w:r>
                </w:p>
              </w:tc>
              <w:tc>
                <w:tcPr>
                  <w:tcW w:w="1401" w:type="dxa"/>
                  <w:shd w:val="clear" w:color="auto" w:fill="auto"/>
                  <w:vAlign w:val="center"/>
                </w:tcPr>
                <w:p w14:paraId="027E9494">
                  <w:pPr>
                    <w:pStyle w:val="52"/>
                    <w:rPr>
                      <w:color w:val="auto"/>
                      <w:szCs w:val="21"/>
                    </w:rPr>
                  </w:pPr>
                </w:p>
              </w:tc>
              <w:tc>
                <w:tcPr>
                  <w:tcW w:w="2391" w:type="dxa"/>
                  <w:shd w:val="clear" w:color="auto" w:fill="auto"/>
                  <w:vAlign w:val="center"/>
                </w:tcPr>
                <w:p w14:paraId="4907C84C">
                  <w:pPr>
                    <w:pStyle w:val="52"/>
                    <w:rPr>
                      <w:color w:val="auto"/>
                      <w:szCs w:val="21"/>
                    </w:rPr>
                  </w:pPr>
                </w:p>
              </w:tc>
              <w:tc>
                <w:tcPr>
                  <w:tcW w:w="1754" w:type="dxa"/>
                  <w:shd w:val="clear" w:color="auto" w:fill="auto"/>
                  <w:vAlign w:val="center"/>
                </w:tcPr>
                <w:p w14:paraId="67AE0DED">
                  <w:pPr>
                    <w:pStyle w:val="52"/>
                    <w:rPr>
                      <w:color w:val="auto"/>
                      <w:szCs w:val="21"/>
                    </w:rPr>
                  </w:pPr>
                </w:p>
              </w:tc>
            </w:tr>
            <w:tr w14:paraId="7147B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blHeader/>
                <w:jc w:val="center"/>
              </w:trPr>
              <w:tc>
                <w:tcPr>
                  <w:tcW w:w="766" w:type="dxa"/>
                  <w:shd w:val="clear" w:color="auto" w:fill="auto"/>
                  <w:vAlign w:val="center"/>
                </w:tcPr>
                <w:p w14:paraId="39F8170F">
                  <w:pPr>
                    <w:pStyle w:val="52"/>
                    <w:rPr>
                      <w:color w:val="auto"/>
                      <w:szCs w:val="21"/>
                    </w:rPr>
                  </w:pPr>
                  <w:r>
                    <w:rPr>
                      <w:color w:val="auto"/>
                      <w:szCs w:val="21"/>
                    </w:rPr>
                    <w:t>1</w:t>
                  </w:r>
                </w:p>
              </w:tc>
              <w:tc>
                <w:tcPr>
                  <w:tcW w:w="2868" w:type="dxa"/>
                  <w:shd w:val="clear" w:color="auto" w:fill="auto"/>
                  <w:vAlign w:val="center"/>
                </w:tcPr>
                <w:p w14:paraId="573E7122">
                  <w:pPr>
                    <w:pStyle w:val="52"/>
                    <w:rPr>
                      <w:color w:val="auto"/>
                      <w:szCs w:val="21"/>
                    </w:rPr>
                  </w:pPr>
                  <w:r>
                    <w:rPr>
                      <w:color w:val="auto"/>
                      <w:szCs w:val="21"/>
                    </w:rPr>
                    <w:t>保有资源量</w:t>
                  </w:r>
                </w:p>
              </w:tc>
              <w:tc>
                <w:tcPr>
                  <w:tcW w:w="1401" w:type="dxa"/>
                  <w:shd w:val="clear" w:color="auto" w:fill="auto"/>
                  <w:vAlign w:val="center"/>
                </w:tcPr>
                <w:p w14:paraId="4E161AE0">
                  <w:pPr>
                    <w:pStyle w:val="52"/>
                    <w:rPr>
                      <w:color w:val="auto"/>
                      <w:szCs w:val="21"/>
                    </w:rPr>
                  </w:pPr>
                  <w:r>
                    <w:rPr>
                      <w:color w:val="auto"/>
                      <w:szCs w:val="21"/>
                    </w:rPr>
                    <w:t>万m</w:t>
                  </w:r>
                  <w:r>
                    <w:rPr>
                      <w:color w:val="auto"/>
                      <w:szCs w:val="21"/>
                      <w:vertAlign w:val="superscript"/>
                    </w:rPr>
                    <w:t>3</w:t>
                  </w:r>
                  <w:r>
                    <w:rPr>
                      <w:color w:val="auto"/>
                      <w:szCs w:val="21"/>
                    </w:rPr>
                    <w:t>（万t）</w:t>
                  </w:r>
                </w:p>
              </w:tc>
              <w:tc>
                <w:tcPr>
                  <w:tcW w:w="2391" w:type="dxa"/>
                  <w:shd w:val="clear" w:color="auto" w:fill="auto"/>
                  <w:vAlign w:val="center"/>
                </w:tcPr>
                <w:p w14:paraId="4E14972E">
                  <w:pPr>
                    <w:pStyle w:val="52"/>
                    <w:rPr>
                      <w:color w:val="auto"/>
                      <w:szCs w:val="21"/>
                    </w:rPr>
                  </w:pPr>
                  <w:r>
                    <w:rPr>
                      <w:color w:val="auto"/>
                      <w:szCs w:val="21"/>
                    </w:rPr>
                    <w:t>530.13（1426.05）</w:t>
                  </w:r>
                </w:p>
              </w:tc>
              <w:tc>
                <w:tcPr>
                  <w:tcW w:w="1754" w:type="dxa"/>
                  <w:shd w:val="clear" w:color="auto" w:fill="auto"/>
                  <w:vAlign w:val="center"/>
                </w:tcPr>
                <w:p w14:paraId="33381A4D">
                  <w:pPr>
                    <w:pStyle w:val="52"/>
                    <w:rPr>
                      <w:color w:val="auto"/>
                      <w:szCs w:val="21"/>
                    </w:rPr>
                  </w:pPr>
                </w:p>
              </w:tc>
            </w:tr>
            <w:tr w14:paraId="721DE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5CA941FB">
                  <w:pPr>
                    <w:pStyle w:val="52"/>
                    <w:rPr>
                      <w:color w:val="auto"/>
                      <w:szCs w:val="21"/>
                    </w:rPr>
                  </w:pPr>
                  <w:r>
                    <w:rPr>
                      <w:color w:val="auto"/>
                      <w:szCs w:val="21"/>
                    </w:rPr>
                    <w:t>2</w:t>
                  </w:r>
                </w:p>
              </w:tc>
              <w:tc>
                <w:tcPr>
                  <w:tcW w:w="2868" w:type="dxa"/>
                  <w:shd w:val="clear" w:color="auto" w:fill="auto"/>
                  <w:vAlign w:val="center"/>
                </w:tcPr>
                <w:p w14:paraId="64AEC112">
                  <w:pPr>
                    <w:pStyle w:val="52"/>
                    <w:rPr>
                      <w:color w:val="auto"/>
                      <w:szCs w:val="21"/>
                    </w:rPr>
                  </w:pPr>
                  <w:r>
                    <w:rPr>
                      <w:color w:val="auto"/>
                      <w:szCs w:val="21"/>
                    </w:rPr>
                    <w:t>设计可采储量</w:t>
                  </w:r>
                </w:p>
              </w:tc>
              <w:tc>
                <w:tcPr>
                  <w:tcW w:w="1401" w:type="dxa"/>
                  <w:shd w:val="clear" w:color="auto" w:fill="auto"/>
                  <w:vAlign w:val="center"/>
                </w:tcPr>
                <w:p w14:paraId="7BBF5B11">
                  <w:pPr>
                    <w:pStyle w:val="52"/>
                    <w:rPr>
                      <w:color w:val="auto"/>
                      <w:szCs w:val="21"/>
                    </w:rPr>
                  </w:pPr>
                  <w:r>
                    <w:rPr>
                      <w:color w:val="auto"/>
                      <w:szCs w:val="21"/>
                    </w:rPr>
                    <w:t>万m</w:t>
                  </w:r>
                  <w:r>
                    <w:rPr>
                      <w:color w:val="auto"/>
                      <w:szCs w:val="21"/>
                      <w:vertAlign w:val="superscript"/>
                    </w:rPr>
                    <w:t>3</w:t>
                  </w:r>
                  <w:r>
                    <w:rPr>
                      <w:color w:val="auto"/>
                      <w:szCs w:val="21"/>
                    </w:rPr>
                    <w:t>（万t）</w:t>
                  </w:r>
                </w:p>
              </w:tc>
              <w:tc>
                <w:tcPr>
                  <w:tcW w:w="2391" w:type="dxa"/>
                  <w:shd w:val="clear" w:color="auto" w:fill="auto"/>
                  <w:vAlign w:val="center"/>
                </w:tcPr>
                <w:p w14:paraId="43833CB8">
                  <w:pPr>
                    <w:pStyle w:val="52"/>
                    <w:rPr>
                      <w:color w:val="auto"/>
                      <w:szCs w:val="21"/>
                    </w:rPr>
                  </w:pPr>
                  <w:r>
                    <w:rPr>
                      <w:color w:val="auto"/>
                      <w:szCs w:val="21"/>
                    </w:rPr>
                    <w:t>503.62（1354.75）</w:t>
                  </w:r>
                </w:p>
              </w:tc>
              <w:tc>
                <w:tcPr>
                  <w:tcW w:w="1754" w:type="dxa"/>
                  <w:shd w:val="clear" w:color="auto" w:fill="auto"/>
                  <w:vAlign w:val="center"/>
                </w:tcPr>
                <w:p w14:paraId="30A2FC16">
                  <w:pPr>
                    <w:pStyle w:val="52"/>
                    <w:rPr>
                      <w:color w:val="auto"/>
                      <w:szCs w:val="21"/>
                    </w:rPr>
                  </w:pPr>
                </w:p>
              </w:tc>
            </w:tr>
            <w:tr w14:paraId="57CAB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blHeader/>
                <w:jc w:val="center"/>
              </w:trPr>
              <w:tc>
                <w:tcPr>
                  <w:tcW w:w="766" w:type="dxa"/>
                  <w:shd w:val="clear" w:color="auto" w:fill="auto"/>
                  <w:vAlign w:val="center"/>
                </w:tcPr>
                <w:p w14:paraId="197E38A2">
                  <w:pPr>
                    <w:pStyle w:val="52"/>
                    <w:rPr>
                      <w:color w:val="auto"/>
                      <w:szCs w:val="21"/>
                    </w:rPr>
                  </w:pPr>
                  <w:r>
                    <w:rPr>
                      <w:color w:val="auto"/>
                      <w:szCs w:val="21"/>
                    </w:rPr>
                    <w:t>二</w:t>
                  </w:r>
                </w:p>
              </w:tc>
              <w:tc>
                <w:tcPr>
                  <w:tcW w:w="2868" w:type="dxa"/>
                  <w:shd w:val="clear" w:color="auto" w:fill="auto"/>
                  <w:vAlign w:val="center"/>
                </w:tcPr>
                <w:p w14:paraId="3E101583">
                  <w:pPr>
                    <w:pStyle w:val="52"/>
                    <w:rPr>
                      <w:color w:val="auto"/>
                      <w:szCs w:val="21"/>
                    </w:rPr>
                  </w:pPr>
                  <w:r>
                    <w:rPr>
                      <w:color w:val="auto"/>
                      <w:szCs w:val="21"/>
                    </w:rPr>
                    <w:t>采矿</w:t>
                  </w:r>
                </w:p>
              </w:tc>
              <w:tc>
                <w:tcPr>
                  <w:tcW w:w="1401" w:type="dxa"/>
                  <w:shd w:val="clear" w:color="auto" w:fill="auto"/>
                  <w:vAlign w:val="center"/>
                </w:tcPr>
                <w:p w14:paraId="1A13C657">
                  <w:pPr>
                    <w:pStyle w:val="52"/>
                    <w:rPr>
                      <w:color w:val="auto"/>
                      <w:szCs w:val="21"/>
                    </w:rPr>
                  </w:pPr>
                </w:p>
              </w:tc>
              <w:tc>
                <w:tcPr>
                  <w:tcW w:w="2391" w:type="dxa"/>
                  <w:shd w:val="clear" w:color="auto" w:fill="auto"/>
                  <w:vAlign w:val="center"/>
                </w:tcPr>
                <w:p w14:paraId="6B69402E">
                  <w:pPr>
                    <w:pStyle w:val="52"/>
                    <w:rPr>
                      <w:color w:val="auto"/>
                      <w:szCs w:val="21"/>
                    </w:rPr>
                  </w:pPr>
                </w:p>
              </w:tc>
              <w:tc>
                <w:tcPr>
                  <w:tcW w:w="1754" w:type="dxa"/>
                  <w:shd w:val="clear" w:color="auto" w:fill="auto"/>
                  <w:vAlign w:val="center"/>
                </w:tcPr>
                <w:p w14:paraId="416D1DB5">
                  <w:pPr>
                    <w:pStyle w:val="52"/>
                    <w:rPr>
                      <w:color w:val="auto"/>
                      <w:szCs w:val="21"/>
                    </w:rPr>
                  </w:pPr>
                </w:p>
              </w:tc>
            </w:tr>
            <w:tr w14:paraId="05FEE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 w:hRule="atLeast"/>
                <w:tblHeader/>
                <w:jc w:val="center"/>
              </w:trPr>
              <w:tc>
                <w:tcPr>
                  <w:tcW w:w="766" w:type="dxa"/>
                  <w:shd w:val="clear" w:color="auto" w:fill="auto"/>
                  <w:vAlign w:val="center"/>
                </w:tcPr>
                <w:p w14:paraId="4CE526AF">
                  <w:pPr>
                    <w:pStyle w:val="52"/>
                    <w:rPr>
                      <w:color w:val="auto"/>
                      <w:szCs w:val="21"/>
                    </w:rPr>
                  </w:pPr>
                  <w:r>
                    <w:rPr>
                      <w:color w:val="auto"/>
                      <w:szCs w:val="21"/>
                    </w:rPr>
                    <w:t>1</w:t>
                  </w:r>
                </w:p>
              </w:tc>
              <w:tc>
                <w:tcPr>
                  <w:tcW w:w="2868" w:type="dxa"/>
                  <w:shd w:val="clear" w:color="auto" w:fill="auto"/>
                  <w:vAlign w:val="center"/>
                </w:tcPr>
                <w:p w14:paraId="0AC88946">
                  <w:pPr>
                    <w:pStyle w:val="52"/>
                    <w:rPr>
                      <w:color w:val="auto"/>
                      <w:szCs w:val="21"/>
                    </w:rPr>
                  </w:pPr>
                  <w:r>
                    <w:rPr>
                      <w:color w:val="auto"/>
                      <w:szCs w:val="21"/>
                    </w:rPr>
                    <w:t>开采方式</w:t>
                  </w:r>
                </w:p>
              </w:tc>
              <w:tc>
                <w:tcPr>
                  <w:tcW w:w="1401" w:type="dxa"/>
                  <w:shd w:val="clear" w:color="auto" w:fill="auto"/>
                  <w:vAlign w:val="center"/>
                </w:tcPr>
                <w:p w14:paraId="20CF2CD7">
                  <w:pPr>
                    <w:pStyle w:val="52"/>
                    <w:rPr>
                      <w:color w:val="auto"/>
                      <w:szCs w:val="21"/>
                    </w:rPr>
                  </w:pPr>
                </w:p>
              </w:tc>
              <w:tc>
                <w:tcPr>
                  <w:tcW w:w="2391" w:type="dxa"/>
                  <w:shd w:val="clear" w:color="auto" w:fill="auto"/>
                  <w:vAlign w:val="center"/>
                </w:tcPr>
                <w:p w14:paraId="0C8CC54D">
                  <w:pPr>
                    <w:pStyle w:val="52"/>
                    <w:rPr>
                      <w:color w:val="auto"/>
                      <w:szCs w:val="21"/>
                    </w:rPr>
                  </w:pPr>
                  <w:r>
                    <w:rPr>
                      <w:color w:val="auto"/>
                      <w:szCs w:val="21"/>
                    </w:rPr>
                    <w:t>半凹陷式露天开采</w:t>
                  </w:r>
                </w:p>
              </w:tc>
              <w:tc>
                <w:tcPr>
                  <w:tcW w:w="1754" w:type="dxa"/>
                  <w:shd w:val="clear" w:color="auto" w:fill="auto"/>
                  <w:vAlign w:val="center"/>
                </w:tcPr>
                <w:p w14:paraId="7272B368">
                  <w:pPr>
                    <w:pStyle w:val="52"/>
                    <w:rPr>
                      <w:color w:val="auto"/>
                      <w:szCs w:val="21"/>
                    </w:rPr>
                  </w:pPr>
                </w:p>
              </w:tc>
            </w:tr>
            <w:tr w14:paraId="71150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 w:hRule="atLeast"/>
                <w:tblHeader/>
                <w:jc w:val="center"/>
              </w:trPr>
              <w:tc>
                <w:tcPr>
                  <w:tcW w:w="766" w:type="dxa"/>
                  <w:shd w:val="clear" w:color="auto" w:fill="auto"/>
                  <w:vAlign w:val="center"/>
                </w:tcPr>
                <w:p w14:paraId="0E0A153A">
                  <w:pPr>
                    <w:pStyle w:val="52"/>
                    <w:rPr>
                      <w:color w:val="auto"/>
                      <w:szCs w:val="21"/>
                    </w:rPr>
                  </w:pPr>
                  <w:r>
                    <w:rPr>
                      <w:color w:val="auto"/>
                      <w:szCs w:val="21"/>
                    </w:rPr>
                    <w:t>2</w:t>
                  </w:r>
                </w:p>
              </w:tc>
              <w:tc>
                <w:tcPr>
                  <w:tcW w:w="2868" w:type="dxa"/>
                  <w:shd w:val="clear" w:color="auto" w:fill="auto"/>
                  <w:vAlign w:val="center"/>
                </w:tcPr>
                <w:p w14:paraId="2AF0FEAE">
                  <w:pPr>
                    <w:pStyle w:val="52"/>
                    <w:rPr>
                      <w:color w:val="auto"/>
                      <w:szCs w:val="21"/>
                    </w:rPr>
                  </w:pPr>
                  <w:r>
                    <w:rPr>
                      <w:color w:val="auto"/>
                      <w:szCs w:val="21"/>
                    </w:rPr>
                    <w:t>剥采比</w:t>
                  </w:r>
                </w:p>
              </w:tc>
              <w:tc>
                <w:tcPr>
                  <w:tcW w:w="1401" w:type="dxa"/>
                  <w:shd w:val="clear" w:color="auto" w:fill="auto"/>
                  <w:vAlign w:val="center"/>
                </w:tcPr>
                <w:p w14:paraId="2B70F85B">
                  <w:pPr>
                    <w:pStyle w:val="52"/>
                    <w:rPr>
                      <w:color w:val="auto"/>
                      <w:szCs w:val="21"/>
                    </w:rPr>
                  </w:pPr>
                </w:p>
              </w:tc>
              <w:tc>
                <w:tcPr>
                  <w:tcW w:w="2391" w:type="dxa"/>
                  <w:shd w:val="clear" w:color="auto" w:fill="auto"/>
                  <w:vAlign w:val="center"/>
                </w:tcPr>
                <w:p w14:paraId="6CD9A487">
                  <w:pPr>
                    <w:pStyle w:val="52"/>
                    <w:rPr>
                      <w:color w:val="auto"/>
                      <w:szCs w:val="21"/>
                    </w:rPr>
                  </w:pPr>
                  <w:r>
                    <w:rPr>
                      <w:color w:val="auto"/>
                      <w:szCs w:val="21"/>
                    </w:rPr>
                    <w:t>0.02</w:t>
                  </w:r>
                </w:p>
              </w:tc>
              <w:tc>
                <w:tcPr>
                  <w:tcW w:w="1754" w:type="dxa"/>
                  <w:shd w:val="clear" w:color="auto" w:fill="auto"/>
                  <w:vAlign w:val="center"/>
                </w:tcPr>
                <w:p w14:paraId="7405F421">
                  <w:pPr>
                    <w:pStyle w:val="52"/>
                    <w:rPr>
                      <w:color w:val="auto"/>
                      <w:szCs w:val="21"/>
                    </w:rPr>
                  </w:pPr>
                </w:p>
              </w:tc>
            </w:tr>
            <w:tr w14:paraId="2AFA9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4B58530A">
                  <w:pPr>
                    <w:pStyle w:val="52"/>
                    <w:rPr>
                      <w:color w:val="auto"/>
                      <w:szCs w:val="21"/>
                    </w:rPr>
                  </w:pPr>
                  <w:r>
                    <w:rPr>
                      <w:color w:val="auto"/>
                      <w:szCs w:val="21"/>
                    </w:rPr>
                    <w:t>3</w:t>
                  </w:r>
                </w:p>
              </w:tc>
              <w:tc>
                <w:tcPr>
                  <w:tcW w:w="2868" w:type="dxa"/>
                  <w:shd w:val="clear" w:color="auto" w:fill="auto"/>
                  <w:vAlign w:val="center"/>
                </w:tcPr>
                <w:p w14:paraId="318A402A">
                  <w:pPr>
                    <w:pStyle w:val="52"/>
                    <w:rPr>
                      <w:color w:val="auto"/>
                      <w:szCs w:val="21"/>
                    </w:rPr>
                  </w:pPr>
                  <w:r>
                    <w:rPr>
                      <w:color w:val="auto"/>
                      <w:szCs w:val="21"/>
                    </w:rPr>
                    <w:t>开采范围标高</w:t>
                  </w:r>
                </w:p>
              </w:tc>
              <w:tc>
                <w:tcPr>
                  <w:tcW w:w="1401" w:type="dxa"/>
                  <w:shd w:val="clear" w:color="auto" w:fill="auto"/>
                  <w:vAlign w:val="center"/>
                </w:tcPr>
                <w:p w14:paraId="047952FD">
                  <w:pPr>
                    <w:pStyle w:val="52"/>
                    <w:rPr>
                      <w:color w:val="auto"/>
                      <w:szCs w:val="21"/>
                    </w:rPr>
                  </w:pPr>
                  <w:r>
                    <w:rPr>
                      <w:color w:val="auto"/>
                      <w:szCs w:val="21"/>
                    </w:rPr>
                    <w:t>m</w:t>
                  </w:r>
                </w:p>
              </w:tc>
              <w:tc>
                <w:tcPr>
                  <w:tcW w:w="2391" w:type="dxa"/>
                  <w:shd w:val="clear" w:color="auto" w:fill="auto"/>
                  <w:vAlign w:val="center"/>
                </w:tcPr>
                <w:p w14:paraId="6B3EE480">
                  <w:pPr>
                    <w:pStyle w:val="52"/>
                    <w:rPr>
                      <w:color w:val="auto"/>
                      <w:szCs w:val="21"/>
                    </w:rPr>
                  </w:pPr>
                  <w:r>
                    <w:rPr>
                      <w:color w:val="auto"/>
                      <w:szCs w:val="21"/>
                    </w:rPr>
                    <w:t>900～1206</w:t>
                  </w:r>
                </w:p>
              </w:tc>
              <w:tc>
                <w:tcPr>
                  <w:tcW w:w="1754" w:type="dxa"/>
                  <w:shd w:val="clear" w:color="auto" w:fill="auto"/>
                  <w:vAlign w:val="center"/>
                </w:tcPr>
                <w:p w14:paraId="2CCBBF61">
                  <w:pPr>
                    <w:pStyle w:val="52"/>
                    <w:rPr>
                      <w:color w:val="auto"/>
                      <w:szCs w:val="21"/>
                    </w:rPr>
                  </w:pPr>
                </w:p>
              </w:tc>
            </w:tr>
            <w:tr w14:paraId="028E0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2D5FD7D0">
                  <w:pPr>
                    <w:pStyle w:val="52"/>
                    <w:rPr>
                      <w:color w:val="auto"/>
                      <w:szCs w:val="21"/>
                    </w:rPr>
                  </w:pPr>
                  <w:r>
                    <w:rPr>
                      <w:color w:val="auto"/>
                      <w:szCs w:val="21"/>
                    </w:rPr>
                    <w:t>4</w:t>
                  </w:r>
                </w:p>
              </w:tc>
              <w:tc>
                <w:tcPr>
                  <w:tcW w:w="2868" w:type="dxa"/>
                  <w:shd w:val="clear" w:color="auto" w:fill="auto"/>
                  <w:vAlign w:val="center"/>
                </w:tcPr>
                <w:p w14:paraId="299E49AA">
                  <w:pPr>
                    <w:pStyle w:val="52"/>
                    <w:rPr>
                      <w:color w:val="auto"/>
                      <w:szCs w:val="21"/>
                    </w:rPr>
                  </w:pPr>
                  <w:r>
                    <w:rPr>
                      <w:color w:val="auto"/>
                      <w:szCs w:val="21"/>
                    </w:rPr>
                    <w:t>矿山生产能力</w:t>
                  </w:r>
                </w:p>
              </w:tc>
              <w:tc>
                <w:tcPr>
                  <w:tcW w:w="1401" w:type="dxa"/>
                  <w:shd w:val="clear" w:color="auto" w:fill="auto"/>
                  <w:vAlign w:val="center"/>
                </w:tcPr>
                <w:p w14:paraId="7CC772AF">
                  <w:pPr>
                    <w:pStyle w:val="52"/>
                    <w:rPr>
                      <w:color w:val="auto"/>
                      <w:szCs w:val="21"/>
                    </w:rPr>
                  </w:pPr>
                  <w:r>
                    <w:rPr>
                      <w:color w:val="auto"/>
                      <w:szCs w:val="21"/>
                    </w:rPr>
                    <w:t>万t/</w:t>
                  </w:r>
                </w:p>
              </w:tc>
              <w:tc>
                <w:tcPr>
                  <w:tcW w:w="2391" w:type="dxa"/>
                  <w:shd w:val="clear" w:color="auto" w:fill="auto"/>
                  <w:vAlign w:val="center"/>
                </w:tcPr>
                <w:p w14:paraId="1E03FF81">
                  <w:pPr>
                    <w:pStyle w:val="52"/>
                    <w:rPr>
                      <w:color w:val="auto"/>
                      <w:szCs w:val="21"/>
                    </w:rPr>
                  </w:pPr>
                  <w:r>
                    <w:rPr>
                      <w:color w:val="auto"/>
                      <w:szCs w:val="21"/>
                    </w:rPr>
                    <w:t>60</w:t>
                  </w:r>
                </w:p>
              </w:tc>
              <w:tc>
                <w:tcPr>
                  <w:tcW w:w="1754" w:type="dxa"/>
                  <w:shd w:val="clear" w:color="auto" w:fill="auto"/>
                  <w:vAlign w:val="center"/>
                </w:tcPr>
                <w:p w14:paraId="218BD15E">
                  <w:pPr>
                    <w:pStyle w:val="52"/>
                    <w:rPr>
                      <w:color w:val="auto"/>
                      <w:szCs w:val="21"/>
                    </w:rPr>
                  </w:pPr>
                </w:p>
              </w:tc>
            </w:tr>
            <w:tr w14:paraId="3D769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67CFEEED">
                  <w:pPr>
                    <w:pStyle w:val="52"/>
                    <w:rPr>
                      <w:color w:val="auto"/>
                      <w:szCs w:val="21"/>
                    </w:rPr>
                  </w:pPr>
                  <w:r>
                    <w:rPr>
                      <w:color w:val="auto"/>
                      <w:szCs w:val="21"/>
                    </w:rPr>
                    <w:t>5</w:t>
                  </w:r>
                </w:p>
              </w:tc>
              <w:tc>
                <w:tcPr>
                  <w:tcW w:w="2868" w:type="dxa"/>
                  <w:shd w:val="clear" w:color="auto" w:fill="auto"/>
                  <w:vAlign w:val="center"/>
                </w:tcPr>
                <w:p w14:paraId="109AAA14">
                  <w:pPr>
                    <w:pStyle w:val="52"/>
                    <w:rPr>
                      <w:color w:val="auto"/>
                      <w:szCs w:val="21"/>
                    </w:rPr>
                  </w:pPr>
                  <w:r>
                    <w:rPr>
                      <w:color w:val="auto"/>
                      <w:szCs w:val="21"/>
                    </w:rPr>
                    <w:t>矿山服务年限</w:t>
                  </w:r>
                </w:p>
              </w:tc>
              <w:tc>
                <w:tcPr>
                  <w:tcW w:w="1401" w:type="dxa"/>
                  <w:shd w:val="clear" w:color="auto" w:fill="auto"/>
                  <w:vAlign w:val="center"/>
                </w:tcPr>
                <w:p w14:paraId="714733DC">
                  <w:pPr>
                    <w:pStyle w:val="52"/>
                    <w:rPr>
                      <w:color w:val="auto"/>
                      <w:szCs w:val="21"/>
                    </w:rPr>
                  </w:pPr>
                  <w:r>
                    <w:rPr>
                      <w:color w:val="auto"/>
                      <w:szCs w:val="21"/>
                    </w:rPr>
                    <w:t>a</w:t>
                  </w:r>
                </w:p>
              </w:tc>
              <w:tc>
                <w:tcPr>
                  <w:tcW w:w="2391" w:type="dxa"/>
                  <w:shd w:val="clear" w:color="auto" w:fill="auto"/>
                  <w:vAlign w:val="center"/>
                </w:tcPr>
                <w:p w14:paraId="0D264BFC">
                  <w:pPr>
                    <w:pStyle w:val="52"/>
                    <w:rPr>
                      <w:color w:val="auto"/>
                      <w:szCs w:val="21"/>
                    </w:rPr>
                  </w:pPr>
                  <w:r>
                    <w:rPr>
                      <w:color w:val="auto"/>
                      <w:szCs w:val="21"/>
                    </w:rPr>
                    <w:t>22.6</w:t>
                  </w:r>
                </w:p>
              </w:tc>
              <w:tc>
                <w:tcPr>
                  <w:tcW w:w="1754" w:type="dxa"/>
                  <w:shd w:val="clear" w:color="auto" w:fill="auto"/>
                  <w:vAlign w:val="center"/>
                </w:tcPr>
                <w:p w14:paraId="7290EC37">
                  <w:pPr>
                    <w:pStyle w:val="52"/>
                    <w:rPr>
                      <w:color w:val="auto"/>
                      <w:szCs w:val="21"/>
                    </w:rPr>
                  </w:pPr>
                </w:p>
              </w:tc>
            </w:tr>
            <w:tr w14:paraId="18B78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7DA53313">
                  <w:pPr>
                    <w:pStyle w:val="52"/>
                    <w:rPr>
                      <w:color w:val="auto"/>
                      <w:szCs w:val="21"/>
                    </w:rPr>
                  </w:pPr>
                  <w:r>
                    <w:rPr>
                      <w:color w:val="auto"/>
                      <w:szCs w:val="21"/>
                    </w:rPr>
                    <w:t>6</w:t>
                  </w:r>
                </w:p>
              </w:tc>
              <w:tc>
                <w:tcPr>
                  <w:tcW w:w="2868" w:type="dxa"/>
                  <w:shd w:val="clear" w:color="auto" w:fill="auto"/>
                  <w:vAlign w:val="center"/>
                </w:tcPr>
                <w:p w14:paraId="10AC064E">
                  <w:pPr>
                    <w:pStyle w:val="52"/>
                    <w:rPr>
                      <w:color w:val="auto"/>
                      <w:szCs w:val="21"/>
                    </w:rPr>
                  </w:pPr>
                  <w:r>
                    <w:rPr>
                      <w:color w:val="auto"/>
                      <w:szCs w:val="21"/>
                    </w:rPr>
                    <w:t>回采率</w:t>
                  </w:r>
                </w:p>
              </w:tc>
              <w:tc>
                <w:tcPr>
                  <w:tcW w:w="1401" w:type="dxa"/>
                  <w:shd w:val="clear" w:color="auto" w:fill="auto"/>
                  <w:vAlign w:val="center"/>
                </w:tcPr>
                <w:p w14:paraId="45F6C1AD">
                  <w:pPr>
                    <w:pStyle w:val="52"/>
                    <w:rPr>
                      <w:color w:val="auto"/>
                      <w:szCs w:val="21"/>
                    </w:rPr>
                  </w:pPr>
                  <w:r>
                    <w:rPr>
                      <w:color w:val="auto"/>
                      <w:szCs w:val="21"/>
                    </w:rPr>
                    <w:t>%</w:t>
                  </w:r>
                </w:p>
              </w:tc>
              <w:tc>
                <w:tcPr>
                  <w:tcW w:w="2391" w:type="dxa"/>
                  <w:shd w:val="clear" w:color="auto" w:fill="auto"/>
                  <w:vAlign w:val="center"/>
                </w:tcPr>
                <w:p w14:paraId="08982E99">
                  <w:pPr>
                    <w:pStyle w:val="52"/>
                    <w:rPr>
                      <w:color w:val="auto"/>
                      <w:szCs w:val="21"/>
                    </w:rPr>
                  </w:pPr>
                  <w:r>
                    <w:rPr>
                      <w:color w:val="auto"/>
                      <w:szCs w:val="21"/>
                    </w:rPr>
                    <w:t>95</w:t>
                  </w:r>
                </w:p>
              </w:tc>
              <w:tc>
                <w:tcPr>
                  <w:tcW w:w="1754" w:type="dxa"/>
                  <w:shd w:val="clear" w:color="auto" w:fill="auto"/>
                  <w:vAlign w:val="center"/>
                </w:tcPr>
                <w:p w14:paraId="791A63B6">
                  <w:pPr>
                    <w:pStyle w:val="52"/>
                    <w:rPr>
                      <w:color w:val="auto"/>
                      <w:szCs w:val="21"/>
                    </w:rPr>
                  </w:pPr>
                  <w:r>
                    <w:rPr>
                      <w:color w:val="auto"/>
                      <w:szCs w:val="21"/>
                    </w:rPr>
                    <w:t>平均</w:t>
                  </w:r>
                </w:p>
              </w:tc>
            </w:tr>
            <w:tr w14:paraId="5173F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blHeader/>
                <w:jc w:val="center"/>
              </w:trPr>
              <w:tc>
                <w:tcPr>
                  <w:tcW w:w="766" w:type="dxa"/>
                  <w:shd w:val="clear" w:color="auto" w:fill="auto"/>
                  <w:vAlign w:val="center"/>
                </w:tcPr>
                <w:p w14:paraId="34D78345">
                  <w:pPr>
                    <w:pStyle w:val="52"/>
                    <w:rPr>
                      <w:color w:val="auto"/>
                      <w:szCs w:val="21"/>
                    </w:rPr>
                  </w:pPr>
                  <w:r>
                    <w:rPr>
                      <w:color w:val="auto"/>
                      <w:szCs w:val="21"/>
                    </w:rPr>
                    <w:t>7</w:t>
                  </w:r>
                </w:p>
              </w:tc>
              <w:tc>
                <w:tcPr>
                  <w:tcW w:w="2868" w:type="dxa"/>
                  <w:shd w:val="clear" w:color="auto" w:fill="auto"/>
                  <w:vAlign w:val="center"/>
                </w:tcPr>
                <w:p w14:paraId="497C0F3D">
                  <w:pPr>
                    <w:pStyle w:val="52"/>
                    <w:rPr>
                      <w:color w:val="auto"/>
                      <w:szCs w:val="21"/>
                    </w:rPr>
                  </w:pPr>
                  <w:r>
                    <w:rPr>
                      <w:color w:val="auto"/>
                      <w:szCs w:val="21"/>
                    </w:rPr>
                    <w:t>工作制度</w:t>
                  </w:r>
                </w:p>
              </w:tc>
              <w:tc>
                <w:tcPr>
                  <w:tcW w:w="1401" w:type="dxa"/>
                  <w:shd w:val="clear" w:color="auto" w:fill="auto"/>
                  <w:vAlign w:val="center"/>
                </w:tcPr>
                <w:p w14:paraId="2DABEF34">
                  <w:pPr>
                    <w:pStyle w:val="52"/>
                    <w:rPr>
                      <w:color w:val="auto"/>
                      <w:szCs w:val="21"/>
                    </w:rPr>
                  </w:pPr>
                  <w:r>
                    <w:rPr>
                      <w:color w:val="auto"/>
                      <w:szCs w:val="21"/>
                    </w:rPr>
                    <w:t>d/a</w:t>
                  </w:r>
                </w:p>
              </w:tc>
              <w:tc>
                <w:tcPr>
                  <w:tcW w:w="2391" w:type="dxa"/>
                  <w:shd w:val="clear" w:color="auto" w:fill="auto"/>
                  <w:vAlign w:val="center"/>
                </w:tcPr>
                <w:p w14:paraId="0E54CD68">
                  <w:pPr>
                    <w:pStyle w:val="52"/>
                    <w:rPr>
                      <w:color w:val="auto"/>
                      <w:szCs w:val="21"/>
                    </w:rPr>
                  </w:pPr>
                  <w:r>
                    <w:rPr>
                      <w:color w:val="auto"/>
                      <w:szCs w:val="21"/>
                    </w:rPr>
                    <w:t>300</w:t>
                  </w:r>
                </w:p>
              </w:tc>
              <w:tc>
                <w:tcPr>
                  <w:tcW w:w="1754" w:type="dxa"/>
                  <w:shd w:val="clear" w:color="auto" w:fill="auto"/>
                  <w:vAlign w:val="center"/>
                </w:tcPr>
                <w:p w14:paraId="1322988C">
                  <w:pPr>
                    <w:pStyle w:val="52"/>
                    <w:rPr>
                      <w:color w:val="auto"/>
                      <w:szCs w:val="21"/>
                    </w:rPr>
                  </w:pPr>
                </w:p>
              </w:tc>
            </w:tr>
            <w:tr w14:paraId="785FC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5C882CE1">
                  <w:pPr>
                    <w:pStyle w:val="52"/>
                    <w:rPr>
                      <w:color w:val="auto"/>
                      <w:szCs w:val="21"/>
                    </w:rPr>
                  </w:pPr>
                  <w:r>
                    <w:rPr>
                      <w:color w:val="auto"/>
                      <w:szCs w:val="21"/>
                    </w:rPr>
                    <w:t>三</w:t>
                  </w:r>
                </w:p>
              </w:tc>
              <w:tc>
                <w:tcPr>
                  <w:tcW w:w="2868" w:type="dxa"/>
                  <w:shd w:val="clear" w:color="auto" w:fill="auto"/>
                  <w:vAlign w:val="center"/>
                </w:tcPr>
                <w:p w14:paraId="28252C6A">
                  <w:pPr>
                    <w:pStyle w:val="52"/>
                    <w:rPr>
                      <w:color w:val="auto"/>
                      <w:szCs w:val="21"/>
                    </w:rPr>
                  </w:pPr>
                  <w:r>
                    <w:rPr>
                      <w:color w:val="auto"/>
                      <w:szCs w:val="21"/>
                    </w:rPr>
                    <w:t>劳动定员</w:t>
                  </w:r>
                </w:p>
              </w:tc>
              <w:tc>
                <w:tcPr>
                  <w:tcW w:w="1401" w:type="dxa"/>
                  <w:shd w:val="clear" w:color="auto" w:fill="auto"/>
                  <w:vAlign w:val="center"/>
                </w:tcPr>
                <w:p w14:paraId="387C2170">
                  <w:pPr>
                    <w:pStyle w:val="52"/>
                    <w:rPr>
                      <w:color w:val="auto"/>
                      <w:szCs w:val="21"/>
                    </w:rPr>
                  </w:pPr>
                </w:p>
              </w:tc>
              <w:tc>
                <w:tcPr>
                  <w:tcW w:w="2391" w:type="dxa"/>
                  <w:shd w:val="clear" w:color="auto" w:fill="auto"/>
                  <w:vAlign w:val="center"/>
                </w:tcPr>
                <w:p w14:paraId="6D089290">
                  <w:pPr>
                    <w:pStyle w:val="52"/>
                    <w:rPr>
                      <w:color w:val="auto"/>
                      <w:szCs w:val="21"/>
                    </w:rPr>
                  </w:pPr>
                </w:p>
              </w:tc>
              <w:tc>
                <w:tcPr>
                  <w:tcW w:w="1754" w:type="dxa"/>
                  <w:shd w:val="clear" w:color="auto" w:fill="auto"/>
                  <w:vAlign w:val="center"/>
                </w:tcPr>
                <w:p w14:paraId="7791127B">
                  <w:pPr>
                    <w:pStyle w:val="52"/>
                    <w:rPr>
                      <w:color w:val="auto"/>
                      <w:szCs w:val="21"/>
                    </w:rPr>
                  </w:pPr>
                </w:p>
              </w:tc>
            </w:tr>
            <w:tr w14:paraId="52739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01E11A93">
                  <w:pPr>
                    <w:pStyle w:val="52"/>
                    <w:rPr>
                      <w:color w:val="auto"/>
                      <w:szCs w:val="21"/>
                    </w:rPr>
                  </w:pPr>
                  <w:r>
                    <w:rPr>
                      <w:color w:val="auto"/>
                      <w:szCs w:val="21"/>
                    </w:rPr>
                    <w:t>1</w:t>
                  </w:r>
                </w:p>
              </w:tc>
              <w:tc>
                <w:tcPr>
                  <w:tcW w:w="2868" w:type="dxa"/>
                  <w:shd w:val="clear" w:color="auto" w:fill="auto"/>
                  <w:vAlign w:val="center"/>
                </w:tcPr>
                <w:p w14:paraId="68C3C1D6">
                  <w:pPr>
                    <w:pStyle w:val="52"/>
                    <w:rPr>
                      <w:color w:val="auto"/>
                      <w:szCs w:val="21"/>
                    </w:rPr>
                  </w:pPr>
                  <w:r>
                    <w:rPr>
                      <w:color w:val="auto"/>
                      <w:szCs w:val="21"/>
                    </w:rPr>
                    <w:t>在册职工人数</w:t>
                  </w:r>
                </w:p>
              </w:tc>
              <w:tc>
                <w:tcPr>
                  <w:tcW w:w="1401" w:type="dxa"/>
                  <w:shd w:val="clear" w:color="auto" w:fill="auto"/>
                  <w:vAlign w:val="center"/>
                </w:tcPr>
                <w:p w14:paraId="249B4D39">
                  <w:pPr>
                    <w:pStyle w:val="52"/>
                    <w:rPr>
                      <w:color w:val="auto"/>
                      <w:szCs w:val="21"/>
                    </w:rPr>
                  </w:pPr>
                  <w:r>
                    <w:rPr>
                      <w:color w:val="auto"/>
                      <w:szCs w:val="21"/>
                    </w:rPr>
                    <w:t>人</w:t>
                  </w:r>
                </w:p>
              </w:tc>
              <w:tc>
                <w:tcPr>
                  <w:tcW w:w="2391" w:type="dxa"/>
                  <w:shd w:val="clear" w:color="auto" w:fill="auto"/>
                  <w:vAlign w:val="center"/>
                </w:tcPr>
                <w:p w14:paraId="42AC33C6">
                  <w:pPr>
                    <w:pStyle w:val="52"/>
                    <w:rPr>
                      <w:color w:val="auto"/>
                      <w:szCs w:val="21"/>
                    </w:rPr>
                  </w:pPr>
                  <w:r>
                    <w:rPr>
                      <w:color w:val="auto"/>
                      <w:szCs w:val="21"/>
                    </w:rPr>
                    <w:t>40</w:t>
                  </w:r>
                </w:p>
              </w:tc>
              <w:tc>
                <w:tcPr>
                  <w:tcW w:w="1754" w:type="dxa"/>
                  <w:shd w:val="clear" w:color="auto" w:fill="auto"/>
                  <w:vAlign w:val="center"/>
                </w:tcPr>
                <w:p w14:paraId="312EC15B">
                  <w:pPr>
                    <w:pStyle w:val="52"/>
                    <w:rPr>
                      <w:color w:val="auto"/>
                      <w:szCs w:val="21"/>
                    </w:rPr>
                  </w:pPr>
                </w:p>
              </w:tc>
            </w:tr>
            <w:tr w14:paraId="4F2E1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1E5FA4C9">
                  <w:pPr>
                    <w:pStyle w:val="52"/>
                    <w:rPr>
                      <w:color w:val="auto"/>
                      <w:szCs w:val="21"/>
                    </w:rPr>
                  </w:pPr>
                  <w:r>
                    <w:rPr>
                      <w:color w:val="auto"/>
                      <w:szCs w:val="21"/>
                    </w:rPr>
                    <w:t>四</w:t>
                  </w:r>
                </w:p>
              </w:tc>
              <w:tc>
                <w:tcPr>
                  <w:tcW w:w="2868" w:type="dxa"/>
                  <w:shd w:val="clear" w:color="auto" w:fill="auto"/>
                  <w:vAlign w:val="center"/>
                </w:tcPr>
                <w:p w14:paraId="5B82F0DD">
                  <w:pPr>
                    <w:pStyle w:val="52"/>
                    <w:rPr>
                      <w:color w:val="auto"/>
                      <w:szCs w:val="21"/>
                    </w:rPr>
                  </w:pPr>
                  <w:r>
                    <w:rPr>
                      <w:color w:val="auto"/>
                      <w:szCs w:val="21"/>
                    </w:rPr>
                    <w:t>投资</w:t>
                  </w:r>
                </w:p>
              </w:tc>
              <w:tc>
                <w:tcPr>
                  <w:tcW w:w="1401" w:type="dxa"/>
                  <w:shd w:val="clear" w:color="auto" w:fill="auto"/>
                  <w:vAlign w:val="center"/>
                </w:tcPr>
                <w:p w14:paraId="492CC831">
                  <w:pPr>
                    <w:pStyle w:val="52"/>
                    <w:rPr>
                      <w:color w:val="auto"/>
                      <w:szCs w:val="21"/>
                    </w:rPr>
                  </w:pPr>
                </w:p>
              </w:tc>
              <w:tc>
                <w:tcPr>
                  <w:tcW w:w="2391" w:type="dxa"/>
                  <w:shd w:val="clear" w:color="auto" w:fill="auto"/>
                  <w:vAlign w:val="center"/>
                </w:tcPr>
                <w:p w14:paraId="4B1918C9">
                  <w:pPr>
                    <w:pStyle w:val="52"/>
                    <w:rPr>
                      <w:color w:val="auto"/>
                      <w:szCs w:val="21"/>
                    </w:rPr>
                  </w:pPr>
                </w:p>
              </w:tc>
              <w:tc>
                <w:tcPr>
                  <w:tcW w:w="1754" w:type="dxa"/>
                  <w:shd w:val="clear" w:color="auto" w:fill="auto"/>
                  <w:vAlign w:val="center"/>
                </w:tcPr>
                <w:p w14:paraId="0EFD8912">
                  <w:pPr>
                    <w:pStyle w:val="52"/>
                    <w:rPr>
                      <w:color w:val="auto"/>
                      <w:szCs w:val="21"/>
                    </w:rPr>
                  </w:pPr>
                </w:p>
              </w:tc>
            </w:tr>
            <w:tr w14:paraId="08245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66" w:type="dxa"/>
                  <w:shd w:val="clear" w:color="auto" w:fill="auto"/>
                  <w:vAlign w:val="center"/>
                </w:tcPr>
                <w:p w14:paraId="4E4CDE41">
                  <w:pPr>
                    <w:pStyle w:val="52"/>
                    <w:rPr>
                      <w:color w:val="auto"/>
                      <w:szCs w:val="21"/>
                    </w:rPr>
                  </w:pPr>
                  <w:r>
                    <w:rPr>
                      <w:color w:val="auto"/>
                      <w:szCs w:val="21"/>
                    </w:rPr>
                    <w:t>1</w:t>
                  </w:r>
                </w:p>
              </w:tc>
              <w:tc>
                <w:tcPr>
                  <w:tcW w:w="2868" w:type="dxa"/>
                  <w:shd w:val="clear" w:color="auto" w:fill="auto"/>
                  <w:vAlign w:val="center"/>
                </w:tcPr>
                <w:p w14:paraId="0B8AA86D">
                  <w:pPr>
                    <w:pStyle w:val="52"/>
                    <w:rPr>
                      <w:color w:val="auto"/>
                      <w:szCs w:val="21"/>
                    </w:rPr>
                  </w:pPr>
                  <w:r>
                    <w:rPr>
                      <w:color w:val="auto"/>
                      <w:szCs w:val="21"/>
                    </w:rPr>
                    <w:t>项目总投资</w:t>
                  </w:r>
                </w:p>
              </w:tc>
              <w:tc>
                <w:tcPr>
                  <w:tcW w:w="1401" w:type="dxa"/>
                  <w:shd w:val="clear" w:color="auto" w:fill="auto"/>
                  <w:vAlign w:val="center"/>
                </w:tcPr>
                <w:p w14:paraId="1850F680">
                  <w:pPr>
                    <w:pStyle w:val="52"/>
                    <w:rPr>
                      <w:color w:val="auto"/>
                      <w:szCs w:val="21"/>
                    </w:rPr>
                  </w:pPr>
                  <w:r>
                    <w:rPr>
                      <w:color w:val="auto"/>
                      <w:szCs w:val="21"/>
                    </w:rPr>
                    <w:t>万元</w:t>
                  </w:r>
                </w:p>
              </w:tc>
              <w:tc>
                <w:tcPr>
                  <w:tcW w:w="2391" w:type="dxa"/>
                  <w:shd w:val="clear" w:color="auto" w:fill="auto"/>
                  <w:vAlign w:val="center"/>
                </w:tcPr>
                <w:p w14:paraId="6051F8C3">
                  <w:pPr>
                    <w:pStyle w:val="52"/>
                    <w:rPr>
                      <w:color w:val="auto"/>
                      <w:szCs w:val="21"/>
                    </w:rPr>
                  </w:pPr>
                  <w:r>
                    <w:rPr>
                      <w:color w:val="FF0000"/>
                      <w:szCs w:val="24"/>
                    </w:rPr>
                    <w:t>2729.8</w:t>
                  </w:r>
                </w:p>
              </w:tc>
              <w:tc>
                <w:tcPr>
                  <w:tcW w:w="1754" w:type="dxa"/>
                  <w:shd w:val="clear" w:color="auto" w:fill="auto"/>
                  <w:vAlign w:val="center"/>
                </w:tcPr>
                <w:p w14:paraId="03F6828A">
                  <w:pPr>
                    <w:pStyle w:val="52"/>
                    <w:rPr>
                      <w:color w:val="auto"/>
                      <w:szCs w:val="21"/>
                    </w:rPr>
                  </w:pPr>
                </w:p>
              </w:tc>
            </w:tr>
          </w:tbl>
          <w:p w14:paraId="2178DFB3">
            <w:pPr>
              <w:ind w:firstLine="0" w:firstLineChars="0"/>
              <w:rPr>
                <w:rFonts w:cs="Times New Roman"/>
                <w:b/>
              </w:rPr>
            </w:pPr>
            <w:r>
              <w:rPr>
                <w:rFonts w:cs="Times New Roman"/>
                <w:b/>
              </w:rPr>
              <w:t>三、环保投资</w:t>
            </w:r>
          </w:p>
          <w:p w14:paraId="73DA7229">
            <w:pPr>
              <w:ind w:firstLine="480"/>
              <w:rPr>
                <w:rFonts w:cs="Times New Roman"/>
                <w:szCs w:val="24"/>
              </w:rPr>
            </w:pPr>
            <w:r>
              <w:rPr>
                <w:rFonts w:cs="Times New Roman"/>
                <w:szCs w:val="24"/>
              </w:rPr>
              <w:t>本项目总投资</w:t>
            </w:r>
            <w:r>
              <w:rPr>
                <w:rFonts w:cs="Times New Roman"/>
                <w:color w:val="FF0000"/>
                <w:szCs w:val="24"/>
              </w:rPr>
              <w:t>2729.8</w:t>
            </w:r>
            <w:r>
              <w:rPr>
                <w:rFonts w:cs="Times New Roman"/>
                <w:szCs w:val="24"/>
              </w:rPr>
              <w:t>万元，其中环保投资</w:t>
            </w:r>
            <w:r>
              <w:rPr>
                <w:rFonts w:cs="Times New Roman"/>
              </w:rPr>
              <w:t>132.9</w:t>
            </w:r>
            <w:r>
              <w:rPr>
                <w:rFonts w:cs="Times New Roman"/>
                <w:szCs w:val="24"/>
              </w:rPr>
              <w:t>万元，占总投资比例为</w:t>
            </w:r>
            <w:r>
              <w:rPr>
                <w:rFonts w:hint="eastAsia" w:cs="Times New Roman"/>
                <w:color w:val="FF0000"/>
                <w:szCs w:val="24"/>
              </w:rPr>
              <w:t>4.87</w:t>
            </w:r>
            <w:r>
              <w:rPr>
                <w:rFonts w:cs="Times New Roman"/>
                <w:color w:val="FF0000"/>
                <w:szCs w:val="24"/>
              </w:rPr>
              <w:t>%</w:t>
            </w:r>
            <w:r>
              <w:rPr>
                <w:rFonts w:cs="Times New Roman"/>
                <w:szCs w:val="24"/>
              </w:rPr>
              <w:t>，环保投资估算见表1-8。</w:t>
            </w:r>
          </w:p>
          <w:p w14:paraId="15A58833">
            <w:pPr>
              <w:pStyle w:val="31"/>
              <w:rPr>
                <w:rFonts w:cs="Times New Roman"/>
              </w:rPr>
            </w:pPr>
            <w:r>
              <w:rPr>
                <w:rFonts w:cs="Times New Roman"/>
              </w:rPr>
              <w:t>表1-8  环保投资估算一览表</w:t>
            </w:r>
          </w:p>
          <w:tbl>
            <w:tblPr>
              <w:tblStyle w:val="2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902"/>
              <w:gridCol w:w="1499"/>
              <w:gridCol w:w="4893"/>
              <w:gridCol w:w="1088"/>
              <w:gridCol w:w="709"/>
            </w:tblGrid>
            <w:tr w14:paraId="2F9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83" w:type="dxa"/>
                  <w:gridSpan w:val="3"/>
                  <w:vAlign w:val="center"/>
                </w:tcPr>
                <w:p w14:paraId="3B487CDA">
                  <w:pPr>
                    <w:pStyle w:val="52"/>
                    <w:rPr>
                      <w:color w:val="auto"/>
                      <w:szCs w:val="21"/>
                    </w:rPr>
                  </w:pPr>
                  <w:r>
                    <w:rPr>
                      <w:color w:val="auto"/>
                      <w:szCs w:val="21"/>
                    </w:rPr>
                    <w:t>对象</w:t>
                  </w:r>
                </w:p>
              </w:tc>
              <w:tc>
                <w:tcPr>
                  <w:tcW w:w="4893" w:type="dxa"/>
                  <w:vAlign w:val="center"/>
                </w:tcPr>
                <w:p w14:paraId="44D960BF">
                  <w:pPr>
                    <w:pStyle w:val="52"/>
                    <w:rPr>
                      <w:color w:val="auto"/>
                      <w:szCs w:val="21"/>
                    </w:rPr>
                  </w:pPr>
                  <w:r>
                    <w:rPr>
                      <w:color w:val="auto"/>
                      <w:szCs w:val="21"/>
                    </w:rPr>
                    <w:t>环保设施</w:t>
                  </w:r>
                </w:p>
              </w:tc>
              <w:tc>
                <w:tcPr>
                  <w:tcW w:w="1088" w:type="dxa"/>
                  <w:vAlign w:val="center"/>
                </w:tcPr>
                <w:p w14:paraId="6B10D63B">
                  <w:pPr>
                    <w:pStyle w:val="52"/>
                    <w:rPr>
                      <w:color w:val="auto"/>
                      <w:szCs w:val="21"/>
                    </w:rPr>
                  </w:pPr>
                  <w:r>
                    <w:rPr>
                      <w:color w:val="auto"/>
                      <w:szCs w:val="21"/>
                    </w:rPr>
                    <w:t>环保投资（万元）</w:t>
                  </w:r>
                </w:p>
              </w:tc>
              <w:tc>
                <w:tcPr>
                  <w:tcW w:w="709" w:type="dxa"/>
                  <w:vAlign w:val="center"/>
                </w:tcPr>
                <w:p w14:paraId="7F162CEC">
                  <w:pPr>
                    <w:pStyle w:val="52"/>
                    <w:rPr>
                      <w:color w:val="auto"/>
                      <w:szCs w:val="21"/>
                    </w:rPr>
                  </w:pPr>
                  <w:r>
                    <w:rPr>
                      <w:color w:val="auto"/>
                      <w:szCs w:val="21"/>
                    </w:rPr>
                    <w:t>备注</w:t>
                  </w:r>
                </w:p>
              </w:tc>
            </w:tr>
            <w:tr w14:paraId="33A3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82" w:type="dxa"/>
                  <w:vMerge w:val="restart"/>
                  <w:tcBorders>
                    <w:bottom w:val="single" w:color="auto" w:sz="4" w:space="0"/>
                  </w:tcBorders>
                  <w:vAlign w:val="center"/>
                </w:tcPr>
                <w:p w14:paraId="4DDDC39F">
                  <w:pPr>
                    <w:pStyle w:val="52"/>
                    <w:rPr>
                      <w:color w:val="auto"/>
                      <w:szCs w:val="21"/>
                    </w:rPr>
                  </w:pPr>
                  <w:r>
                    <w:rPr>
                      <w:color w:val="auto"/>
                      <w:szCs w:val="21"/>
                    </w:rPr>
                    <w:t>运营期</w:t>
                  </w:r>
                </w:p>
              </w:tc>
              <w:tc>
                <w:tcPr>
                  <w:tcW w:w="902" w:type="dxa"/>
                  <w:vMerge w:val="restart"/>
                  <w:vAlign w:val="center"/>
                </w:tcPr>
                <w:p w14:paraId="7E6AD621">
                  <w:pPr>
                    <w:pStyle w:val="52"/>
                    <w:rPr>
                      <w:color w:val="auto"/>
                      <w:szCs w:val="21"/>
                    </w:rPr>
                  </w:pPr>
                  <w:r>
                    <w:rPr>
                      <w:color w:val="auto"/>
                      <w:szCs w:val="21"/>
                    </w:rPr>
                    <w:t>废气</w:t>
                  </w:r>
                </w:p>
              </w:tc>
              <w:tc>
                <w:tcPr>
                  <w:tcW w:w="1499" w:type="dxa"/>
                  <w:vAlign w:val="center"/>
                </w:tcPr>
                <w:p w14:paraId="483DF267">
                  <w:pPr>
                    <w:spacing w:line="240" w:lineRule="auto"/>
                    <w:ind w:firstLine="0" w:firstLineChars="0"/>
                    <w:jc w:val="center"/>
                    <w:rPr>
                      <w:rFonts w:cs="Times New Roman"/>
                      <w:sz w:val="21"/>
                      <w:szCs w:val="21"/>
                    </w:rPr>
                  </w:pPr>
                  <w:r>
                    <w:rPr>
                      <w:rFonts w:cs="Times New Roman"/>
                      <w:sz w:val="21"/>
                      <w:szCs w:val="21"/>
                    </w:rPr>
                    <w:t>采场工作面及场内路面扬尘</w:t>
                  </w:r>
                </w:p>
              </w:tc>
              <w:tc>
                <w:tcPr>
                  <w:tcW w:w="4893" w:type="dxa"/>
                  <w:tcBorders>
                    <w:bottom w:val="single" w:color="auto" w:sz="4" w:space="0"/>
                  </w:tcBorders>
                  <w:vAlign w:val="center"/>
                </w:tcPr>
                <w:p w14:paraId="1932609C">
                  <w:pPr>
                    <w:pStyle w:val="37"/>
                    <w:rPr>
                      <w:szCs w:val="21"/>
                    </w:rPr>
                  </w:pPr>
                  <w:r>
                    <w:rPr>
                      <w:szCs w:val="21"/>
                    </w:rPr>
                    <w:t>洒水车1台、</w:t>
                  </w:r>
                  <w:r>
                    <w:rPr>
                      <w:color w:val="FF0000"/>
                      <w:szCs w:val="21"/>
                    </w:rPr>
                    <w:t>雾炮机</w:t>
                  </w:r>
                  <w:r>
                    <w:rPr>
                      <w:szCs w:val="21"/>
                    </w:rPr>
                    <w:t>9台，洒水降尘</w:t>
                  </w:r>
                </w:p>
              </w:tc>
              <w:tc>
                <w:tcPr>
                  <w:tcW w:w="1088" w:type="dxa"/>
                  <w:vAlign w:val="center"/>
                </w:tcPr>
                <w:p w14:paraId="0CEE74FC">
                  <w:pPr>
                    <w:pStyle w:val="37"/>
                    <w:rPr>
                      <w:szCs w:val="21"/>
                    </w:rPr>
                  </w:pPr>
                  <w:r>
                    <w:rPr>
                      <w:szCs w:val="21"/>
                    </w:rPr>
                    <w:t>9.8</w:t>
                  </w:r>
                </w:p>
              </w:tc>
              <w:tc>
                <w:tcPr>
                  <w:tcW w:w="709" w:type="dxa"/>
                  <w:vAlign w:val="center"/>
                </w:tcPr>
                <w:p w14:paraId="06DC2F09">
                  <w:pPr>
                    <w:pStyle w:val="37"/>
                    <w:rPr>
                      <w:szCs w:val="21"/>
                    </w:rPr>
                  </w:pPr>
                  <w:r>
                    <w:rPr>
                      <w:szCs w:val="21"/>
                    </w:rPr>
                    <w:t>部分新增</w:t>
                  </w:r>
                </w:p>
              </w:tc>
            </w:tr>
            <w:tr w14:paraId="682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82" w:type="dxa"/>
                  <w:vMerge w:val="continue"/>
                  <w:tcBorders>
                    <w:bottom w:val="single" w:color="auto" w:sz="4" w:space="0"/>
                  </w:tcBorders>
                  <w:vAlign w:val="center"/>
                </w:tcPr>
                <w:p w14:paraId="308D1940">
                  <w:pPr>
                    <w:pStyle w:val="52"/>
                    <w:rPr>
                      <w:color w:val="auto"/>
                      <w:szCs w:val="21"/>
                    </w:rPr>
                  </w:pPr>
                </w:p>
              </w:tc>
              <w:tc>
                <w:tcPr>
                  <w:tcW w:w="902" w:type="dxa"/>
                  <w:vMerge w:val="continue"/>
                  <w:vAlign w:val="center"/>
                </w:tcPr>
                <w:p w14:paraId="6D2C80EC">
                  <w:pPr>
                    <w:pStyle w:val="52"/>
                    <w:rPr>
                      <w:color w:val="auto"/>
                      <w:szCs w:val="21"/>
                    </w:rPr>
                  </w:pPr>
                </w:p>
              </w:tc>
              <w:tc>
                <w:tcPr>
                  <w:tcW w:w="1499" w:type="dxa"/>
                  <w:tcBorders>
                    <w:bottom w:val="single" w:color="auto" w:sz="4" w:space="0"/>
                  </w:tcBorders>
                  <w:vAlign w:val="center"/>
                </w:tcPr>
                <w:p w14:paraId="244D3749">
                  <w:pPr>
                    <w:spacing w:line="240" w:lineRule="auto"/>
                    <w:ind w:firstLine="0" w:firstLineChars="0"/>
                    <w:jc w:val="center"/>
                    <w:rPr>
                      <w:rFonts w:cs="Times New Roman"/>
                      <w:sz w:val="21"/>
                      <w:szCs w:val="21"/>
                    </w:rPr>
                  </w:pPr>
                  <w:r>
                    <w:rPr>
                      <w:rFonts w:cs="Times New Roman"/>
                      <w:sz w:val="21"/>
                      <w:szCs w:val="21"/>
                    </w:rPr>
                    <w:t>破碎粉尘</w:t>
                  </w:r>
                </w:p>
              </w:tc>
              <w:tc>
                <w:tcPr>
                  <w:tcW w:w="4893" w:type="dxa"/>
                  <w:tcBorders>
                    <w:bottom w:val="single" w:color="auto" w:sz="4" w:space="0"/>
                  </w:tcBorders>
                  <w:vAlign w:val="center"/>
                </w:tcPr>
                <w:p w14:paraId="5B8B4443">
                  <w:pPr>
                    <w:spacing w:line="240" w:lineRule="auto"/>
                    <w:ind w:firstLine="0" w:firstLineChars="0"/>
                    <w:jc w:val="center"/>
                    <w:rPr>
                      <w:rFonts w:cs="Times New Roman"/>
                      <w:sz w:val="21"/>
                      <w:szCs w:val="21"/>
                    </w:rPr>
                  </w:pPr>
                  <w:r>
                    <w:rPr>
                      <w:rFonts w:cs="Times New Roman"/>
                      <w:sz w:val="21"/>
                      <w:szCs w:val="21"/>
                    </w:rPr>
                    <w:t>破碎机下料口使用苫布遮盖</w:t>
                  </w:r>
                  <w:r>
                    <w:rPr>
                      <w:rFonts w:hint="eastAsia" w:cs="Times New Roman"/>
                      <w:sz w:val="21"/>
                      <w:szCs w:val="21"/>
                    </w:rPr>
                    <w:t>。</w:t>
                  </w:r>
                </w:p>
                <w:p w14:paraId="1B2BC83D">
                  <w:pPr>
                    <w:spacing w:line="240" w:lineRule="auto"/>
                    <w:ind w:firstLine="0" w:firstLineChars="0"/>
                    <w:jc w:val="center"/>
                    <w:rPr>
                      <w:rFonts w:cs="Times New Roman"/>
                      <w:color w:val="FF0000"/>
                      <w:sz w:val="21"/>
                      <w:szCs w:val="21"/>
                    </w:rPr>
                  </w:pPr>
                  <w:r>
                    <w:rPr>
                      <w:rFonts w:hint="eastAsia" w:cs="Times New Roman"/>
                      <w:bCs/>
                      <w:color w:val="FF0000"/>
                      <w:sz w:val="21"/>
                      <w:szCs w:val="21"/>
                    </w:rPr>
                    <w:t>1#破碎线的产污环节进行密闭，配套喷雾设施，装载区建设密闭厂房</w:t>
                  </w:r>
                </w:p>
              </w:tc>
              <w:tc>
                <w:tcPr>
                  <w:tcW w:w="1088" w:type="dxa"/>
                  <w:tcBorders>
                    <w:bottom w:val="single" w:color="auto" w:sz="4" w:space="0"/>
                  </w:tcBorders>
                  <w:vAlign w:val="center"/>
                </w:tcPr>
                <w:p w14:paraId="3E6B2162">
                  <w:pPr>
                    <w:pStyle w:val="37"/>
                    <w:rPr>
                      <w:szCs w:val="21"/>
                    </w:rPr>
                  </w:pPr>
                  <w:r>
                    <w:rPr>
                      <w:rFonts w:hint="eastAsia"/>
                      <w:szCs w:val="21"/>
                    </w:rPr>
                    <w:t>1</w:t>
                  </w:r>
                  <w:r>
                    <w:rPr>
                      <w:szCs w:val="21"/>
                    </w:rPr>
                    <w:t>.3</w:t>
                  </w:r>
                </w:p>
              </w:tc>
              <w:tc>
                <w:tcPr>
                  <w:tcW w:w="709" w:type="dxa"/>
                  <w:tcBorders>
                    <w:bottom w:val="single" w:color="auto" w:sz="4" w:space="0"/>
                  </w:tcBorders>
                  <w:vAlign w:val="center"/>
                </w:tcPr>
                <w:p w14:paraId="73E3D2A8">
                  <w:pPr>
                    <w:pStyle w:val="37"/>
                    <w:rPr>
                      <w:szCs w:val="21"/>
                    </w:rPr>
                  </w:pPr>
                  <w:r>
                    <w:rPr>
                      <w:szCs w:val="21"/>
                    </w:rPr>
                    <w:t>新增</w:t>
                  </w:r>
                </w:p>
              </w:tc>
            </w:tr>
            <w:tr w14:paraId="6D56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82" w:type="dxa"/>
                  <w:vMerge w:val="continue"/>
                  <w:tcBorders>
                    <w:bottom w:val="single" w:color="auto" w:sz="4" w:space="0"/>
                  </w:tcBorders>
                  <w:vAlign w:val="center"/>
                </w:tcPr>
                <w:p w14:paraId="7D27D925">
                  <w:pPr>
                    <w:pStyle w:val="52"/>
                    <w:rPr>
                      <w:color w:val="auto"/>
                      <w:szCs w:val="21"/>
                    </w:rPr>
                  </w:pPr>
                </w:p>
              </w:tc>
              <w:tc>
                <w:tcPr>
                  <w:tcW w:w="902" w:type="dxa"/>
                  <w:vMerge w:val="continue"/>
                  <w:vAlign w:val="center"/>
                </w:tcPr>
                <w:p w14:paraId="4BC63E87">
                  <w:pPr>
                    <w:pStyle w:val="52"/>
                    <w:rPr>
                      <w:color w:val="auto"/>
                      <w:szCs w:val="21"/>
                    </w:rPr>
                  </w:pPr>
                </w:p>
              </w:tc>
              <w:tc>
                <w:tcPr>
                  <w:tcW w:w="1499" w:type="dxa"/>
                  <w:tcBorders>
                    <w:bottom w:val="single" w:color="auto" w:sz="4" w:space="0"/>
                  </w:tcBorders>
                  <w:vAlign w:val="center"/>
                </w:tcPr>
                <w:p w14:paraId="707FA147">
                  <w:pPr>
                    <w:spacing w:line="240" w:lineRule="auto"/>
                    <w:ind w:firstLine="0" w:firstLineChars="0"/>
                    <w:jc w:val="center"/>
                    <w:rPr>
                      <w:rFonts w:cs="Times New Roman"/>
                      <w:sz w:val="21"/>
                      <w:szCs w:val="21"/>
                    </w:rPr>
                  </w:pPr>
                  <w:r>
                    <w:rPr>
                      <w:rFonts w:cs="Times New Roman"/>
                      <w:sz w:val="21"/>
                      <w:szCs w:val="21"/>
                    </w:rPr>
                    <w:t>筛分粉尘及噪声</w:t>
                  </w:r>
                </w:p>
              </w:tc>
              <w:tc>
                <w:tcPr>
                  <w:tcW w:w="4893" w:type="dxa"/>
                  <w:tcBorders>
                    <w:bottom w:val="single" w:color="auto" w:sz="4" w:space="0"/>
                  </w:tcBorders>
                  <w:vAlign w:val="center"/>
                </w:tcPr>
                <w:p w14:paraId="5CE92AA7">
                  <w:pPr>
                    <w:spacing w:line="240" w:lineRule="auto"/>
                    <w:ind w:firstLine="0" w:firstLineChars="0"/>
                    <w:jc w:val="center"/>
                    <w:rPr>
                      <w:rFonts w:cs="Times New Roman"/>
                      <w:sz w:val="21"/>
                      <w:szCs w:val="21"/>
                    </w:rPr>
                  </w:pPr>
                  <w:r>
                    <w:rPr>
                      <w:rFonts w:cs="Times New Roman"/>
                      <w:sz w:val="21"/>
                      <w:szCs w:val="21"/>
                    </w:rPr>
                    <w:t>筛分机采用彩钢瓦棚半封闭，出料口用苫布遮挡</w:t>
                  </w:r>
                </w:p>
              </w:tc>
              <w:tc>
                <w:tcPr>
                  <w:tcW w:w="1088" w:type="dxa"/>
                  <w:tcBorders>
                    <w:bottom w:val="single" w:color="auto" w:sz="4" w:space="0"/>
                  </w:tcBorders>
                  <w:vAlign w:val="center"/>
                </w:tcPr>
                <w:p w14:paraId="7F628685">
                  <w:pPr>
                    <w:pStyle w:val="37"/>
                    <w:rPr>
                      <w:szCs w:val="21"/>
                    </w:rPr>
                  </w:pPr>
                  <w:r>
                    <w:rPr>
                      <w:rFonts w:hint="eastAsia"/>
                      <w:szCs w:val="21"/>
                    </w:rPr>
                    <w:t>1</w:t>
                  </w:r>
                </w:p>
              </w:tc>
              <w:tc>
                <w:tcPr>
                  <w:tcW w:w="709" w:type="dxa"/>
                  <w:tcBorders>
                    <w:bottom w:val="single" w:color="auto" w:sz="4" w:space="0"/>
                  </w:tcBorders>
                  <w:vAlign w:val="center"/>
                </w:tcPr>
                <w:p w14:paraId="01DD0D08">
                  <w:pPr>
                    <w:pStyle w:val="37"/>
                    <w:rPr>
                      <w:szCs w:val="21"/>
                    </w:rPr>
                  </w:pPr>
                  <w:r>
                    <w:rPr>
                      <w:rFonts w:hint="eastAsia"/>
                      <w:szCs w:val="21"/>
                    </w:rPr>
                    <w:t>已建</w:t>
                  </w:r>
                </w:p>
              </w:tc>
            </w:tr>
            <w:tr w14:paraId="58E0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82" w:type="dxa"/>
                  <w:vMerge w:val="continue"/>
                  <w:tcBorders>
                    <w:bottom w:val="single" w:color="auto" w:sz="4" w:space="0"/>
                  </w:tcBorders>
                  <w:vAlign w:val="center"/>
                </w:tcPr>
                <w:p w14:paraId="0C889AFC">
                  <w:pPr>
                    <w:pStyle w:val="52"/>
                    <w:rPr>
                      <w:color w:val="auto"/>
                      <w:szCs w:val="21"/>
                    </w:rPr>
                  </w:pPr>
                </w:p>
              </w:tc>
              <w:tc>
                <w:tcPr>
                  <w:tcW w:w="902" w:type="dxa"/>
                  <w:vMerge w:val="continue"/>
                  <w:vAlign w:val="center"/>
                </w:tcPr>
                <w:p w14:paraId="22B5C219">
                  <w:pPr>
                    <w:pStyle w:val="52"/>
                    <w:rPr>
                      <w:color w:val="auto"/>
                      <w:szCs w:val="21"/>
                    </w:rPr>
                  </w:pPr>
                </w:p>
              </w:tc>
              <w:tc>
                <w:tcPr>
                  <w:tcW w:w="1499" w:type="dxa"/>
                  <w:tcBorders>
                    <w:bottom w:val="single" w:color="auto" w:sz="4" w:space="0"/>
                  </w:tcBorders>
                  <w:vAlign w:val="center"/>
                </w:tcPr>
                <w:p w14:paraId="5E57CCF5">
                  <w:pPr>
                    <w:spacing w:line="240" w:lineRule="auto"/>
                    <w:ind w:firstLine="0" w:firstLineChars="0"/>
                    <w:jc w:val="center"/>
                    <w:rPr>
                      <w:rFonts w:cs="Times New Roman"/>
                      <w:sz w:val="21"/>
                      <w:szCs w:val="21"/>
                    </w:rPr>
                  </w:pPr>
                  <w:r>
                    <w:rPr>
                      <w:rFonts w:cs="Times New Roman"/>
                      <w:sz w:val="21"/>
                      <w:szCs w:val="21"/>
                    </w:rPr>
                    <w:t>堆料场扬尘</w:t>
                  </w:r>
                </w:p>
              </w:tc>
              <w:tc>
                <w:tcPr>
                  <w:tcW w:w="4893" w:type="dxa"/>
                  <w:tcBorders>
                    <w:bottom w:val="single" w:color="auto" w:sz="4" w:space="0"/>
                  </w:tcBorders>
                  <w:vAlign w:val="center"/>
                </w:tcPr>
                <w:p w14:paraId="01441647">
                  <w:pPr>
                    <w:spacing w:line="240" w:lineRule="auto"/>
                    <w:ind w:firstLine="0" w:firstLineChars="0"/>
                    <w:jc w:val="center"/>
                    <w:rPr>
                      <w:rFonts w:cs="Times New Roman"/>
                      <w:sz w:val="21"/>
                      <w:szCs w:val="21"/>
                    </w:rPr>
                  </w:pPr>
                  <w:r>
                    <w:rPr>
                      <w:rFonts w:cs="Times New Roman"/>
                      <w:sz w:val="21"/>
                      <w:szCs w:val="21"/>
                    </w:rPr>
                    <w:t>堆积成品石料采用苫布临时覆盖，并采取洒水降尘</w:t>
                  </w:r>
                </w:p>
              </w:tc>
              <w:tc>
                <w:tcPr>
                  <w:tcW w:w="1088" w:type="dxa"/>
                  <w:tcBorders>
                    <w:bottom w:val="single" w:color="auto" w:sz="4" w:space="0"/>
                  </w:tcBorders>
                  <w:vAlign w:val="center"/>
                </w:tcPr>
                <w:p w14:paraId="726A7485">
                  <w:pPr>
                    <w:pStyle w:val="37"/>
                    <w:rPr>
                      <w:szCs w:val="21"/>
                    </w:rPr>
                  </w:pPr>
                  <w:r>
                    <w:rPr>
                      <w:szCs w:val="21"/>
                    </w:rPr>
                    <w:t>0.7</w:t>
                  </w:r>
                </w:p>
              </w:tc>
              <w:tc>
                <w:tcPr>
                  <w:tcW w:w="709" w:type="dxa"/>
                  <w:tcBorders>
                    <w:bottom w:val="single" w:color="auto" w:sz="4" w:space="0"/>
                  </w:tcBorders>
                  <w:vAlign w:val="center"/>
                </w:tcPr>
                <w:p w14:paraId="212E7917">
                  <w:pPr>
                    <w:pStyle w:val="37"/>
                    <w:rPr>
                      <w:szCs w:val="21"/>
                    </w:rPr>
                  </w:pPr>
                  <w:r>
                    <w:rPr>
                      <w:rFonts w:hint="eastAsia"/>
                      <w:szCs w:val="21"/>
                    </w:rPr>
                    <w:t>已建</w:t>
                  </w:r>
                </w:p>
              </w:tc>
            </w:tr>
            <w:tr w14:paraId="7DBA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82" w:type="dxa"/>
                  <w:vMerge w:val="continue"/>
                  <w:tcBorders>
                    <w:bottom w:val="single" w:color="auto" w:sz="4" w:space="0"/>
                  </w:tcBorders>
                  <w:vAlign w:val="center"/>
                </w:tcPr>
                <w:p w14:paraId="70BED251">
                  <w:pPr>
                    <w:pStyle w:val="52"/>
                    <w:rPr>
                      <w:color w:val="auto"/>
                      <w:szCs w:val="21"/>
                    </w:rPr>
                  </w:pPr>
                </w:p>
              </w:tc>
              <w:tc>
                <w:tcPr>
                  <w:tcW w:w="902" w:type="dxa"/>
                  <w:vMerge w:val="continue"/>
                  <w:vAlign w:val="center"/>
                </w:tcPr>
                <w:p w14:paraId="0838CAC7">
                  <w:pPr>
                    <w:pStyle w:val="52"/>
                    <w:rPr>
                      <w:color w:val="auto"/>
                      <w:szCs w:val="21"/>
                    </w:rPr>
                  </w:pPr>
                </w:p>
              </w:tc>
              <w:tc>
                <w:tcPr>
                  <w:tcW w:w="1499" w:type="dxa"/>
                  <w:tcBorders>
                    <w:bottom w:val="single" w:color="auto" w:sz="4" w:space="0"/>
                  </w:tcBorders>
                  <w:vAlign w:val="center"/>
                </w:tcPr>
                <w:p w14:paraId="52466BE0">
                  <w:pPr>
                    <w:spacing w:line="240" w:lineRule="auto"/>
                    <w:ind w:firstLine="0" w:firstLineChars="0"/>
                    <w:jc w:val="center"/>
                    <w:rPr>
                      <w:rFonts w:cs="Times New Roman"/>
                      <w:sz w:val="21"/>
                      <w:szCs w:val="21"/>
                    </w:rPr>
                  </w:pPr>
                  <w:r>
                    <w:rPr>
                      <w:rFonts w:cs="Times New Roman"/>
                      <w:sz w:val="21"/>
                      <w:szCs w:val="21"/>
                    </w:rPr>
                    <w:t>弃渣场扬尘</w:t>
                  </w:r>
                </w:p>
              </w:tc>
              <w:tc>
                <w:tcPr>
                  <w:tcW w:w="4893" w:type="dxa"/>
                  <w:tcBorders>
                    <w:bottom w:val="single" w:color="auto" w:sz="4" w:space="0"/>
                  </w:tcBorders>
                  <w:vAlign w:val="center"/>
                </w:tcPr>
                <w:p w14:paraId="058C127D">
                  <w:pPr>
                    <w:spacing w:line="240" w:lineRule="auto"/>
                    <w:ind w:firstLine="0" w:firstLineChars="0"/>
                    <w:jc w:val="center"/>
                    <w:rPr>
                      <w:rFonts w:cs="Times New Roman"/>
                      <w:color w:val="FF0000"/>
                      <w:sz w:val="21"/>
                      <w:szCs w:val="21"/>
                    </w:rPr>
                  </w:pPr>
                  <w:r>
                    <w:rPr>
                      <w:rFonts w:cs="Times New Roman"/>
                      <w:color w:val="FF0000"/>
                      <w:sz w:val="21"/>
                      <w:szCs w:val="21"/>
                    </w:rPr>
                    <w:t>堆置弃土采用洒水降尘措施</w:t>
                  </w:r>
                </w:p>
              </w:tc>
              <w:tc>
                <w:tcPr>
                  <w:tcW w:w="1088" w:type="dxa"/>
                  <w:tcBorders>
                    <w:bottom w:val="single" w:color="auto" w:sz="4" w:space="0"/>
                  </w:tcBorders>
                  <w:vAlign w:val="center"/>
                </w:tcPr>
                <w:p w14:paraId="08F610D4">
                  <w:pPr>
                    <w:pStyle w:val="37"/>
                    <w:rPr>
                      <w:szCs w:val="21"/>
                    </w:rPr>
                  </w:pPr>
                  <w:r>
                    <w:rPr>
                      <w:szCs w:val="21"/>
                    </w:rPr>
                    <w:t>0.5</w:t>
                  </w:r>
                </w:p>
              </w:tc>
              <w:tc>
                <w:tcPr>
                  <w:tcW w:w="709" w:type="dxa"/>
                  <w:tcBorders>
                    <w:bottom w:val="single" w:color="auto" w:sz="4" w:space="0"/>
                  </w:tcBorders>
                  <w:vAlign w:val="center"/>
                </w:tcPr>
                <w:p w14:paraId="1077A867">
                  <w:pPr>
                    <w:pStyle w:val="37"/>
                    <w:rPr>
                      <w:szCs w:val="21"/>
                    </w:rPr>
                  </w:pPr>
                  <w:r>
                    <w:rPr>
                      <w:szCs w:val="21"/>
                    </w:rPr>
                    <w:t>新增</w:t>
                  </w:r>
                </w:p>
              </w:tc>
            </w:tr>
            <w:tr w14:paraId="24CE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82" w:type="dxa"/>
                  <w:vMerge w:val="continue"/>
                  <w:tcBorders>
                    <w:bottom w:val="single" w:color="auto" w:sz="4" w:space="0"/>
                  </w:tcBorders>
                  <w:vAlign w:val="center"/>
                </w:tcPr>
                <w:p w14:paraId="6F7E8B01">
                  <w:pPr>
                    <w:pStyle w:val="52"/>
                    <w:rPr>
                      <w:color w:val="auto"/>
                      <w:szCs w:val="21"/>
                    </w:rPr>
                  </w:pPr>
                </w:p>
              </w:tc>
              <w:tc>
                <w:tcPr>
                  <w:tcW w:w="902" w:type="dxa"/>
                  <w:vMerge w:val="continue"/>
                  <w:vAlign w:val="center"/>
                </w:tcPr>
                <w:p w14:paraId="6B7F5813">
                  <w:pPr>
                    <w:pStyle w:val="52"/>
                    <w:rPr>
                      <w:color w:val="auto"/>
                      <w:szCs w:val="21"/>
                    </w:rPr>
                  </w:pPr>
                </w:p>
              </w:tc>
              <w:tc>
                <w:tcPr>
                  <w:tcW w:w="1499" w:type="dxa"/>
                  <w:tcBorders>
                    <w:bottom w:val="single" w:color="auto" w:sz="4" w:space="0"/>
                  </w:tcBorders>
                  <w:vAlign w:val="center"/>
                </w:tcPr>
                <w:p w14:paraId="3154A062">
                  <w:pPr>
                    <w:pStyle w:val="52"/>
                    <w:rPr>
                      <w:color w:val="auto"/>
                    </w:rPr>
                  </w:pPr>
                  <w:r>
                    <w:rPr>
                      <w:rFonts w:hint="eastAsia"/>
                      <w:color w:val="FF0000"/>
                    </w:rPr>
                    <w:t>传送带、</w:t>
                  </w:r>
                  <w:r>
                    <w:rPr>
                      <w:color w:val="auto"/>
                    </w:rPr>
                    <w:t>转载、装卸点防尘</w:t>
                  </w:r>
                </w:p>
              </w:tc>
              <w:tc>
                <w:tcPr>
                  <w:tcW w:w="4893" w:type="dxa"/>
                  <w:tcBorders>
                    <w:bottom w:val="single" w:color="auto" w:sz="4" w:space="0"/>
                  </w:tcBorders>
                  <w:vAlign w:val="center"/>
                </w:tcPr>
                <w:p w14:paraId="2D8DE6C6">
                  <w:pPr>
                    <w:pStyle w:val="52"/>
                    <w:rPr>
                      <w:color w:val="auto"/>
                    </w:rPr>
                  </w:pPr>
                  <w:r>
                    <w:rPr>
                      <w:color w:val="auto"/>
                    </w:rPr>
                    <w:t>转载、装卸点通过洒水车</w:t>
                  </w:r>
                  <w:r>
                    <w:rPr>
                      <w:rFonts w:hint="eastAsia"/>
                      <w:color w:val="auto"/>
                    </w:rPr>
                    <w:t>、</w:t>
                  </w:r>
                  <w:r>
                    <w:rPr>
                      <w:rFonts w:hint="eastAsia"/>
                      <w:color w:val="FF0000"/>
                    </w:rPr>
                    <w:t>雾炮机</w:t>
                  </w:r>
                  <w:r>
                    <w:rPr>
                      <w:color w:val="auto"/>
                    </w:rPr>
                    <w:t>洒水降尘</w:t>
                  </w:r>
                </w:p>
              </w:tc>
              <w:tc>
                <w:tcPr>
                  <w:tcW w:w="1088" w:type="dxa"/>
                  <w:tcBorders>
                    <w:bottom w:val="single" w:color="auto" w:sz="4" w:space="0"/>
                  </w:tcBorders>
                  <w:vAlign w:val="center"/>
                </w:tcPr>
                <w:p w14:paraId="3A143D14">
                  <w:pPr>
                    <w:pStyle w:val="37"/>
                    <w:rPr>
                      <w:szCs w:val="21"/>
                    </w:rPr>
                  </w:pPr>
                  <w:r>
                    <w:rPr>
                      <w:rFonts w:hint="eastAsia"/>
                      <w:szCs w:val="21"/>
                    </w:rPr>
                    <w:t>1</w:t>
                  </w:r>
                </w:p>
              </w:tc>
              <w:tc>
                <w:tcPr>
                  <w:tcW w:w="709" w:type="dxa"/>
                  <w:tcBorders>
                    <w:bottom w:val="single" w:color="auto" w:sz="4" w:space="0"/>
                  </w:tcBorders>
                  <w:vAlign w:val="center"/>
                </w:tcPr>
                <w:p w14:paraId="6BB3E2E1">
                  <w:pPr>
                    <w:pStyle w:val="37"/>
                    <w:rPr>
                      <w:szCs w:val="21"/>
                    </w:rPr>
                  </w:pPr>
                  <w:r>
                    <w:rPr>
                      <w:rFonts w:hint="eastAsia"/>
                      <w:szCs w:val="21"/>
                    </w:rPr>
                    <w:t>已建</w:t>
                  </w:r>
                </w:p>
              </w:tc>
            </w:tr>
            <w:tr w14:paraId="2A07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82" w:type="dxa"/>
                  <w:vMerge w:val="continue"/>
                  <w:tcBorders>
                    <w:bottom w:val="single" w:color="auto" w:sz="4" w:space="0"/>
                  </w:tcBorders>
                  <w:vAlign w:val="center"/>
                </w:tcPr>
                <w:p w14:paraId="3D4A7709">
                  <w:pPr>
                    <w:pStyle w:val="52"/>
                    <w:rPr>
                      <w:color w:val="auto"/>
                      <w:szCs w:val="21"/>
                    </w:rPr>
                  </w:pPr>
                </w:p>
              </w:tc>
              <w:tc>
                <w:tcPr>
                  <w:tcW w:w="902" w:type="dxa"/>
                  <w:vMerge w:val="continue"/>
                  <w:vAlign w:val="center"/>
                </w:tcPr>
                <w:p w14:paraId="148BF293">
                  <w:pPr>
                    <w:pStyle w:val="52"/>
                    <w:rPr>
                      <w:color w:val="auto"/>
                      <w:szCs w:val="21"/>
                    </w:rPr>
                  </w:pPr>
                </w:p>
              </w:tc>
              <w:tc>
                <w:tcPr>
                  <w:tcW w:w="1499" w:type="dxa"/>
                  <w:vMerge w:val="restart"/>
                  <w:vAlign w:val="center"/>
                </w:tcPr>
                <w:p w14:paraId="448E9321">
                  <w:pPr>
                    <w:pStyle w:val="52"/>
                    <w:rPr>
                      <w:color w:val="auto"/>
                      <w:szCs w:val="21"/>
                    </w:rPr>
                  </w:pPr>
                  <w:r>
                    <w:rPr>
                      <w:color w:val="auto"/>
                      <w:szCs w:val="21"/>
                    </w:rPr>
                    <w:t>运输扬尘</w:t>
                  </w:r>
                </w:p>
              </w:tc>
              <w:tc>
                <w:tcPr>
                  <w:tcW w:w="4893" w:type="dxa"/>
                  <w:tcBorders>
                    <w:bottom w:val="single" w:color="auto" w:sz="4" w:space="0"/>
                  </w:tcBorders>
                  <w:vAlign w:val="center"/>
                </w:tcPr>
                <w:p w14:paraId="659A8F1D">
                  <w:pPr>
                    <w:spacing w:line="240" w:lineRule="auto"/>
                    <w:ind w:firstLine="0" w:firstLineChars="0"/>
                    <w:jc w:val="center"/>
                    <w:rPr>
                      <w:rFonts w:cs="Times New Roman"/>
                      <w:sz w:val="21"/>
                      <w:szCs w:val="21"/>
                    </w:rPr>
                  </w:pPr>
                  <w:r>
                    <w:rPr>
                      <w:rFonts w:cs="Times New Roman"/>
                      <w:sz w:val="21"/>
                      <w:szCs w:val="21"/>
                    </w:rPr>
                    <w:t>场区出口设人工洒水设施</w:t>
                  </w:r>
                </w:p>
              </w:tc>
              <w:tc>
                <w:tcPr>
                  <w:tcW w:w="1088" w:type="dxa"/>
                  <w:tcBorders>
                    <w:bottom w:val="single" w:color="auto" w:sz="4" w:space="0"/>
                  </w:tcBorders>
                  <w:vAlign w:val="center"/>
                </w:tcPr>
                <w:p w14:paraId="397BE77A">
                  <w:pPr>
                    <w:pStyle w:val="37"/>
                    <w:rPr>
                      <w:szCs w:val="21"/>
                    </w:rPr>
                  </w:pPr>
                  <w:r>
                    <w:rPr>
                      <w:szCs w:val="21"/>
                    </w:rPr>
                    <w:t>0.3</w:t>
                  </w:r>
                </w:p>
              </w:tc>
              <w:tc>
                <w:tcPr>
                  <w:tcW w:w="709" w:type="dxa"/>
                  <w:tcBorders>
                    <w:bottom w:val="single" w:color="auto" w:sz="4" w:space="0"/>
                  </w:tcBorders>
                  <w:vAlign w:val="center"/>
                </w:tcPr>
                <w:p w14:paraId="4A7BD14E">
                  <w:pPr>
                    <w:pStyle w:val="37"/>
                    <w:rPr>
                      <w:szCs w:val="21"/>
                    </w:rPr>
                  </w:pPr>
                  <w:r>
                    <w:rPr>
                      <w:rFonts w:hint="eastAsia"/>
                      <w:szCs w:val="21"/>
                    </w:rPr>
                    <w:t>已建</w:t>
                  </w:r>
                </w:p>
              </w:tc>
            </w:tr>
            <w:tr w14:paraId="688A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23B310E6">
                  <w:pPr>
                    <w:pStyle w:val="52"/>
                    <w:rPr>
                      <w:color w:val="auto"/>
                      <w:szCs w:val="21"/>
                    </w:rPr>
                  </w:pPr>
                </w:p>
              </w:tc>
              <w:tc>
                <w:tcPr>
                  <w:tcW w:w="902" w:type="dxa"/>
                  <w:vMerge w:val="continue"/>
                  <w:vAlign w:val="center"/>
                </w:tcPr>
                <w:p w14:paraId="077BAB13">
                  <w:pPr>
                    <w:pStyle w:val="52"/>
                    <w:rPr>
                      <w:color w:val="auto"/>
                      <w:szCs w:val="21"/>
                    </w:rPr>
                  </w:pPr>
                </w:p>
              </w:tc>
              <w:tc>
                <w:tcPr>
                  <w:tcW w:w="1499" w:type="dxa"/>
                  <w:vMerge w:val="continue"/>
                  <w:vAlign w:val="center"/>
                </w:tcPr>
                <w:p w14:paraId="5D4BCCFA">
                  <w:pPr>
                    <w:pStyle w:val="52"/>
                    <w:rPr>
                      <w:color w:val="auto"/>
                      <w:szCs w:val="21"/>
                    </w:rPr>
                  </w:pPr>
                </w:p>
              </w:tc>
              <w:tc>
                <w:tcPr>
                  <w:tcW w:w="4893" w:type="dxa"/>
                  <w:vAlign w:val="center"/>
                </w:tcPr>
                <w:p w14:paraId="56879EB7">
                  <w:pPr>
                    <w:spacing w:line="240" w:lineRule="auto"/>
                    <w:ind w:firstLine="0" w:firstLineChars="0"/>
                    <w:jc w:val="center"/>
                    <w:rPr>
                      <w:rFonts w:cs="Times New Roman"/>
                      <w:sz w:val="21"/>
                      <w:szCs w:val="21"/>
                    </w:rPr>
                  </w:pPr>
                  <w:r>
                    <w:rPr>
                      <w:rFonts w:cs="Times New Roman"/>
                      <w:sz w:val="21"/>
                      <w:szCs w:val="21"/>
                    </w:rPr>
                    <w:t>出场车辆采用苫布覆盖</w:t>
                  </w:r>
                </w:p>
              </w:tc>
              <w:tc>
                <w:tcPr>
                  <w:tcW w:w="1088" w:type="dxa"/>
                  <w:vAlign w:val="center"/>
                </w:tcPr>
                <w:p w14:paraId="5809864D">
                  <w:pPr>
                    <w:pStyle w:val="37"/>
                    <w:rPr>
                      <w:szCs w:val="21"/>
                    </w:rPr>
                  </w:pPr>
                  <w:r>
                    <w:rPr>
                      <w:szCs w:val="21"/>
                    </w:rPr>
                    <w:t>0.4</w:t>
                  </w:r>
                </w:p>
              </w:tc>
              <w:tc>
                <w:tcPr>
                  <w:tcW w:w="709" w:type="dxa"/>
                  <w:vAlign w:val="center"/>
                </w:tcPr>
                <w:p w14:paraId="32F85094">
                  <w:pPr>
                    <w:pStyle w:val="37"/>
                    <w:rPr>
                      <w:szCs w:val="21"/>
                    </w:rPr>
                  </w:pPr>
                  <w:r>
                    <w:rPr>
                      <w:szCs w:val="21"/>
                    </w:rPr>
                    <w:t>新增</w:t>
                  </w:r>
                </w:p>
              </w:tc>
            </w:tr>
            <w:tr w14:paraId="383E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7051BDE2">
                  <w:pPr>
                    <w:pStyle w:val="52"/>
                    <w:rPr>
                      <w:color w:val="auto"/>
                      <w:szCs w:val="21"/>
                    </w:rPr>
                  </w:pPr>
                </w:p>
              </w:tc>
              <w:tc>
                <w:tcPr>
                  <w:tcW w:w="902" w:type="dxa"/>
                  <w:vMerge w:val="continue"/>
                  <w:vAlign w:val="center"/>
                </w:tcPr>
                <w:p w14:paraId="45E5009E">
                  <w:pPr>
                    <w:pStyle w:val="52"/>
                    <w:rPr>
                      <w:color w:val="auto"/>
                      <w:szCs w:val="21"/>
                    </w:rPr>
                  </w:pPr>
                </w:p>
              </w:tc>
              <w:tc>
                <w:tcPr>
                  <w:tcW w:w="1499" w:type="dxa"/>
                  <w:vAlign w:val="center"/>
                </w:tcPr>
                <w:p w14:paraId="6A587974">
                  <w:pPr>
                    <w:pStyle w:val="52"/>
                    <w:rPr>
                      <w:color w:val="auto"/>
                      <w:szCs w:val="21"/>
                    </w:rPr>
                  </w:pPr>
                  <w:r>
                    <w:rPr>
                      <w:color w:val="auto"/>
                      <w:szCs w:val="21"/>
                    </w:rPr>
                    <w:t>厨房</w:t>
                  </w:r>
                </w:p>
              </w:tc>
              <w:tc>
                <w:tcPr>
                  <w:tcW w:w="4893" w:type="dxa"/>
                  <w:vAlign w:val="center"/>
                </w:tcPr>
                <w:p w14:paraId="1CB3CF8F">
                  <w:pPr>
                    <w:pStyle w:val="52"/>
                    <w:rPr>
                      <w:color w:val="auto"/>
                      <w:szCs w:val="21"/>
                    </w:rPr>
                  </w:pPr>
                  <w:r>
                    <w:rPr>
                      <w:color w:val="auto"/>
                      <w:kern w:val="2"/>
                      <w:szCs w:val="21"/>
                    </w:rPr>
                    <w:t>1套小型油烟净化器，净化效率不低于60%</w:t>
                  </w:r>
                </w:p>
              </w:tc>
              <w:tc>
                <w:tcPr>
                  <w:tcW w:w="1088" w:type="dxa"/>
                  <w:vAlign w:val="center"/>
                </w:tcPr>
                <w:p w14:paraId="2FCFAA6A">
                  <w:pPr>
                    <w:pStyle w:val="52"/>
                    <w:rPr>
                      <w:color w:val="auto"/>
                      <w:szCs w:val="21"/>
                    </w:rPr>
                  </w:pPr>
                  <w:r>
                    <w:rPr>
                      <w:color w:val="auto"/>
                      <w:szCs w:val="21"/>
                    </w:rPr>
                    <w:t>0.2</w:t>
                  </w:r>
                </w:p>
              </w:tc>
              <w:tc>
                <w:tcPr>
                  <w:tcW w:w="709" w:type="dxa"/>
                  <w:vAlign w:val="center"/>
                </w:tcPr>
                <w:p w14:paraId="3CAF9210">
                  <w:pPr>
                    <w:pStyle w:val="52"/>
                    <w:rPr>
                      <w:color w:val="auto"/>
                      <w:szCs w:val="21"/>
                    </w:rPr>
                  </w:pPr>
                  <w:r>
                    <w:rPr>
                      <w:color w:val="auto"/>
                      <w:szCs w:val="21"/>
                    </w:rPr>
                    <w:t>新增</w:t>
                  </w:r>
                </w:p>
              </w:tc>
            </w:tr>
            <w:tr w14:paraId="580C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3F7D5544">
                  <w:pPr>
                    <w:pStyle w:val="52"/>
                    <w:rPr>
                      <w:color w:val="auto"/>
                      <w:szCs w:val="21"/>
                    </w:rPr>
                  </w:pPr>
                </w:p>
              </w:tc>
              <w:tc>
                <w:tcPr>
                  <w:tcW w:w="902" w:type="dxa"/>
                  <w:vMerge w:val="restart"/>
                  <w:vAlign w:val="center"/>
                </w:tcPr>
                <w:p w14:paraId="250A4277">
                  <w:pPr>
                    <w:pStyle w:val="52"/>
                    <w:rPr>
                      <w:color w:val="auto"/>
                      <w:szCs w:val="21"/>
                    </w:rPr>
                  </w:pPr>
                  <w:r>
                    <w:rPr>
                      <w:color w:val="auto"/>
                      <w:szCs w:val="21"/>
                    </w:rPr>
                    <w:t>废水</w:t>
                  </w:r>
                </w:p>
              </w:tc>
              <w:tc>
                <w:tcPr>
                  <w:tcW w:w="1499" w:type="dxa"/>
                  <w:vAlign w:val="center"/>
                </w:tcPr>
                <w:p w14:paraId="7762A013">
                  <w:pPr>
                    <w:pStyle w:val="52"/>
                    <w:rPr>
                      <w:color w:val="auto"/>
                      <w:szCs w:val="21"/>
                    </w:rPr>
                  </w:pPr>
                  <w:r>
                    <w:rPr>
                      <w:color w:val="auto"/>
                      <w:szCs w:val="21"/>
                    </w:rPr>
                    <w:t>生活污水</w:t>
                  </w:r>
                </w:p>
              </w:tc>
              <w:tc>
                <w:tcPr>
                  <w:tcW w:w="4893" w:type="dxa"/>
                  <w:vAlign w:val="center"/>
                </w:tcPr>
                <w:p w14:paraId="3549ACD4">
                  <w:pPr>
                    <w:pStyle w:val="52"/>
                    <w:rPr>
                      <w:color w:val="auto"/>
                      <w:szCs w:val="21"/>
                    </w:rPr>
                  </w:pPr>
                  <w:r>
                    <w:rPr>
                      <w:color w:val="auto"/>
                      <w:szCs w:val="21"/>
                    </w:rPr>
                    <w:t>1个隔油池（2m</w:t>
                  </w:r>
                  <w:r>
                    <w:rPr>
                      <w:color w:val="auto"/>
                      <w:szCs w:val="21"/>
                      <w:vertAlign w:val="superscript"/>
                    </w:rPr>
                    <w:t>3</w:t>
                  </w:r>
                  <w:r>
                    <w:rPr>
                      <w:color w:val="auto"/>
                      <w:szCs w:val="21"/>
                    </w:rPr>
                    <w:t>、处理厨房废水），2个化粪池（12m</w:t>
                  </w:r>
                  <w:r>
                    <w:rPr>
                      <w:color w:val="auto"/>
                      <w:szCs w:val="21"/>
                      <w:vertAlign w:val="superscript"/>
                    </w:rPr>
                    <w:t>3</w:t>
                  </w:r>
                  <w:r>
                    <w:rPr>
                      <w:color w:val="auto"/>
                      <w:szCs w:val="21"/>
                    </w:rPr>
                    <w:t>和5 m</w:t>
                  </w:r>
                  <w:r>
                    <w:rPr>
                      <w:color w:val="auto"/>
                      <w:szCs w:val="21"/>
                      <w:vertAlign w:val="superscript"/>
                    </w:rPr>
                    <w:t>3</w:t>
                  </w:r>
                  <w:r>
                    <w:rPr>
                      <w:color w:val="auto"/>
                      <w:szCs w:val="21"/>
                    </w:rPr>
                    <w:t>处理生活污水）</w:t>
                  </w:r>
                </w:p>
              </w:tc>
              <w:tc>
                <w:tcPr>
                  <w:tcW w:w="1088" w:type="dxa"/>
                  <w:vMerge w:val="restart"/>
                  <w:vAlign w:val="center"/>
                </w:tcPr>
                <w:p w14:paraId="4B301EC7">
                  <w:pPr>
                    <w:pStyle w:val="52"/>
                    <w:rPr>
                      <w:color w:val="auto"/>
                      <w:szCs w:val="21"/>
                    </w:rPr>
                  </w:pPr>
                  <w:r>
                    <w:rPr>
                      <w:color w:val="auto"/>
                      <w:szCs w:val="21"/>
                    </w:rPr>
                    <w:t>15.0</w:t>
                  </w:r>
                </w:p>
              </w:tc>
              <w:tc>
                <w:tcPr>
                  <w:tcW w:w="709" w:type="dxa"/>
                  <w:vAlign w:val="center"/>
                </w:tcPr>
                <w:p w14:paraId="0218878E">
                  <w:pPr>
                    <w:pStyle w:val="52"/>
                    <w:rPr>
                      <w:color w:val="auto"/>
                      <w:szCs w:val="21"/>
                    </w:rPr>
                  </w:pPr>
                  <w:r>
                    <w:rPr>
                      <w:color w:val="auto"/>
                      <w:szCs w:val="21"/>
                    </w:rPr>
                    <w:t>化粪池原有</w:t>
                  </w:r>
                </w:p>
              </w:tc>
            </w:tr>
            <w:tr w14:paraId="1A01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1F537F2A">
                  <w:pPr>
                    <w:pStyle w:val="52"/>
                    <w:rPr>
                      <w:color w:val="auto"/>
                      <w:szCs w:val="21"/>
                    </w:rPr>
                  </w:pPr>
                </w:p>
              </w:tc>
              <w:tc>
                <w:tcPr>
                  <w:tcW w:w="902" w:type="dxa"/>
                  <w:vMerge w:val="continue"/>
                  <w:vAlign w:val="center"/>
                </w:tcPr>
                <w:p w14:paraId="5F0F1CC9">
                  <w:pPr>
                    <w:pStyle w:val="52"/>
                    <w:rPr>
                      <w:color w:val="auto"/>
                      <w:szCs w:val="21"/>
                    </w:rPr>
                  </w:pPr>
                </w:p>
              </w:tc>
              <w:tc>
                <w:tcPr>
                  <w:tcW w:w="1499" w:type="dxa"/>
                  <w:vMerge w:val="restart"/>
                  <w:vAlign w:val="center"/>
                </w:tcPr>
                <w:p w14:paraId="113464C3">
                  <w:pPr>
                    <w:pStyle w:val="52"/>
                    <w:rPr>
                      <w:color w:val="auto"/>
                      <w:szCs w:val="21"/>
                    </w:rPr>
                  </w:pPr>
                  <w:r>
                    <w:rPr>
                      <w:rFonts w:hint="eastAsia"/>
                      <w:bCs/>
                      <w:color w:val="FF0000"/>
                    </w:rPr>
                    <w:t>初期雨水</w:t>
                  </w:r>
                </w:p>
              </w:tc>
              <w:tc>
                <w:tcPr>
                  <w:tcW w:w="4893" w:type="dxa"/>
                  <w:vAlign w:val="center"/>
                </w:tcPr>
                <w:p w14:paraId="060D9685">
                  <w:pPr>
                    <w:pStyle w:val="52"/>
                    <w:rPr>
                      <w:color w:val="auto"/>
                      <w:szCs w:val="21"/>
                    </w:rPr>
                  </w:pPr>
                  <w:r>
                    <w:rPr>
                      <w:color w:val="auto"/>
                      <w:szCs w:val="21"/>
                    </w:rPr>
                    <w:t>弃渣场上游修建截排水沟490m，末端设置沉砂池，容积为120m</w:t>
                  </w:r>
                  <w:r>
                    <w:rPr>
                      <w:color w:val="auto"/>
                      <w:szCs w:val="21"/>
                      <w:vertAlign w:val="superscript"/>
                    </w:rPr>
                    <w:t>3</w:t>
                  </w:r>
                  <w:r>
                    <w:rPr>
                      <w:color w:val="auto"/>
                      <w:szCs w:val="21"/>
                    </w:rPr>
                    <w:t>。露天采场区累计修建排水沟923m，末端设置沉砂池，设置1个沉砂池，容积为100m</w:t>
                  </w:r>
                  <w:r>
                    <w:rPr>
                      <w:color w:val="auto"/>
                      <w:szCs w:val="21"/>
                      <w:vertAlign w:val="superscript"/>
                    </w:rPr>
                    <w:t>3</w:t>
                  </w:r>
                  <w:r>
                    <w:rPr>
                      <w:color w:val="auto"/>
                      <w:szCs w:val="21"/>
                    </w:rPr>
                    <w:t>。</w:t>
                  </w:r>
                </w:p>
              </w:tc>
              <w:tc>
                <w:tcPr>
                  <w:tcW w:w="1088" w:type="dxa"/>
                  <w:vMerge w:val="continue"/>
                  <w:vAlign w:val="center"/>
                </w:tcPr>
                <w:p w14:paraId="58AEE51D">
                  <w:pPr>
                    <w:pStyle w:val="52"/>
                    <w:rPr>
                      <w:color w:val="auto"/>
                      <w:szCs w:val="21"/>
                    </w:rPr>
                  </w:pPr>
                </w:p>
              </w:tc>
              <w:tc>
                <w:tcPr>
                  <w:tcW w:w="709" w:type="dxa"/>
                  <w:vAlign w:val="center"/>
                </w:tcPr>
                <w:p w14:paraId="5565BA29">
                  <w:pPr>
                    <w:pStyle w:val="52"/>
                    <w:rPr>
                      <w:color w:val="auto"/>
                      <w:szCs w:val="21"/>
                    </w:rPr>
                  </w:pPr>
                  <w:r>
                    <w:rPr>
                      <w:color w:val="auto"/>
                      <w:szCs w:val="21"/>
                    </w:rPr>
                    <w:t>新增</w:t>
                  </w:r>
                </w:p>
              </w:tc>
            </w:tr>
            <w:tr w14:paraId="4B81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1ED3E00D">
                  <w:pPr>
                    <w:pStyle w:val="52"/>
                    <w:rPr>
                      <w:color w:val="auto"/>
                      <w:szCs w:val="21"/>
                    </w:rPr>
                  </w:pPr>
                </w:p>
              </w:tc>
              <w:tc>
                <w:tcPr>
                  <w:tcW w:w="902" w:type="dxa"/>
                  <w:vMerge w:val="continue"/>
                  <w:vAlign w:val="center"/>
                </w:tcPr>
                <w:p w14:paraId="5441CBA6">
                  <w:pPr>
                    <w:pStyle w:val="52"/>
                    <w:rPr>
                      <w:color w:val="auto"/>
                      <w:szCs w:val="21"/>
                    </w:rPr>
                  </w:pPr>
                </w:p>
              </w:tc>
              <w:tc>
                <w:tcPr>
                  <w:tcW w:w="1499" w:type="dxa"/>
                  <w:vMerge w:val="continue"/>
                  <w:vAlign w:val="center"/>
                </w:tcPr>
                <w:p w14:paraId="722F79D5">
                  <w:pPr>
                    <w:pStyle w:val="52"/>
                    <w:rPr>
                      <w:color w:val="auto"/>
                      <w:szCs w:val="21"/>
                    </w:rPr>
                  </w:pPr>
                </w:p>
              </w:tc>
              <w:tc>
                <w:tcPr>
                  <w:tcW w:w="4893" w:type="dxa"/>
                  <w:vAlign w:val="center"/>
                </w:tcPr>
                <w:p w14:paraId="613B9AB9">
                  <w:pPr>
                    <w:pStyle w:val="52"/>
                    <w:rPr>
                      <w:color w:val="auto"/>
                      <w:szCs w:val="21"/>
                    </w:rPr>
                  </w:pPr>
                  <w:r>
                    <w:rPr>
                      <w:color w:val="auto"/>
                      <w:szCs w:val="21"/>
                    </w:rPr>
                    <w:t>生活区及储油罐区及堆料场北侧设置约250m的雨水沟，在其末端设置1个雨水沉淀池，容积100m</w:t>
                  </w:r>
                  <w:r>
                    <w:rPr>
                      <w:color w:val="auto"/>
                      <w:szCs w:val="21"/>
                      <w:vertAlign w:val="superscript"/>
                    </w:rPr>
                    <w:t>3</w:t>
                  </w:r>
                  <w:r>
                    <w:rPr>
                      <w:color w:val="auto"/>
                      <w:szCs w:val="21"/>
                    </w:rPr>
                    <w:t>。</w:t>
                  </w:r>
                </w:p>
              </w:tc>
              <w:tc>
                <w:tcPr>
                  <w:tcW w:w="1088" w:type="dxa"/>
                  <w:vMerge w:val="continue"/>
                  <w:vAlign w:val="center"/>
                </w:tcPr>
                <w:p w14:paraId="0A5C3AD5">
                  <w:pPr>
                    <w:pStyle w:val="52"/>
                    <w:rPr>
                      <w:color w:val="auto"/>
                      <w:szCs w:val="21"/>
                    </w:rPr>
                  </w:pPr>
                </w:p>
              </w:tc>
              <w:tc>
                <w:tcPr>
                  <w:tcW w:w="709" w:type="dxa"/>
                  <w:vAlign w:val="center"/>
                </w:tcPr>
                <w:p w14:paraId="49628F91">
                  <w:pPr>
                    <w:pStyle w:val="52"/>
                    <w:rPr>
                      <w:color w:val="auto"/>
                      <w:szCs w:val="21"/>
                    </w:rPr>
                  </w:pPr>
                  <w:r>
                    <w:rPr>
                      <w:color w:val="auto"/>
                      <w:szCs w:val="21"/>
                    </w:rPr>
                    <w:t>新增</w:t>
                  </w:r>
                </w:p>
              </w:tc>
            </w:tr>
            <w:tr w14:paraId="6B5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26EEAA69">
                  <w:pPr>
                    <w:pStyle w:val="52"/>
                    <w:rPr>
                      <w:color w:val="auto"/>
                      <w:szCs w:val="21"/>
                    </w:rPr>
                  </w:pPr>
                </w:p>
              </w:tc>
              <w:tc>
                <w:tcPr>
                  <w:tcW w:w="902" w:type="dxa"/>
                  <w:vAlign w:val="center"/>
                </w:tcPr>
                <w:p w14:paraId="384AD27F">
                  <w:pPr>
                    <w:pStyle w:val="52"/>
                    <w:rPr>
                      <w:color w:val="auto"/>
                      <w:szCs w:val="21"/>
                    </w:rPr>
                  </w:pPr>
                  <w:r>
                    <w:rPr>
                      <w:color w:val="auto"/>
                      <w:szCs w:val="21"/>
                    </w:rPr>
                    <w:t>噪声</w:t>
                  </w:r>
                </w:p>
              </w:tc>
              <w:tc>
                <w:tcPr>
                  <w:tcW w:w="1499" w:type="dxa"/>
                  <w:vAlign w:val="center"/>
                </w:tcPr>
                <w:p w14:paraId="125EEE9C">
                  <w:pPr>
                    <w:pStyle w:val="52"/>
                    <w:rPr>
                      <w:color w:val="auto"/>
                      <w:szCs w:val="21"/>
                    </w:rPr>
                  </w:pPr>
                  <w:r>
                    <w:rPr>
                      <w:color w:val="auto"/>
                      <w:szCs w:val="21"/>
                    </w:rPr>
                    <w:t>设备噪声</w:t>
                  </w:r>
                </w:p>
              </w:tc>
              <w:tc>
                <w:tcPr>
                  <w:tcW w:w="4893" w:type="dxa"/>
                  <w:vAlign w:val="center"/>
                </w:tcPr>
                <w:p w14:paraId="3EE2A61A">
                  <w:pPr>
                    <w:pStyle w:val="52"/>
                    <w:rPr>
                      <w:color w:val="auto"/>
                      <w:szCs w:val="21"/>
                    </w:rPr>
                  </w:pPr>
                  <w:r>
                    <w:rPr>
                      <w:color w:val="auto"/>
                      <w:szCs w:val="21"/>
                    </w:rPr>
                    <w:t>设置隔声、消声、基础减震等措施</w:t>
                  </w:r>
                </w:p>
              </w:tc>
              <w:tc>
                <w:tcPr>
                  <w:tcW w:w="1088" w:type="dxa"/>
                  <w:vAlign w:val="center"/>
                </w:tcPr>
                <w:p w14:paraId="546855E3">
                  <w:pPr>
                    <w:pStyle w:val="52"/>
                    <w:rPr>
                      <w:color w:val="auto"/>
                      <w:szCs w:val="21"/>
                    </w:rPr>
                  </w:pPr>
                  <w:r>
                    <w:rPr>
                      <w:color w:val="auto"/>
                      <w:szCs w:val="21"/>
                    </w:rPr>
                    <w:t>1.2</w:t>
                  </w:r>
                </w:p>
              </w:tc>
              <w:tc>
                <w:tcPr>
                  <w:tcW w:w="709" w:type="dxa"/>
                  <w:vAlign w:val="center"/>
                </w:tcPr>
                <w:p w14:paraId="6D748AE4">
                  <w:pPr>
                    <w:pStyle w:val="52"/>
                    <w:rPr>
                      <w:color w:val="auto"/>
                      <w:szCs w:val="21"/>
                    </w:rPr>
                  </w:pPr>
                  <w:r>
                    <w:rPr>
                      <w:rFonts w:hint="eastAsia"/>
                      <w:color w:val="auto"/>
                      <w:szCs w:val="21"/>
                    </w:rPr>
                    <w:t>已建</w:t>
                  </w:r>
                </w:p>
              </w:tc>
            </w:tr>
            <w:tr w14:paraId="405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413FCEAB">
                  <w:pPr>
                    <w:pStyle w:val="52"/>
                    <w:rPr>
                      <w:color w:val="auto"/>
                      <w:szCs w:val="21"/>
                    </w:rPr>
                  </w:pPr>
                </w:p>
              </w:tc>
              <w:tc>
                <w:tcPr>
                  <w:tcW w:w="902" w:type="dxa"/>
                  <w:vMerge w:val="restart"/>
                  <w:vAlign w:val="center"/>
                </w:tcPr>
                <w:p w14:paraId="07EA1546">
                  <w:pPr>
                    <w:pStyle w:val="52"/>
                    <w:rPr>
                      <w:color w:val="auto"/>
                      <w:szCs w:val="21"/>
                    </w:rPr>
                  </w:pPr>
                  <w:r>
                    <w:rPr>
                      <w:color w:val="auto"/>
                      <w:szCs w:val="21"/>
                    </w:rPr>
                    <w:t>固废</w:t>
                  </w:r>
                </w:p>
              </w:tc>
              <w:tc>
                <w:tcPr>
                  <w:tcW w:w="1499" w:type="dxa"/>
                  <w:vAlign w:val="center"/>
                </w:tcPr>
                <w:p w14:paraId="776D7AE4">
                  <w:pPr>
                    <w:pStyle w:val="52"/>
                    <w:rPr>
                      <w:color w:val="auto"/>
                      <w:szCs w:val="21"/>
                    </w:rPr>
                  </w:pPr>
                  <w:r>
                    <w:rPr>
                      <w:color w:val="auto"/>
                      <w:szCs w:val="21"/>
                    </w:rPr>
                    <w:t>生活垃圾</w:t>
                  </w:r>
                </w:p>
              </w:tc>
              <w:tc>
                <w:tcPr>
                  <w:tcW w:w="4893" w:type="dxa"/>
                  <w:vAlign w:val="center"/>
                </w:tcPr>
                <w:p w14:paraId="522DBC21">
                  <w:pPr>
                    <w:pStyle w:val="52"/>
                    <w:rPr>
                      <w:color w:val="auto"/>
                      <w:szCs w:val="21"/>
                    </w:rPr>
                  </w:pPr>
                  <w:r>
                    <w:rPr>
                      <w:color w:val="auto"/>
                      <w:szCs w:val="21"/>
                    </w:rPr>
                    <w:t>若干个生活垃圾收集桶</w:t>
                  </w:r>
                </w:p>
              </w:tc>
              <w:tc>
                <w:tcPr>
                  <w:tcW w:w="1088" w:type="dxa"/>
                  <w:vMerge w:val="restart"/>
                  <w:vAlign w:val="center"/>
                </w:tcPr>
                <w:p w14:paraId="7FAF5D95">
                  <w:pPr>
                    <w:pStyle w:val="52"/>
                    <w:rPr>
                      <w:color w:val="auto"/>
                      <w:szCs w:val="21"/>
                    </w:rPr>
                  </w:pPr>
                  <w:r>
                    <w:rPr>
                      <w:color w:val="auto"/>
                      <w:szCs w:val="21"/>
                    </w:rPr>
                    <w:t>2.5</w:t>
                  </w:r>
                </w:p>
              </w:tc>
              <w:tc>
                <w:tcPr>
                  <w:tcW w:w="709" w:type="dxa"/>
                  <w:vAlign w:val="center"/>
                </w:tcPr>
                <w:p w14:paraId="170A4885">
                  <w:pPr>
                    <w:pStyle w:val="52"/>
                    <w:rPr>
                      <w:color w:val="auto"/>
                      <w:szCs w:val="21"/>
                    </w:rPr>
                  </w:pPr>
                  <w:r>
                    <w:rPr>
                      <w:color w:val="auto"/>
                      <w:szCs w:val="21"/>
                    </w:rPr>
                    <w:t>新增</w:t>
                  </w:r>
                </w:p>
              </w:tc>
            </w:tr>
            <w:tr w14:paraId="2C56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4378F1E3">
                  <w:pPr>
                    <w:pStyle w:val="52"/>
                    <w:rPr>
                      <w:color w:val="auto"/>
                      <w:szCs w:val="21"/>
                    </w:rPr>
                  </w:pPr>
                </w:p>
              </w:tc>
              <w:tc>
                <w:tcPr>
                  <w:tcW w:w="902" w:type="dxa"/>
                  <w:vMerge w:val="continue"/>
                  <w:vAlign w:val="center"/>
                </w:tcPr>
                <w:p w14:paraId="7D0C23E7">
                  <w:pPr>
                    <w:pStyle w:val="52"/>
                    <w:rPr>
                      <w:color w:val="auto"/>
                      <w:szCs w:val="21"/>
                    </w:rPr>
                  </w:pPr>
                </w:p>
              </w:tc>
              <w:tc>
                <w:tcPr>
                  <w:tcW w:w="1499" w:type="dxa"/>
                  <w:vAlign w:val="center"/>
                </w:tcPr>
                <w:p w14:paraId="685F8F29">
                  <w:pPr>
                    <w:pStyle w:val="52"/>
                    <w:rPr>
                      <w:color w:val="auto"/>
                      <w:szCs w:val="21"/>
                    </w:rPr>
                  </w:pPr>
                  <w:r>
                    <w:rPr>
                      <w:color w:val="auto"/>
                      <w:szCs w:val="21"/>
                    </w:rPr>
                    <w:t>厨房泔水和隔油池废油</w:t>
                  </w:r>
                </w:p>
              </w:tc>
              <w:tc>
                <w:tcPr>
                  <w:tcW w:w="4893" w:type="dxa"/>
                  <w:vAlign w:val="center"/>
                </w:tcPr>
                <w:p w14:paraId="7E142D1E">
                  <w:pPr>
                    <w:pStyle w:val="52"/>
                    <w:rPr>
                      <w:color w:val="auto"/>
                      <w:szCs w:val="21"/>
                    </w:rPr>
                  </w:pPr>
                  <w:r>
                    <w:rPr>
                      <w:color w:val="auto"/>
                      <w:szCs w:val="21"/>
                    </w:rPr>
                    <w:t>1个带盖泔水收集桶</w:t>
                  </w:r>
                </w:p>
              </w:tc>
              <w:tc>
                <w:tcPr>
                  <w:tcW w:w="1088" w:type="dxa"/>
                  <w:vMerge w:val="continue"/>
                  <w:vAlign w:val="center"/>
                </w:tcPr>
                <w:p w14:paraId="46A36E56">
                  <w:pPr>
                    <w:pStyle w:val="52"/>
                    <w:rPr>
                      <w:color w:val="auto"/>
                      <w:szCs w:val="21"/>
                    </w:rPr>
                  </w:pPr>
                </w:p>
              </w:tc>
              <w:tc>
                <w:tcPr>
                  <w:tcW w:w="709" w:type="dxa"/>
                  <w:vAlign w:val="center"/>
                </w:tcPr>
                <w:p w14:paraId="5E40FFDB">
                  <w:pPr>
                    <w:pStyle w:val="52"/>
                    <w:rPr>
                      <w:color w:val="auto"/>
                      <w:szCs w:val="21"/>
                    </w:rPr>
                  </w:pPr>
                  <w:r>
                    <w:rPr>
                      <w:color w:val="auto"/>
                      <w:szCs w:val="21"/>
                    </w:rPr>
                    <w:t>新增</w:t>
                  </w:r>
                </w:p>
              </w:tc>
            </w:tr>
            <w:tr w14:paraId="4C7F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82" w:type="dxa"/>
                  <w:vMerge w:val="continue"/>
                  <w:vAlign w:val="center"/>
                </w:tcPr>
                <w:p w14:paraId="771144FD">
                  <w:pPr>
                    <w:pStyle w:val="52"/>
                    <w:rPr>
                      <w:color w:val="auto"/>
                      <w:szCs w:val="21"/>
                    </w:rPr>
                  </w:pPr>
                </w:p>
              </w:tc>
              <w:tc>
                <w:tcPr>
                  <w:tcW w:w="902" w:type="dxa"/>
                  <w:vMerge w:val="continue"/>
                  <w:vAlign w:val="center"/>
                </w:tcPr>
                <w:p w14:paraId="102F5077">
                  <w:pPr>
                    <w:pStyle w:val="52"/>
                    <w:rPr>
                      <w:color w:val="auto"/>
                      <w:szCs w:val="21"/>
                    </w:rPr>
                  </w:pPr>
                </w:p>
              </w:tc>
              <w:tc>
                <w:tcPr>
                  <w:tcW w:w="1499" w:type="dxa"/>
                  <w:vMerge w:val="restart"/>
                  <w:vAlign w:val="center"/>
                </w:tcPr>
                <w:p w14:paraId="66F8D18E">
                  <w:pPr>
                    <w:pStyle w:val="52"/>
                    <w:rPr>
                      <w:color w:val="auto"/>
                      <w:szCs w:val="21"/>
                    </w:rPr>
                  </w:pPr>
                  <w:r>
                    <w:rPr>
                      <w:color w:val="auto"/>
                      <w:szCs w:val="21"/>
                    </w:rPr>
                    <w:t>机修废油</w:t>
                  </w:r>
                </w:p>
              </w:tc>
              <w:tc>
                <w:tcPr>
                  <w:tcW w:w="4893" w:type="dxa"/>
                  <w:vAlign w:val="center"/>
                </w:tcPr>
                <w:p w14:paraId="463AE4B2">
                  <w:pPr>
                    <w:pStyle w:val="52"/>
                    <w:rPr>
                      <w:color w:val="auto"/>
                      <w:szCs w:val="21"/>
                    </w:rPr>
                  </w:pPr>
                  <w:r>
                    <w:rPr>
                      <w:color w:val="auto"/>
                      <w:szCs w:val="21"/>
                    </w:rPr>
                    <w:t>1间危险废物暂存间（4m</w:t>
                  </w:r>
                  <w:r>
                    <w:rPr>
                      <w:color w:val="auto"/>
                      <w:szCs w:val="21"/>
                      <w:vertAlign w:val="superscript"/>
                    </w:rPr>
                    <w:t>2</w:t>
                  </w:r>
                  <w:r>
                    <w:rPr>
                      <w:color w:val="auto"/>
                      <w:szCs w:val="21"/>
                    </w:rPr>
                    <w:t>）</w:t>
                  </w:r>
                </w:p>
              </w:tc>
              <w:tc>
                <w:tcPr>
                  <w:tcW w:w="1088" w:type="dxa"/>
                  <w:vMerge w:val="continue"/>
                  <w:vAlign w:val="center"/>
                </w:tcPr>
                <w:p w14:paraId="0A3F84D0">
                  <w:pPr>
                    <w:pStyle w:val="52"/>
                    <w:rPr>
                      <w:color w:val="auto"/>
                      <w:szCs w:val="21"/>
                    </w:rPr>
                  </w:pPr>
                </w:p>
              </w:tc>
              <w:tc>
                <w:tcPr>
                  <w:tcW w:w="709" w:type="dxa"/>
                  <w:vAlign w:val="center"/>
                </w:tcPr>
                <w:p w14:paraId="2A6CA696">
                  <w:pPr>
                    <w:pStyle w:val="52"/>
                    <w:rPr>
                      <w:color w:val="auto"/>
                      <w:szCs w:val="21"/>
                    </w:rPr>
                  </w:pPr>
                  <w:r>
                    <w:rPr>
                      <w:color w:val="auto"/>
                      <w:szCs w:val="21"/>
                    </w:rPr>
                    <w:t>新增</w:t>
                  </w:r>
                </w:p>
              </w:tc>
            </w:tr>
            <w:tr w14:paraId="1895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482" w:type="dxa"/>
                  <w:vMerge w:val="continue"/>
                  <w:vAlign w:val="center"/>
                </w:tcPr>
                <w:p w14:paraId="6F3CD067">
                  <w:pPr>
                    <w:pStyle w:val="52"/>
                    <w:rPr>
                      <w:color w:val="auto"/>
                      <w:szCs w:val="21"/>
                    </w:rPr>
                  </w:pPr>
                </w:p>
              </w:tc>
              <w:tc>
                <w:tcPr>
                  <w:tcW w:w="902" w:type="dxa"/>
                  <w:vMerge w:val="continue"/>
                  <w:vAlign w:val="center"/>
                </w:tcPr>
                <w:p w14:paraId="57F52A9D">
                  <w:pPr>
                    <w:pStyle w:val="52"/>
                    <w:rPr>
                      <w:color w:val="auto"/>
                      <w:szCs w:val="21"/>
                    </w:rPr>
                  </w:pPr>
                </w:p>
              </w:tc>
              <w:tc>
                <w:tcPr>
                  <w:tcW w:w="1499" w:type="dxa"/>
                  <w:vMerge w:val="continue"/>
                  <w:vAlign w:val="center"/>
                </w:tcPr>
                <w:p w14:paraId="77D0DF04">
                  <w:pPr>
                    <w:pStyle w:val="52"/>
                    <w:rPr>
                      <w:color w:val="auto"/>
                      <w:szCs w:val="21"/>
                    </w:rPr>
                  </w:pPr>
                </w:p>
              </w:tc>
              <w:tc>
                <w:tcPr>
                  <w:tcW w:w="4893" w:type="dxa"/>
                  <w:vAlign w:val="center"/>
                </w:tcPr>
                <w:p w14:paraId="09AC5F95">
                  <w:pPr>
                    <w:pStyle w:val="52"/>
                    <w:rPr>
                      <w:color w:val="auto"/>
                      <w:szCs w:val="21"/>
                    </w:rPr>
                  </w:pPr>
                  <w:r>
                    <w:rPr>
                      <w:color w:val="auto"/>
                      <w:szCs w:val="21"/>
                    </w:rPr>
                    <w:t>1个专用废油收集桶</w:t>
                  </w:r>
                </w:p>
              </w:tc>
              <w:tc>
                <w:tcPr>
                  <w:tcW w:w="1088" w:type="dxa"/>
                  <w:vMerge w:val="continue"/>
                  <w:vAlign w:val="center"/>
                </w:tcPr>
                <w:p w14:paraId="256DFB83">
                  <w:pPr>
                    <w:pStyle w:val="52"/>
                    <w:rPr>
                      <w:color w:val="auto"/>
                      <w:szCs w:val="21"/>
                    </w:rPr>
                  </w:pPr>
                </w:p>
              </w:tc>
              <w:tc>
                <w:tcPr>
                  <w:tcW w:w="709" w:type="dxa"/>
                  <w:vAlign w:val="center"/>
                </w:tcPr>
                <w:p w14:paraId="5915C08E">
                  <w:pPr>
                    <w:pStyle w:val="52"/>
                    <w:rPr>
                      <w:color w:val="auto"/>
                      <w:szCs w:val="21"/>
                    </w:rPr>
                  </w:pPr>
                  <w:r>
                    <w:rPr>
                      <w:color w:val="auto"/>
                      <w:szCs w:val="21"/>
                    </w:rPr>
                    <w:t>新增</w:t>
                  </w:r>
                </w:p>
              </w:tc>
            </w:tr>
            <w:tr w14:paraId="6B27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Merge w:val="continue"/>
                  <w:vAlign w:val="center"/>
                </w:tcPr>
                <w:p w14:paraId="10A8AD87">
                  <w:pPr>
                    <w:pStyle w:val="52"/>
                    <w:rPr>
                      <w:color w:val="auto"/>
                      <w:szCs w:val="21"/>
                    </w:rPr>
                  </w:pPr>
                </w:p>
              </w:tc>
              <w:tc>
                <w:tcPr>
                  <w:tcW w:w="902" w:type="dxa"/>
                  <w:vAlign w:val="center"/>
                </w:tcPr>
                <w:p w14:paraId="3D7C77B2">
                  <w:pPr>
                    <w:pStyle w:val="52"/>
                    <w:rPr>
                      <w:color w:val="auto"/>
                      <w:szCs w:val="21"/>
                    </w:rPr>
                  </w:pPr>
                  <w:r>
                    <w:rPr>
                      <w:color w:val="auto"/>
                      <w:szCs w:val="21"/>
                    </w:rPr>
                    <w:t>生态环境</w:t>
                  </w:r>
                </w:p>
              </w:tc>
              <w:tc>
                <w:tcPr>
                  <w:tcW w:w="1499" w:type="dxa"/>
                  <w:vAlign w:val="center"/>
                </w:tcPr>
                <w:p w14:paraId="01C0E69D">
                  <w:pPr>
                    <w:pStyle w:val="52"/>
                    <w:rPr>
                      <w:color w:val="auto"/>
                      <w:szCs w:val="21"/>
                    </w:rPr>
                  </w:pPr>
                  <w:r>
                    <w:rPr>
                      <w:color w:val="auto"/>
                      <w:szCs w:val="21"/>
                    </w:rPr>
                    <w:t>地质灾害防治及恢复治理</w:t>
                  </w:r>
                </w:p>
              </w:tc>
              <w:tc>
                <w:tcPr>
                  <w:tcW w:w="4893" w:type="dxa"/>
                  <w:vAlign w:val="center"/>
                </w:tcPr>
                <w:p w14:paraId="3EDC2D4F">
                  <w:pPr>
                    <w:pStyle w:val="52"/>
                    <w:rPr>
                      <w:color w:val="auto"/>
                      <w:szCs w:val="21"/>
                    </w:rPr>
                  </w:pPr>
                  <w:r>
                    <w:rPr>
                      <w:color w:val="auto"/>
                      <w:szCs w:val="21"/>
                    </w:rPr>
                    <w:t>露天采场和弃渣场采取边开采边植被恢复</w:t>
                  </w:r>
                </w:p>
              </w:tc>
              <w:tc>
                <w:tcPr>
                  <w:tcW w:w="1088" w:type="dxa"/>
                  <w:vAlign w:val="center"/>
                </w:tcPr>
                <w:p w14:paraId="344016B3">
                  <w:pPr>
                    <w:pStyle w:val="52"/>
                    <w:rPr>
                      <w:color w:val="auto"/>
                      <w:szCs w:val="21"/>
                    </w:rPr>
                  </w:pPr>
                  <w:r>
                    <w:rPr>
                      <w:color w:val="auto"/>
                      <w:szCs w:val="21"/>
                    </w:rPr>
                    <w:t>90</w:t>
                  </w:r>
                </w:p>
              </w:tc>
              <w:tc>
                <w:tcPr>
                  <w:tcW w:w="709" w:type="dxa"/>
                  <w:vAlign w:val="center"/>
                </w:tcPr>
                <w:p w14:paraId="588B4192">
                  <w:pPr>
                    <w:pStyle w:val="52"/>
                    <w:rPr>
                      <w:color w:val="auto"/>
                      <w:szCs w:val="21"/>
                    </w:rPr>
                  </w:pPr>
                  <w:r>
                    <w:rPr>
                      <w:color w:val="auto"/>
                      <w:szCs w:val="21"/>
                    </w:rPr>
                    <w:t>新增</w:t>
                  </w:r>
                </w:p>
              </w:tc>
            </w:tr>
            <w:tr w14:paraId="38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dxa"/>
                  <w:vAlign w:val="center"/>
                </w:tcPr>
                <w:p w14:paraId="6D938BAD">
                  <w:pPr>
                    <w:pStyle w:val="52"/>
                    <w:rPr>
                      <w:color w:val="auto"/>
                      <w:szCs w:val="21"/>
                    </w:rPr>
                  </w:pPr>
                  <w:r>
                    <w:rPr>
                      <w:color w:val="auto"/>
                      <w:szCs w:val="21"/>
                    </w:rPr>
                    <w:t>其它</w:t>
                  </w:r>
                </w:p>
              </w:tc>
              <w:tc>
                <w:tcPr>
                  <w:tcW w:w="902" w:type="dxa"/>
                  <w:vAlign w:val="center"/>
                </w:tcPr>
                <w:p w14:paraId="777ABC41">
                  <w:pPr>
                    <w:pStyle w:val="52"/>
                    <w:rPr>
                      <w:color w:val="auto"/>
                      <w:szCs w:val="21"/>
                    </w:rPr>
                  </w:pPr>
                  <w:r>
                    <w:rPr>
                      <w:color w:val="auto"/>
                      <w:szCs w:val="21"/>
                    </w:rPr>
                    <w:t>环境保护费用</w:t>
                  </w:r>
                </w:p>
              </w:tc>
              <w:tc>
                <w:tcPr>
                  <w:tcW w:w="6392" w:type="dxa"/>
                  <w:gridSpan w:val="2"/>
                  <w:vAlign w:val="center"/>
                </w:tcPr>
                <w:p w14:paraId="687C410C">
                  <w:pPr>
                    <w:pStyle w:val="52"/>
                    <w:rPr>
                      <w:color w:val="auto"/>
                      <w:szCs w:val="21"/>
                    </w:rPr>
                  </w:pPr>
                  <w:r>
                    <w:rPr>
                      <w:color w:val="auto"/>
                      <w:szCs w:val="21"/>
                    </w:rPr>
                    <w:t>环境监理、竣工验收</w:t>
                  </w:r>
                </w:p>
              </w:tc>
              <w:tc>
                <w:tcPr>
                  <w:tcW w:w="1088" w:type="dxa"/>
                  <w:vAlign w:val="center"/>
                </w:tcPr>
                <w:p w14:paraId="2C64A3EA">
                  <w:pPr>
                    <w:pStyle w:val="52"/>
                    <w:rPr>
                      <w:color w:val="auto"/>
                      <w:szCs w:val="21"/>
                    </w:rPr>
                  </w:pPr>
                  <w:r>
                    <w:rPr>
                      <w:color w:val="auto"/>
                      <w:szCs w:val="21"/>
                    </w:rPr>
                    <w:t>9</w:t>
                  </w:r>
                </w:p>
              </w:tc>
              <w:tc>
                <w:tcPr>
                  <w:tcW w:w="709" w:type="dxa"/>
                  <w:vAlign w:val="center"/>
                </w:tcPr>
                <w:p w14:paraId="46ED7E40">
                  <w:pPr>
                    <w:pStyle w:val="52"/>
                    <w:rPr>
                      <w:color w:val="auto"/>
                      <w:szCs w:val="21"/>
                    </w:rPr>
                  </w:pPr>
                  <w:r>
                    <w:rPr>
                      <w:color w:val="auto"/>
                      <w:szCs w:val="21"/>
                    </w:rPr>
                    <w:t>新增</w:t>
                  </w:r>
                </w:p>
              </w:tc>
            </w:tr>
            <w:tr w14:paraId="00BF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6" w:type="dxa"/>
                  <w:gridSpan w:val="4"/>
                  <w:vAlign w:val="center"/>
                </w:tcPr>
                <w:p w14:paraId="64263145">
                  <w:pPr>
                    <w:pStyle w:val="52"/>
                    <w:rPr>
                      <w:color w:val="auto"/>
                      <w:szCs w:val="21"/>
                    </w:rPr>
                  </w:pPr>
                  <w:r>
                    <w:rPr>
                      <w:color w:val="auto"/>
                      <w:szCs w:val="21"/>
                    </w:rPr>
                    <w:t>合计</w:t>
                  </w:r>
                </w:p>
              </w:tc>
              <w:tc>
                <w:tcPr>
                  <w:tcW w:w="1088" w:type="dxa"/>
                  <w:vAlign w:val="center"/>
                </w:tcPr>
                <w:p w14:paraId="7F180823">
                  <w:pPr>
                    <w:pStyle w:val="52"/>
                    <w:rPr>
                      <w:color w:val="auto"/>
                      <w:szCs w:val="21"/>
                    </w:rPr>
                  </w:pPr>
                  <w:r>
                    <w:rPr>
                      <w:color w:val="auto"/>
                      <w:szCs w:val="21"/>
                    </w:rPr>
                    <w:t>132.9</w:t>
                  </w:r>
                </w:p>
              </w:tc>
              <w:tc>
                <w:tcPr>
                  <w:tcW w:w="709" w:type="dxa"/>
                  <w:vAlign w:val="center"/>
                </w:tcPr>
                <w:p w14:paraId="0F4F79E5">
                  <w:pPr>
                    <w:pStyle w:val="52"/>
                    <w:rPr>
                      <w:color w:val="auto"/>
                      <w:szCs w:val="21"/>
                    </w:rPr>
                  </w:pPr>
                </w:p>
              </w:tc>
            </w:tr>
          </w:tbl>
          <w:p w14:paraId="1F33DA88">
            <w:pPr>
              <w:ind w:firstLine="480"/>
              <w:rPr>
                <w:rFonts w:cs="Times New Roman"/>
                <w:bCs/>
              </w:rPr>
            </w:pPr>
          </w:p>
        </w:tc>
      </w:tr>
      <w:tr w14:paraId="2196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9923" w:type="dxa"/>
            <w:gridSpan w:val="11"/>
            <w:vAlign w:val="center"/>
          </w:tcPr>
          <w:p w14:paraId="6BFF8D98">
            <w:pPr>
              <w:ind w:firstLine="0" w:firstLineChars="0"/>
              <w:rPr>
                <w:rFonts w:cs="Times New Roman"/>
                <w:b/>
              </w:rPr>
            </w:pPr>
            <w:r>
              <w:rPr>
                <w:rFonts w:cs="Times New Roman"/>
                <w:b/>
              </w:rPr>
              <w:t>与工程有关的原有污染情况及主要环境问题</w:t>
            </w:r>
          </w:p>
          <w:p w14:paraId="22E8C755">
            <w:pPr>
              <w:pStyle w:val="90"/>
              <w:numPr>
                <w:ilvl w:val="0"/>
                <w:numId w:val="1"/>
              </w:numPr>
              <w:ind w:firstLineChars="0"/>
              <w:rPr>
                <w:rFonts w:cs="Times New Roman"/>
                <w:b/>
                <w:bCs/>
              </w:rPr>
            </w:pPr>
            <w:r>
              <w:rPr>
                <w:rFonts w:cs="Times New Roman"/>
                <w:b/>
                <w:bCs/>
              </w:rPr>
              <w:t>工程目前污染情况</w:t>
            </w:r>
          </w:p>
          <w:p w14:paraId="4B4C8CCA">
            <w:pPr>
              <w:pStyle w:val="12"/>
              <w:spacing w:line="560" w:lineRule="exact"/>
              <w:ind w:left="-2" w:leftChars="-1" w:firstLine="480" w:firstLineChars="200"/>
              <w:rPr>
                <w:rFonts w:ascii="Times New Roman" w:hAnsi="Times New Roman"/>
                <w:sz w:val="24"/>
                <w:szCs w:val="24"/>
              </w:rPr>
            </w:pPr>
            <w:r>
              <w:rPr>
                <w:rFonts w:ascii="Times New Roman" w:hAnsi="Times New Roman"/>
                <w:sz w:val="24"/>
                <w:szCs w:val="24"/>
              </w:rPr>
              <w:t>户育石场矿区面积0.3744km</w:t>
            </w:r>
            <w:r>
              <w:rPr>
                <w:rFonts w:ascii="Times New Roman" w:hAnsi="Times New Roman"/>
                <w:sz w:val="24"/>
                <w:szCs w:val="24"/>
                <w:vertAlign w:val="superscript"/>
              </w:rPr>
              <w:t>2</w:t>
            </w:r>
            <w:r>
              <w:rPr>
                <w:rFonts w:ascii="Times New Roman" w:hAnsi="Times New Roman"/>
                <w:sz w:val="24"/>
                <w:szCs w:val="24"/>
              </w:rPr>
              <w:t>，开采水泥用石灰岩 ，开采方式为露天开采，生产规模7.0万吨／年，项目作为整合保留的矿山目前在正常生产；明杨采石场矿区面积0.0503km</w:t>
            </w:r>
            <w:r>
              <w:rPr>
                <w:rFonts w:ascii="Times New Roman" w:hAnsi="Times New Roman"/>
                <w:sz w:val="24"/>
                <w:szCs w:val="24"/>
                <w:vertAlign w:val="superscript"/>
              </w:rPr>
              <w:t>2</w:t>
            </w:r>
            <w:r>
              <w:rPr>
                <w:rFonts w:ascii="Times New Roman" w:hAnsi="Times New Roman"/>
                <w:sz w:val="24"/>
                <w:szCs w:val="24"/>
              </w:rPr>
              <w:t>，开采建筑石料用灰岩，开采方式露天开采，生产规模为4.0万吨／年，该矿山由于经营、资源短缺问题已停产多年，目前正进行修复治理工作。明强采石场矿区面积: 0.0805km</w:t>
            </w:r>
            <w:r>
              <w:rPr>
                <w:rFonts w:ascii="Times New Roman" w:hAnsi="Times New Roman"/>
                <w:sz w:val="24"/>
                <w:szCs w:val="24"/>
                <w:vertAlign w:val="superscript"/>
              </w:rPr>
              <w:t>2</w:t>
            </w:r>
            <w:r>
              <w:rPr>
                <w:rFonts w:ascii="Times New Roman" w:hAnsi="Times New Roman"/>
                <w:sz w:val="24"/>
                <w:szCs w:val="24"/>
              </w:rPr>
              <w:t>，开采矿种为建筑石料用灰岩，开采方式露天开采，原生产规模4.05万吨／年，矿山目前已完成了修复治理工作。</w:t>
            </w:r>
          </w:p>
          <w:p w14:paraId="71F8E7CC">
            <w:pPr>
              <w:ind w:firstLine="480"/>
              <w:rPr>
                <w:rFonts w:cs="Times New Roman"/>
                <w:szCs w:val="24"/>
              </w:rPr>
            </w:pPr>
            <w:r>
              <w:rPr>
                <w:rFonts w:cs="Times New Roman"/>
                <w:szCs w:val="24"/>
              </w:rPr>
              <w:t>芒市同兴建材有限责任公司对户育石场实施了工程建设，于2018年1月完成了1#、2#破碎生产线的建设并投入了生产。德宏州生态环境局芒市分局于2018年3月17日</w:t>
            </w:r>
            <w:r>
              <w:rPr>
                <w:rFonts w:hint="eastAsia" w:cs="Times New Roman"/>
                <w:color w:val="FF0000"/>
                <w:szCs w:val="24"/>
              </w:rPr>
              <w:t>对未批先建行为</w:t>
            </w:r>
            <w:r>
              <w:rPr>
                <w:rFonts w:cs="Times New Roman"/>
                <w:color w:val="FF0000"/>
                <w:szCs w:val="24"/>
              </w:rPr>
              <w:t>下</w:t>
            </w:r>
            <w:r>
              <w:rPr>
                <w:rFonts w:hint="eastAsia" w:cs="Times New Roman"/>
                <w:color w:val="FF0000"/>
                <w:szCs w:val="24"/>
              </w:rPr>
              <w:t>达</w:t>
            </w:r>
            <w:r>
              <w:rPr>
                <w:rFonts w:cs="Times New Roman"/>
                <w:color w:val="FF0000"/>
                <w:szCs w:val="24"/>
              </w:rPr>
              <w:t>了</w:t>
            </w:r>
            <w:r>
              <w:rPr>
                <w:rFonts w:cs="Times New Roman"/>
                <w:szCs w:val="24"/>
              </w:rPr>
              <w:t>行政处罚决定书（芒环罚字【2018】4号），建设单位按要求缴纳了罚款。</w:t>
            </w:r>
          </w:p>
          <w:p w14:paraId="22E1256F">
            <w:pPr>
              <w:ind w:firstLine="480"/>
              <w:rPr>
                <w:rFonts w:cs="Times New Roman"/>
                <w:szCs w:val="24"/>
              </w:rPr>
            </w:pPr>
            <w:r>
              <w:rPr>
                <w:rFonts w:cs="Times New Roman"/>
                <w:szCs w:val="24"/>
              </w:rPr>
              <w:t>根据现场踏勘调查，户育石场主要污染问题如下：</w:t>
            </w:r>
          </w:p>
          <w:p w14:paraId="2CBEF39E">
            <w:pPr>
              <w:ind w:firstLine="480"/>
              <w:rPr>
                <w:rFonts w:cs="Times New Roman"/>
              </w:rPr>
            </w:pPr>
            <w:r>
              <w:rPr>
                <w:rFonts w:cs="Times New Roman"/>
              </w:rPr>
              <w:t>1、废气</w:t>
            </w:r>
          </w:p>
          <w:p w14:paraId="6184518D">
            <w:pPr>
              <w:ind w:firstLine="480"/>
              <w:rPr>
                <w:rFonts w:cs="Times New Roman"/>
              </w:rPr>
            </w:pPr>
            <w:r>
              <w:rPr>
                <w:rFonts w:cs="Times New Roman"/>
              </w:rPr>
              <w:t>项目运营期产生的废气主要为生产废气：采场工作面粉尘、项目机械燃油废气、弃渣场和堆料场粉尘、运输道路粉尘、破碎、筛分粉尘和转载点装卸扬尘；以及生活废气厨房油烟。</w:t>
            </w:r>
          </w:p>
          <w:p w14:paraId="5AC14B66">
            <w:pPr>
              <w:ind w:firstLine="480"/>
              <w:rPr>
                <w:rFonts w:cs="Times New Roman"/>
              </w:rPr>
            </w:pPr>
            <w:r>
              <w:rPr>
                <w:rFonts w:cs="Times New Roman"/>
              </w:rPr>
              <w:t>2、废水</w:t>
            </w:r>
          </w:p>
          <w:p w14:paraId="47C839FA">
            <w:pPr>
              <w:ind w:firstLine="480"/>
              <w:rPr>
                <w:rFonts w:cs="Times New Roman"/>
              </w:rPr>
            </w:pPr>
            <w:r>
              <w:rPr>
                <w:rFonts w:cs="Times New Roman"/>
              </w:rPr>
              <w:t>项目运营产生的废水主要为生活废水及生产废水。生产废水主要为弃渣场和露天采场</w:t>
            </w:r>
            <w:r>
              <w:rPr>
                <w:rFonts w:hint="eastAsia" w:cs="Times New Roman"/>
                <w:bCs/>
                <w:color w:val="FF0000"/>
              </w:rPr>
              <w:t>初期雨水</w:t>
            </w:r>
            <w:r>
              <w:rPr>
                <w:rFonts w:cs="Times New Roman"/>
              </w:rPr>
              <w:t>。</w:t>
            </w:r>
          </w:p>
          <w:p w14:paraId="548F9570">
            <w:pPr>
              <w:ind w:firstLine="480"/>
              <w:rPr>
                <w:rFonts w:cs="Times New Roman"/>
              </w:rPr>
            </w:pPr>
            <w:r>
              <w:rPr>
                <w:rFonts w:cs="Times New Roman"/>
              </w:rPr>
              <w:t>3</w:t>
            </w:r>
            <w:r>
              <w:rPr>
                <w:rFonts w:cs="Times New Roman"/>
                <w:lang w:val="zh-CN"/>
              </w:rPr>
              <w:t>、固体废物</w:t>
            </w:r>
          </w:p>
          <w:p w14:paraId="650D8C6C">
            <w:pPr>
              <w:ind w:firstLine="480"/>
              <w:rPr>
                <w:rFonts w:cs="Times New Roman"/>
              </w:rPr>
            </w:pPr>
            <w:r>
              <w:rPr>
                <w:rFonts w:cs="Times New Roman"/>
              </w:rPr>
              <w:t>原有项目矿山开采期产生的固体废弃物主要是废土石、生活垃圾及废机油。</w:t>
            </w:r>
          </w:p>
          <w:p w14:paraId="279528C6">
            <w:pPr>
              <w:ind w:firstLine="480"/>
              <w:rPr>
                <w:rFonts w:cs="Times New Roman"/>
                <w:lang w:val="zh-CN"/>
              </w:rPr>
            </w:pPr>
            <w:r>
              <w:rPr>
                <w:rFonts w:cs="Times New Roman"/>
                <w:lang w:val="zh-CN"/>
              </w:rPr>
              <w:t>4、噪声</w:t>
            </w:r>
          </w:p>
          <w:p w14:paraId="373BE1EE">
            <w:pPr>
              <w:ind w:firstLine="480"/>
              <w:rPr>
                <w:rFonts w:cs="Times New Roman"/>
              </w:rPr>
            </w:pPr>
            <w:r>
              <w:rPr>
                <w:rFonts w:cs="Times New Roman"/>
              </w:rPr>
              <w:t>项目运营主要噪声源主要来自爆破、潜孔钻、装载机和破碎机等，其源强为75～110dB(A)。</w:t>
            </w:r>
          </w:p>
          <w:p w14:paraId="6D628DC9">
            <w:pPr>
              <w:pStyle w:val="31"/>
              <w:jc w:val="left"/>
              <w:rPr>
                <w:rFonts w:cs="Times New Roman"/>
              </w:rPr>
            </w:pPr>
            <w:r>
              <w:rPr>
                <w:rFonts w:cs="Times New Roman"/>
              </w:rPr>
              <w:t>二、项目存在的问题</w:t>
            </w:r>
          </w:p>
          <w:p w14:paraId="7B930FF5">
            <w:pPr>
              <w:pStyle w:val="31"/>
              <w:rPr>
                <w:rFonts w:cs="Times New Roman"/>
              </w:rPr>
            </w:pPr>
            <w:r>
              <w:rPr>
                <w:rFonts w:cs="Times New Roman"/>
              </w:rPr>
              <w:t>表1-9项目现在存在问题一览表</w:t>
            </w:r>
          </w:p>
          <w:tbl>
            <w:tblPr>
              <w:tblStyle w:val="2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50"/>
              <w:gridCol w:w="7210"/>
            </w:tblGrid>
            <w:tr w14:paraId="28C0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 w:type="dxa"/>
                  <w:vAlign w:val="center"/>
                </w:tcPr>
                <w:p w14:paraId="3CB54535">
                  <w:pPr>
                    <w:pStyle w:val="52"/>
                    <w:rPr>
                      <w:color w:val="auto"/>
                    </w:rPr>
                  </w:pPr>
                  <w:r>
                    <w:rPr>
                      <w:color w:val="auto"/>
                    </w:rPr>
                    <w:t>序号</w:t>
                  </w:r>
                </w:p>
              </w:tc>
              <w:tc>
                <w:tcPr>
                  <w:tcW w:w="1350" w:type="dxa"/>
                  <w:vAlign w:val="center"/>
                </w:tcPr>
                <w:p w14:paraId="6878BBEF">
                  <w:pPr>
                    <w:pStyle w:val="52"/>
                    <w:rPr>
                      <w:color w:val="auto"/>
                    </w:rPr>
                  </w:pPr>
                  <w:r>
                    <w:rPr>
                      <w:color w:val="auto"/>
                    </w:rPr>
                    <w:t>类别</w:t>
                  </w:r>
                </w:p>
              </w:tc>
              <w:tc>
                <w:tcPr>
                  <w:tcW w:w="7210" w:type="dxa"/>
                  <w:vAlign w:val="center"/>
                </w:tcPr>
                <w:p w14:paraId="04DF72D1">
                  <w:pPr>
                    <w:pStyle w:val="52"/>
                    <w:rPr>
                      <w:color w:val="auto"/>
                    </w:rPr>
                  </w:pPr>
                  <w:r>
                    <w:rPr>
                      <w:color w:val="auto"/>
                    </w:rPr>
                    <w:t>存在问题</w:t>
                  </w:r>
                </w:p>
              </w:tc>
            </w:tr>
            <w:tr w14:paraId="536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 w:type="dxa"/>
                  <w:vAlign w:val="center"/>
                </w:tcPr>
                <w:p w14:paraId="4D9B1DB4">
                  <w:pPr>
                    <w:pStyle w:val="52"/>
                    <w:rPr>
                      <w:color w:val="auto"/>
                    </w:rPr>
                  </w:pPr>
                  <w:r>
                    <w:rPr>
                      <w:color w:val="auto"/>
                    </w:rPr>
                    <w:t>1</w:t>
                  </w:r>
                </w:p>
              </w:tc>
              <w:tc>
                <w:tcPr>
                  <w:tcW w:w="1350" w:type="dxa"/>
                  <w:vAlign w:val="center"/>
                </w:tcPr>
                <w:p w14:paraId="6112C441">
                  <w:pPr>
                    <w:pStyle w:val="52"/>
                    <w:rPr>
                      <w:color w:val="auto"/>
                    </w:rPr>
                  </w:pPr>
                  <w:r>
                    <w:rPr>
                      <w:color w:val="auto"/>
                    </w:rPr>
                    <w:t>废气</w:t>
                  </w:r>
                </w:p>
              </w:tc>
              <w:tc>
                <w:tcPr>
                  <w:tcW w:w="7210" w:type="dxa"/>
                  <w:vAlign w:val="center"/>
                </w:tcPr>
                <w:p w14:paraId="7D5773D4">
                  <w:pPr>
                    <w:pStyle w:val="52"/>
                    <w:jc w:val="left"/>
                    <w:rPr>
                      <w:color w:val="auto"/>
                    </w:rPr>
                  </w:pPr>
                  <w:r>
                    <w:rPr>
                      <w:color w:val="auto"/>
                    </w:rPr>
                    <w:t>破碎环节只设置了洒水除尘设施；转载装卸点处未设置防尘措施；筛分环节未设置防尘措施。</w:t>
                  </w:r>
                </w:p>
              </w:tc>
            </w:tr>
            <w:tr w14:paraId="59B0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 w:type="dxa"/>
                  <w:vAlign w:val="center"/>
                </w:tcPr>
                <w:p w14:paraId="7A470C82">
                  <w:pPr>
                    <w:pStyle w:val="52"/>
                    <w:rPr>
                      <w:color w:val="auto"/>
                    </w:rPr>
                  </w:pPr>
                  <w:r>
                    <w:rPr>
                      <w:color w:val="auto"/>
                    </w:rPr>
                    <w:t>2</w:t>
                  </w:r>
                </w:p>
              </w:tc>
              <w:tc>
                <w:tcPr>
                  <w:tcW w:w="1350" w:type="dxa"/>
                  <w:vAlign w:val="center"/>
                </w:tcPr>
                <w:p w14:paraId="65BBE9FD">
                  <w:pPr>
                    <w:pStyle w:val="52"/>
                    <w:rPr>
                      <w:color w:val="auto"/>
                    </w:rPr>
                  </w:pPr>
                  <w:r>
                    <w:rPr>
                      <w:color w:val="auto"/>
                    </w:rPr>
                    <w:t>生活污水</w:t>
                  </w:r>
                </w:p>
              </w:tc>
              <w:tc>
                <w:tcPr>
                  <w:tcW w:w="7210" w:type="dxa"/>
                  <w:vAlign w:val="center"/>
                </w:tcPr>
                <w:p w14:paraId="6A277A54">
                  <w:pPr>
                    <w:pStyle w:val="52"/>
                    <w:jc w:val="left"/>
                    <w:rPr>
                      <w:color w:val="auto"/>
                    </w:rPr>
                  </w:pPr>
                  <w:r>
                    <w:rPr>
                      <w:color w:val="auto"/>
                    </w:rPr>
                    <w:t>项目区员工厨房废水未设置隔油池处理；生活污水化粪池处理出现外溢，不符合环保要求</w:t>
                  </w:r>
                </w:p>
              </w:tc>
            </w:tr>
            <w:tr w14:paraId="5E9B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 w:type="dxa"/>
                  <w:vAlign w:val="center"/>
                </w:tcPr>
                <w:p w14:paraId="3EAA3031">
                  <w:pPr>
                    <w:pStyle w:val="52"/>
                    <w:rPr>
                      <w:color w:val="auto"/>
                    </w:rPr>
                  </w:pPr>
                  <w:r>
                    <w:rPr>
                      <w:color w:val="auto"/>
                    </w:rPr>
                    <w:t>3</w:t>
                  </w:r>
                </w:p>
              </w:tc>
              <w:tc>
                <w:tcPr>
                  <w:tcW w:w="1350" w:type="dxa"/>
                  <w:vAlign w:val="center"/>
                </w:tcPr>
                <w:p w14:paraId="6C78AD9D">
                  <w:pPr>
                    <w:pStyle w:val="52"/>
                    <w:rPr>
                      <w:color w:val="auto"/>
                    </w:rPr>
                  </w:pPr>
                  <w:r>
                    <w:rPr>
                      <w:rFonts w:hint="eastAsia"/>
                      <w:bCs/>
                      <w:color w:val="FF0000"/>
                    </w:rPr>
                    <w:t>初期雨水</w:t>
                  </w:r>
                </w:p>
              </w:tc>
              <w:tc>
                <w:tcPr>
                  <w:tcW w:w="7210" w:type="dxa"/>
                  <w:vAlign w:val="center"/>
                </w:tcPr>
                <w:p w14:paraId="71626D14">
                  <w:pPr>
                    <w:pStyle w:val="52"/>
                    <w:jc w:val="left"/>
                    <w:rPr>
                      <w:color w:val="auto"/>
                    </w:rPr>
                  </w:pPr>
                  <w:r>
                    <w:rPr>
                      <w:color w:val="auto"/>
                    </w:rPr>
                    <w:t>露天采场及弃渣场、堆料场等产生</w:t>
                  </w:r>
                  <w:r>
                    <w:rPr>
                      <w:rFonts w:hint="eastAsia"/>
                      <w:bCs/>
                      <w:color w:val="FF0000"/>
                    </w:rPr>
                    <w:t>初期雨水</w:t>
                  </w:r>
                  <w:r>
                    <w:rPr>
                      <w:color w:val="auto"/>
                    </w:rPr>
                    <w:t>未经处理，直接排放</w:t>
                  </w:r>
                </w:p>
              </w:tc>
            </w:tr>
            <w:tr w14:paraId="393B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 w:type="dxa"/>
                  <w:vAlign w:val="center"/>
                </w:tcPr>
                <w:p w14:paraId="64123208">
                  <w:pPr>
                    <w:pStyle w:val="52"/>
                    <w:rPr>
                      <w:color w:val="auto"/>
                    </w:rPr>
                  </w:pPr>
                  <w:r>
                    <w:rPr>
                      <w:color w:val="auto"/>
                    </w:rPr>
                    <w:t>4</w:t>
                  </w:r>
                </w:p>
              </w:tc>
              <w:tc>
                <w:tcPr>
                  <w:tcW w:w="1350" w:type="dxa"/>
                  <w:vAlign w:val="center"/>
                </w:tcPr>
                <w:p w14:paraId="7F9DC6C2">
                  <w:pPr>
                    <w:pStyle w:val="52"/>
                    <w:rPr>
                      <w:color w:val="auto"/>
                    </w:rPr>
                  </w:pPr>
                  <w:r>
                    <w:rPr>
                      <w:color w:val="auto"/>
                    </w:rPr>
                    <w:t>固废</w:t>
                  </w:r>
                </w:p>
              </w:tc>
              <w:tc>
                <w:tcPr>
                  <w:tcW w:w="7210" w:type="dxa"/>
                  <w:vAlign w:val="center"/>
                </w:tcPr>
                <w:p w14:paraId="6078E164">
                  <w:pPr>
                    <w:pStyle w:val="52"/>
                    <w:jc w:val="left"/>
                    <w:rPr>
                      <w:color w:val="auto"/>
                    </w:rPr>
                  </w:pPr>
                  <w:r>
                    <w:rPr>
                      <w:color w:val="auto"/>
                    </w:rPr>
                    <w:t>未设置专用危险废物暂存间贮存废机油；生活垃圾随意丢弃于边坡，不符合环保要求；弃渣场下部未设置拦渣坝</w:t>
                  </w:r>
                </w:p>
              </w:tc>
            </w:tr>
            <w:tr w14:paraId="5B31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 w:type="dxa"/>
                  <w:vAlign w:val="center"/>
                </w:tcPr>
                <w:p w14:paraId="4F9D7E08">
                  <w:pPr>
                    <w:pStyle w:val="52"/>
                    <w:rPr>
                      <w:color w:val="auto"/>
                    </w:rPr>
                  </w:pPr>
                  <w:r>
                    <w:rPr>
                      <w:color w:val="auto"/>
                    </w:rPr>
                    <w:t>5</w:t>
                  </w:r>
                </w:p>
              </w:tc>
              <w:tc>
                <w:tcPr>
                  <w:tcW w:w="1350" w:type="dxa"/>
                  <w:vAlign w:val="center"/>
                </w:tcPr>
                <w:p w14:paraId="33F8241B">
                  <w:pPr>
                    <w:pStyle w:val="52"/>
                    <w:rPr>
                      <w:color w:val="auto"/>
                    </w:rPr>
                  </w:pPr>
                  <w:r>
                    <w:rPr>
                      <w:color w:val="auto"/>
                    </w:rPr>
                    <w:t>生态环境</w:t>
                  </w:r>
                </w:p>
              </w:tc>
              <w:tc>
                <w:tcPr>
                  <w:tcW w:w="7210" w:type="dxa"/>
                  <w:vAlign w:val="center"/>
                </w:tcPr>
                <w:p w14:paraId="72305A28">
                  <w:pPr>
                    <w:pStyle w:val="52"/>
                    <w:jc w:val="left"/>
                    <w:rPr>
                      <w:color w:val="auto"/>
                    </w:rPr>
                  </w:pPr>
                  <w:r>
                    <w:rPr>
                      <w:color w:val="auto"/>
                    </w:rPr>
                    <w:t>采空区地表裸露，水土流失严重。</w:t>
                  </w:r>
                </w:p>
              </w:tc>
            </w:tr>
          </w:tbl>
          <w:p w14:paraId="0D5A32C3">
            <w:pPr>
              <w:ind w:firstLine="0" w:firstLineChars="0"/>
              <w:rPr>
                <w:rFonts w:cs="Times New Roman"/>
                <w:b/>
              </w:rPr>
            </w:pPr>
          </w:p>
          <w:p w14:paraId="19EF9839">
            <w:pPr>
              <w:ind w:firstLine="0" w:firstLineChars="0"/>
              <w:rPr>
                <w:rFonts w:cs="Times New Roman"/>
                <w:b/>
              </w:rPr>
            </w:pPr>
            <w:r>
              <w:rPr>
                <w:rFonts w:cs="Times New Roman"/>
                <w:b/>
              </w:rPr>
              <w:t>三、需改进完善主要措施</w:t>
            </w:r>
          </w:p>
          <w:p w14:paraId="31F314C8">
            <w:pPr>
              <w:ind w:firstLine="480"/>
              <w:rPr>
                <w:rFonts w:cs="Times New Roman"/>
              </w:rPr>
            </w:pPr>
            <w:r>
              <w:rPr>
                <w:rFonts w:cs="Times New Roman"/>
              </w:rPr>
              <w:t>户育采石场已经开采多年，现在存在许多相关的环境问题，针对这些环境问题，本环评要求采取如下措施进行治理，见表1-10。</w:t>
            </w:r>
          </w:p>
          <w:p w14:paraId="0428F905">
            <w:pPr>
              <w:pStyle w:val="31"/>
              <w:rPr>
                <w:rFonts w:cs="Times New Roman"/>
              </w:rPr>
            </w:pPr>
            <w:r>
              <w:rPr>
                <w:rFonts w:cs="Times New Roman"/>
              </w:rPr>
              <w:t>1-10  项目需完善环保措施一览表</w:t>
            </w:r>
          </w:p>
          <w:tbl>
            <w:tblPr>
              <w:tblStyle w:val="21"/>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24"/>
              <w:gridCol w:w="7246"/>
            </w:tblGrid>
            <w:tr w14:paraId="50F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Align w:val="center"/>
                </w:tcPr>
                <w:p w14:paraId="121E309E">
                  <w:pPr>
                    <w:pStyle w:val="52"/>
                    <w:rPr>
                      <w:color w:val="auto"/>
                    </w:rPr>
                  </w:pPr>
                  <w:r>
                    <w:rPr>
                      <w:color w:val="auto"/>
                    </w:rPr>
                    <w:t>序号</w:t>
                  </w:r>
                </w:p>
              </w:tc>
              <w:tc>
                <w:tcPr>
                  <w:tcW w:w="1124" w:type="dxa"/>
                  <w:vAlign w:val="center"/>
                </w:tcPr>
                <w:p w14:paraId="011D1518">
                  <w:pPr>
                    <w:pStyle w:val="52"/>
                    <w:rPr>
                      <w:color w:val="auto"/>
                    </w:rPr>
                  </w:pPr>
                  <w:r>
                    <w:rPr>
                      <w:color w:val="auto"/>
                    </w:rPr>
                    <w:t>类别</w:t>
                  </w:r>
                </w:p>
              </w:tc>
              <w:tc>
                <w:tcPr>
                  <w:tcW w:w="7246" w:type="dxa"/>
                  <w:vAlign w:val="center"/>
                </w:tcPr>
                <w:p w14:paraId="15774CE9">
                  <w:pPr>
                    <w:pStyle w:val="52"/>
                    <w:rPr>
                      <w:color w:val="auto"/>
                    </w:rPr>
                  </w:pPr>
                  <w:r>
                    <w:rPr>
                      <w:color w:val="auto"/>
                    </w:rPr>
                    <w:t>以新带老措施</w:t>
                  </w:r>
                </w:p>
              </w:tc>
            </w:tr>
            <w:tr w14:paraId="1448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restart"/>
                  <w:vAlign w:val="center"/>
                </w:tcPr>
                <w:p w14:paraId="44B7ED60">
                  <w:pPr>
                    <w:pStyle w:val="52"/>
                    <w:rPr>
                      <w:color w:val="auto"/>
                    </w:rPr>
                  </w:pPr>
                  <w:r>
                    <w:rPr>
                      <w:color w:val="auto"/>
                    </w:rPr>
                    <w:t>1</w:t>
                  </w:r>
                </w:p>
              </w:tc>
              <w:tc>
                <w:tcPr>
                  <w:tcW w:w="1124" w:type="dxa"/>
                  <w:vMerge w:val="restart"/>
                  <w:vAlign w:val="center"/>
                </w:tcPr>
                <w:p w14:paraId="54B6626F">
                  <w:pPr>
                    <w:pStyle w:val="52"/>
                    <w:rPr>
                      <w:color w:val="auto"/>
                    </w:rPr>
                  </w:pPr>
                  <w:r>
                    <w:rPr>
                      <w:color w:val="auto"/>
                    </w:rPr>
                    <w:t>废气</w:t>
                  </w:r>
                </w:p>
              </w:tc>
              <w:tc>
                <w:tcPr>
                  <w:tcW w:w="7246" w:type="dxa"/>
                  <w:vAlign w:val="center"/>
                </w:tcPr>
                <w:p w14:paraId="6565ABAA">
                  <w:pPr>
                    <w:pStyle w:val="52"/>
                    <w:rPr>
                      <w:color w:val="auto"/>
                    </w:rPr>
                  </w:pPr>
                  <w:r>
                    <w:rPr>
                      <w:color w:val="auto"/>
                      <w:szCs w:val="32"/>
                    </w:rPr>
                    <w:t>破碎机下料口使用苫布遮盖；筛分机采用彩钢瓦棚半封闭，出料口用苫布遮挡</w:t>
                  </w:r>
                  <w:r>
                    <w:rPr>
                      <w:color w:val="auto"/>
                    </w:rPr>
                    <w:t>。</w:t>
                  </w:r>
                </w:p>
              </w:tc>
            </w:tr>
            <w:tr w14:paraId="3C83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continue"/>
                  <w:vAlign w:val="center"/>
                </w:tcPr>
                <w:p w14:paraId="6568D9C8">
                  <w:pPr>
                    <w:pStyle w:val="52"/>
                    <w:rPr>
                      <w:color w:val="auto"/>
                    </w:rPr>
                  </w:pPr>
                </w:p>
              </w:tc>
              <w:tc>
                <w:tcPr>
                  <w:tcW w:w="1124" w:type="dxa"/>
                  <w:vMerge w:val="continue"/>
                  <w:vAlign w:val="center"/>
                </w:tcPr>
                <w:p w14:paraId="24608444">
                  <w:pPr>
                    <w:pStyle w:val="52"/>
                    <w:rPr>
                      <w:color w:val="auto"/>
                    </w:rPr>
                  </w:pPr>
                </w:p>
              </w:tc>
              <w:tc>
                <w:tcPr>
                  <w:tcW w:w="7246" w:type="dxa"/>
                  <w:vAlign w:val="center"/>
                </w:tcPr>
                <w:p w14:paraId="5D63C874">
                  <w:pPr>
                    <w:pStyle w:val="52"/>
                    <w:rPr>
                      <w:color w:val="auto"/>
                      <w:szCs w:val="32"/>
                    </w:rPr>
                  </w:pPr>
                  <w:r>
                    <w:rPr>
                      <w:rFonts w:hint="eastAsia"/>
                      <w:color w:val="FF0000"/>
                    </w:rPr>
                    <w:t>传送带、</w:t>
                  </w:r>
                  <w:r>
                    <w:rPr>
                      <w:color w:val="auto"/>
                    </w:rPr>
                    <w:t>转载、装卸点通过洒水车</w:t>
                  </w:r>
                  <w:r>
                    <w:rPr>
                      <w:rFonts w:hint="eastAsia"/>
                      <w:color w:val="auto"/>
                    </w:rPr>
                    <w:t>、</w:t>
                  </w:r>
                  <w:r>
                    <w:rPr>
                      <w:rFonts w:hint="eastAsia"/>
                      <w:color w:val="FF0000"/>
                    </w:rPr>
                    <w:t>雾炮机</w:t>
                  </w:r>
                  <w:r>
                    <w:rPr>
                      <w:color w:val="auto"/>
                    </w:rPr>
                    <w:t>洒水；采场工作面及道路区域通</w:t>
                  </w:r>
                  <w:r>
                    <w:rPr>
                      <w:color w:val="FF0000"/>
                    </w:rPr>
                    <w:t>过雾炮机</w:t>
                  </w:r>
                  <w:r>
                    <w:rPr>
                      <w:color w:val="auto"/>
                    </w:rPr>
                    <w:t>洒水</w:t>
                  </w:r>
                </w:p>
              </w:tc>
            </w:tr>
            <w:tr w14:paraId="70A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continue"/>
                  <w:vAlign w:val="center"/>
                </w:tcPr>
                <w:p w14:paraId="0BB57761">
                  <w:pPr>
                    <w:pStyle w:val="52"/>
                    <w:rPr>
                      <w:color w:val="auto"/>
                    </w:rPr>
                  </w:pPr>
                </w:p>
              </w:tc>
              <w:tc>
                <w:tcPr>
                  <w:tcW w:w="1124" w:type="dxa"/>
                  <w:vMerge w:val="continue"/>
                  <w:vAlign w:val="center"/>
                </w:tcPr>
                <w:p w14:paraId="6ABCFB89">
                  <w:pPr>
                    <w:pStyle w:val="52"/>
                    <w:rPr>
                      <w:color w:val="auto"/>
                    </w:rPr>
                  </w:pPr>
                </w:p>
              </w:tc>
              <w:tc>
                <w:tcPr>
                  <w:tcW w:w="7246" w:type="dxa"/>
                  <w:vAlign w:val="center"/>
                </w:tcPr>
                <w:p w14:paraId="47FBA44B">
                  <w:pPr>
                    <w:pStyle w:val="52"/>
                    <w:rPr>
                      <w:color w:val="FF0000"/>
                    </w:rPr>
                  </w:pPr>
                  <w:r>
                    <w:rPr>
                      <w:rFonts w:hint="eastAsia"/>
                      <w:bCs/>
                      <w:color w:val="FF0000"/>
                    </w:rPr>
                    <w:t>1#破碎线的产污环节进行密闭，配套喷雾设施，装载区建设密闭厂房。</w:t>
                  </w:r>
                </w:p>
              </w:tc>
            </w:tr>
            <w:tr w14:paraId="3C3C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Align w:val="center"/>
                </w:tcPr>
                <w:p w14:paraId="27AC719B">
                  <w:pPr>
                    <w:pStyle w:val="52"/>
                    <w:rPr>
                      <w:color w:val="auto"/>
                    </w:rPr>
                  </w:pPr>
                  <w:r>
                    <w:rPr>
                      <w:color w:val="auto"/>
                    </w:rPr>
                    <w:t>2</w:t>
                  </w:r>
                </w:p>
              </w:tc>
              <w:tc>
                <w:tcPr>
                  <w:tcW w:w="1124" w:type="dxa"/>
                  <w:vAlign w:val="center"/>
                </w:tcPr>
                <w:p w14:paraId="6F3F3224">
                  <w:pPr>
                    <w:pStyle w:val="52"/>
                    <w:rPr>
                      <w:color w:val="auto"/>
                    </w:rPr>
                  </w:pPr>
                  <w:r>
                    <w:rPr>
                      <w:color w:val="auto"/>
                    </w:rPr>
                    <w:t>生活污水</w:t>
                  </w:r>
                </w:p>
              </w:tc>
              <w:tc>
                <w:tcPr>
                  <w:tcW w:w="7246" w:type="dxa"/>
                  <w:vAlign w:val="center"/>
                </w:tcPr>
                <w:p w14:paraId="671E4B1D">
                  <w:pPr>
                    <w:pStyle w:val="52"/>
                    <w:rPr>
                      <w:color w:val="auto"/>
                    </w:rPr>
                  </w:pPr>
                  <w:r>
                    <w:rPr>
                      <w:color w:val="auto"/>
                    </w:rPr>
                    <w:t>食堂废水经隔油池（2m</w:t>
                  </w:r>
                  <w:r>
                    <w:rPr>
                      <w:color w:val="auto"/>
                      <w:vertAlign w:val="superscript"/>
                    </w:rPr>
                    <w:t>3</w:t>
                  </w:r>
                  <w:r>
                    <w:rPr>
                      <w:color w:val="auto"/>
                    </w:rPr>
                    <w:t>）预处理混合其它生活污水已有经化粪池（12m</w:t>
                  </w:r>
                  <w:r>
                    <w:rPr>
                      <w:color w:val="auto"/>
                      <w:vertAlign w:val="superscript"/>
                    </w:rPr>
                    <w:t>3</w:t>
                  </w:r>
                  <w:r>
                    <w:rPr>
                      <w:color w:val="auto"/>
                    </w:rPr>
                    <w:t>和5m</w:t>
                  </w:r>
                  <w:r>
                    <w:rPr>
                      <w:color w:val="auto"/>
                      <w:vertAlign w:val="superscript"/>
                    </w:rPr>
                    <w:t>3</w:t>
                  </w:r>
                  <w:r>
                    <w:rPr>
                      <w:color w:val="auto"/>
                    </w:rPr>
                    <w:t>）处理后回用于绿化底肥，不外排</w:t>
                  </w:r>
                </w:p>
              </w:tc>
            </w:tr>
            <w:tr w14:paraId="71F4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restart"/>
                  <w:vAlign w:val="center"/>
                </w:tcPr>
                <w:p w14:paraId="7DD21187">
                  <w:pPr>
                    <w:pStyle w:val="52"/>
                    <w:rPr>
                      <w:color w:val="auto"/>
                    </w:rPr>
                  </w:pPr>
                  <w:r>
                    <w:rPr>
                      <w:color w:val="auto"/>
                    </w:rPr>
                    <w:t>3</w:t>
                  </w:r>
                </w:p>
              </w:tc>
              <w:tc>
                <w:tcPr>
                  <w:tcW w:w="1124" w:type="dxa"/>
                  <w:vMerge w:val="restart"/>
                  <w:vAlign w:val="center"/>
                </w:tcPr>
                <w:p w14:paraId="1C6FACA3">
                  <w:pPr>
                    <w:pStyle w:val="52"/>
                    <w:rPr>
                      <w:color w:val="auto"/>
                    </w:rPr>
                  </w:pPr>
                  <w:r>
                    <w:rPr>
                      <w:rFonts w:hint="eastAsia"/>
                      <w:bCs/>
                      <w:color w:val="FF0000"/>
                    </w:rPr>
                    <w:t>初期雨水</w:t>
                  </w:r>
                </w:p>
              </w:tc>
              <w:tc>
                <w:tcPr>
                  <w:tcW w:w="7246" w:type="dxa"/>
                  <w:vAlign w:val="center"/>
                </w:tcPr>
                <w:p w14:paraId="78092E72">
                  <w:pPr>
                    <w:pStyle w:val="52"/>
                    <w:rPr>
                      <w:color w:val="auto"/>
                    </w:rPr>
                  </w:pPr>
                  <w:r>
                    <w:rPr>
                      <w:color w:val="auto"/>
                      <w:szCs w:val="21"/>
                    </w:rPr>
                    <w:t>生活区、堆料场区设置约250m的雨水沟，在其末端设置1个雨水沉淀池，容积100m</w:t>
                  </w:r>
                  <w:r>
                    <w:rPr>
                      <w:color w:val="auto"/>
                      <w:szCs w:val="21"/>
                      <w:vertAlign w:val="superscript"/>
                    </w:rPr>
                    <w:t>3</w:t>
                  </w:r>
                  <w:r>
                    <w:rPr>
                      <w:color w:val="auto"/>
                      <w:szCs w:val="21"/>
                    </w:rPr>
                    <w:t>。</w:t>
                  </w:r>
                </w:p>
              </w:tc>
            </w:tr>
            <w:tr w14:paraId="0D6F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continue"/>
                  <w:vAlign w:val="center"/>
                </w:tcPr>
                <w:p w14:paraId="7453EAAC">
                  <w:pPr>
                    <w:pStyle w:val="52"/>
                    <w:rPr>
                      <w:color w:val="auto"/>
                    </w:rPr>
                  </w:pPr>
                </w:p>
              </w:tc>
              <w:tc>
                <w:tcPr>
                  <w:tcW w:w="1124" w:type="dxa"/>
                  <w:vMerge w:val="continue"/>
                  <w:vAlign w:val="center"/>
                </w:tcPr>
                <w:p w14:paraId="1A98AB3A">
                  <w:pPr>
                    <w:pStyle w:val="52"/>
                    <w:rPr>
                      <w:color w:val="auto"/>
                    </w:rPr>
                  </w:pPr>
                </w:p>
              </w:tc>
              <w:tc>
                <w:tcPr>
                  <w:tcW w:w="7246" w:type="dxa"/>
                  <w:vAlign w:val="center"/>
                </w:tcPr>
                <w:p w14:paraId="6E17ABDA">
                  <w:pPr>
                    <w:pStyle w:val="52"/>
                    <w:rPr>
                      <w:color w:val="auto"/>
                    </w:rPr>
                  </w:pPr>
                  <w:r>
                    <w:rPr>
                      <w:color w:val="auto"/>
                      <w:szCs w:val="21"/>
                    </w:rPr>
                    <w:t>弃渣场上游修建截排水沟490m，末端设置沉砂池，容积为120m</w:t>
                  </w:r>
                  <w:r>
                    <w:rPr>
                      <w:color w:val="auto"/>
                      <w:szCs w:val="21"/>
                      <w:vertAlign w:val="superscript"/>
                    </w:rPr>
                    <w:t>3</w:t>
                  </w:r>
                  <w:r>
                    <w:rPr>
                      <w:color w:val="auto"/>
                      <w:szCs w:val="21"/>
                    </w:rPr>
                    <w:t>。露天采场区累计修建排水沟923m，末端设置沉砂池，设置1个沉砂池，容积为100m</w:t>
                  </w:r>
                  <w:r>
                    <w:rPr>
                      <w:color w:val="auto"/>
                      <w:szCs w:val="21"/>
                      <w:vertAlign w:val="superscript"/>
                    </w:rPr>
                    <w:t>3</w:t>
                  </w:r>
                  <w:r>
                    <w:rPr>
                      <w:color w:val="auto"/>
                      <w:szCs w:val="21"/>
                    </w:rPr>
                    <w:t>。</w:t>
                  </w:r>
                </w:p>
              </w:tc>
            </w:tr>
            <w:tr w14:paraId="35DE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restart"/>
                  <w:vAlign w:val="center"/>
                </w:tcPr>
                <w:p w14:paraId="5F42D9BA">
                  <w:pPr>
                    <w:pStyle w:val="52"/>
                    <w:rPr>
                      <w:color w:val="auto"/>
                    </w:rPr>
                  </w:pPr>
                  <w:r>
                    <w:rPr>
                      <w:color w:val="auto"/>
                    </w:rPr>
                    <w:t>4</w:t>
                  </w:r>
                </w:p>
              </w:tc>
              <w:tc>
                <w:tcPr>
                  <w:tcW w:w="1124" w:type="dxa"/>
                  <w:vMerge w:val="restart"/>
                  <w:vAlign w:val="center"/>
                </w:tcPr>
                <w:p w14:paraId="04CD0D81">
                  <w:pPr>
                    <w:pStyle w:val="52"/>
                    <w:rPr>
                      <w:color w:val="auto"/>
                    </w:rPr>
                  </w:pPr>
                  <w:r>
                    <w:rPr>
                      <w:color w:val="auto"/>
                    </w:rPr>
                    <w:t>固废</w:t>
                  </w:r>
                </w:p>
              </w:tc>
              <w:tc>
                <w:tcPr>
                  <w:tcW w:w="7246" w:type="dxa"/>
                  <w:vAlign w:val="center"/>
                </w:tcPr>
                <w:p w14:paraId="1C13EE87">
                  <w:pPr>
                    <w:pStyle w:val="52"/>
                    <w:rPr>
                      <w:color w:val="auto"/>
                    </w:rPr>
                  </w:pPr>
                  <w:r>
                    <w:rPr>
                      <w:color w:val="auto"/>
                    </w:rPr>
                    <w:t>设置1间危险废物暂存间（4m</w:t>
                  </w:r>
                  <w:r>
                    <w:rPr>
                      <w:color w:val="auto"/>
                      <w:vertAlign w:val="superscript"/>
                    </w:rPr>
                    <w:t>2</w:t>
                  </w:r>
                  <w:r>
                    <w:rPr>
                      <w:color w:val="auto"/>
                    </w:rPr>
                    <w:t>），1个专用废油收集桶；生活垃圾采用移动式垃圾桶收集后运至附近乡镇垃圾集中处置点处置</w:t>
                  </w:r>
                </w:p>
              </w:tc>
            </w:tr>
            <w:tr w14:paraId="7C8D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Merge w:val="continue"/>
                  <w:vAlign w:val="center"/>
                </w:tcPr>
                <w:p w14:paraId="5F26BB3A">
                  <w:pPr>
                    <w:pStyle w:val="52"/>
                    <w:rPr>
                      <w:color w:val="auto"/>
                    </w:rPr>
                  </w:pPr>
                </w:p>
              </w:tc>
              <w:tc>
                <w:tcPr>
                  <w:tcW w:w="1124" w:type="dxa"/>
                  <w:vMerge w:val="continue"/>
                  <w:vAlign w:val="center"/>
                </w:tcPr>
                <w:p w14:paraId="5C52DF90">
                  <w:pPr>
                    <w:pStyle w:val="52"/>
                    <w:rPr>
                      <w:color w:val="auto"/>
                    </w:rPr>
                  </w:pPr>
                </w:p>
              </w:tc>
              <w:tc>
                <w:tcPr>
                  <w:tcW w:w="7246" w:type="dxa"/>
                  <w:vAlign w:val="center"/>
                </w:tcPr>
                <w:p w14:paraId="7874AF2D">
                  <w:pPr>
                    <w:pStyle w:val="52"/>
                    <w:rPr>
                      <w:color w:val="auto"/>
                    </w:rPr>
                  </w:pPr>
                  <w:r>
                    <w:rPr>
                      <w:color w:val="auto"/>
                      <w:kern w:val="10"/>
                    </w:rPr>
                    <w:t>弃渣场下游修建拦渣坝</w:t>
                  </w:r>
                  <w:r>
                    <w:rPr>
                      <w:color w:val="auto"/>
                    </w:rPr>
                    <w:t>（60m×0.5m×3.5m），拦渣坝须由资质单位设计建设。</w:t>
                  </w:r>
                </w:p>
              </w:tc>
            </w:tr>
            <w:tr w14:paraId="4A60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019" w:type="dxa"/>
                  <w:vAlign w:val="center"/>
                </w:tcPr>
                <w:p w14:paraId="7CC8DF02">
                  <w:pPr>
                    <w:pStyle w:val="52"/>
                    <w:rPr>
                      <w:color w:val="auto"/>
                    </w:rPr>
                  </w:pPr>
                  <w:r>
                    <w:rPr>
                      <w:color w:val="auto"/>
                    </w:rPr>
                    <w:t>5</w:t>
                  </w:r>
                </w:p>
              </w:tc>
              <w:tc>
                <w:tcPr>
                  <w:tcW w:w="1124" w:type="dxa"/>
                  <w:vAlign w:val="center"/>
                </w:tcPr>
                <w:p w14:paraId="34852990">
                  <w:pPr>
                    <w:pStyle w:val="52"/>
                    <w:rPr>
                      <w:color w:val="auto"/>
                    </w:rPr>
                  </w:pPr>
                  <w:r>
                    <w:rPr>
                      <w:color w:val="auto"/>
                    </w:rPr>
                    <w:t>生态环境</w:t>
                  </w:r>
                </w:p>
              </w:tc>
              <w:tc>
                <w:tcPr>
                  <w:tcW w:w="7246" w:type="dxa"/>
                  <w:vAlign w:val="center"/>
                </w:tcPr>
                <w:p w14:paraId="7BC7CC4A">
                  <w:pPr>
                    <w:pStyle w:val="52"/>
                    <w:jc w:val="left"/>
                    <w:rPr>
                      <w:color w:val="auto"/>
                      <w:kern w:val="10"/>
                    </w:rPr>
                  </w:pPr>
                  <w:r>
                    <w:rPr>
                      <w:color w:val="auto"/>
                      <w:kern w:val="10"/>
                    </w:rPr>
                    <w:t>对采空区、裸露地表尽快制定恢复方案，逐步恢复植被，同时实行边开采边恢复措施。</w:t>
                  </w:r>
                </w:p>
              </w:tc>
            </w:tr>
          </w:tbl>
          <w:p w14:paraId="36A3E5B2">
            <w:pPr>
              <w:ind w:firstLine="480"/>
              <w:rPr>
                <w:rFonts w:cs="Times New Roman"/>
              </w:rPr>
            </w:pPr>
            <w:r>
              <w:rPr>
                <w:rFonts w:cs="Times New Roman"/>
              </w:rPr>
              <w:t>综上所述，以上改进完善环保措施在建设过程中逐一落实，并在取得环评批复后逐一落实，申请环境保护竣工验收之前完成并投入使用，详细分析见后面章节。</w:t>
            </w:r>
          </w:p>
        </w:tc>
      </w:tr>
    </w:tbl>
    <w:p w14:paraId="24266455">
      <w:pPr>
        <w:pStyle w:val="3"/>
        <w:rPr>
          <w:rFonts w:cs="Times New Roman"/>
        </w:rPr>
        <w:sectPr>
          <w:pgSz w:w="11906" w:h="16838"/>
          <w:pgMar w:top="1440" w:right="1797" w:bottom="1440" w:left="1797" w:header="851" w:footer="992" w:gutter="0"/>
          <w:pgNumType w:start="1"/>
          <w:cols w:space="425" w:num="1"/>
          <w:docGrid w:type="lines" w:linePitch="312" w:charSpace="0"/>
        </w:sectPr>
      </w:pPr>
      <w:bookmarkStart w:id="7" w:name="_Toc480990432"/>
      <w:bookmarkStart w:id="8" w:name="_Toc509498031"/>
      <w:bookmarkStart w:id="9" w:name="_Toc509498232"/>
      <w:bookmarkStart w:id="10" w:name="_Toc480991552"/>
    </w:p>
    <w:p w14:paraId="3A7EB149">
      <w:pPr>
        <w:pStyle w:val="3"/>
        <w:rPr>
          <w:rFonts w:cs="Times New Roman"/>
        </w:rPr>
      </w:pPr>
      <w:r>
        <w:rPr>
          <w:rFonts w:cs="Times New Roman"/>
        </w:rPr>
        <w:t>表二、建设项目所在地自然环境、社会环境概况</w:t>
      </w:r>
      <w:bookmarkEnd w:id="7"/>
      <w:bookmarkEnd w:id="8"/>
      <w:bookmarkEnd w:id="9"/>
      <w:bookmarkEnd w:id="10"/>
    </w:p>
    <w:tbl>
      <w:tblPr>
        <w:tblStyle w:val="22"/>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5"/>
      </w:tblGrid>
      <w:tr w14:paraId="6892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10065" w:type="dxa"/>
          </w:tcPr>
          <w:p w14:paraId="053C4474">
            <w:pPr>
              <w:autoSpaceDE w:val="0"/>
              <w:autoSpaceDN w:val="0"/>
              <w:adjustRightInd w:val="0"/>
              <w:snapToGrid w:val="0"/>
              <w:ind w:firstLine="0" w:firstLineChars="0"/>
              <w:rPr>
                <w:rFonts w:cs="Times New Roman"/>
                <w:b/>
              </w:rPr>
            </w:pPr>
            <w:r>
              <w:rPr>
                <w:rFonts w:cs="Times New Roman"/>
                <w:b/>
              </w:rPr>
              <w:t>自然环境简况（地形、地貌、地质、气象、水文、植被、生物多样性等）：</w:t>
            </w:r>
          </w:p>
          <w:p w14:paraId="5C9E7EF4">
            <w:pPr>
              <w:autoSpaceDE w:val="0"/>
              <w:autoSpaceDN w:val="0"/>
              <w:adjustRightInd w:val="0"/>
              <w:snapToGrid w:val="0"/>
              <w:ind w:firstLine="482"/>
              <w:rPr>
                <w:rFonts w:cs="Times New Roman"/>
                <w:b/>
              </w:rPr>
            </w:pPr>
            <w:r>
              <w:rPr>
                <w:rFonts w:cs="Times New Roman"/>
                <w:b/>
              </w:rPr>
              <w:t>1、地理位置</w:t>
            </w:r>
          </w:p>
          <w:p w14:paraId="027B1243">
            <w:pPr>
              <w:autoSpaceDE w:val="0"/>
              <w:autoSpaceDN w:val="0"/>
              <w:adjustRightInd w:val="0"/>
              <w:snapToGrid w:val="0"/>
              <w:ind w:firstLine="480"/>
              <w:rPr>
                <w:rFonts w:cs="Times New Roman"/>
              </w:rPr>
            </w:pPr>
            <w:r>
              <w:rPr>
                <w:rFonts w:cs="Times New Roman"/>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Style w:val="25"/>
                <w:rFonts w:cs="Times New Roman"/>
                <w:color w:val="auto"/>
                <w:u w:val="none"/>
              </w:rPr>
              <w:t>云南</w:t>
            </w:r>
            <w:r>
              <w:rPr>
                <w:rStyle w:val="25"/>
                <w:rFonts w:cs="Times New Roman"/>
                <w:color w:val="auto"/>
                <w:u w:val="none"/>
              </w:rPr>
              <w:fldChar w:fldCharType="end"/>
            </w:r>
            <w:r>
              <w:rPr>
                <w:rFonts w:cs="Times New Roman"/>
              </w:rPr>
              <w:t>西边的窗口以及中缅文化交流的窗口和中缅经济效益的门户，是通往</w:t>
            </w:r>
            <w:r>
              <w:fldChar w:fldCharType="begin"/>
            </w:r>
            <w:r>
              <w:instrText xml:space="preserve"> HYPERLINK "http://baike.baidu.com/view/55927.htm" \t "_blank" </w:instrText>
            </w:r>
            <w:r>
              <w:fldChar w:fldCharType="separate"/>
            </w:r>
            <w:r>
              <w:rPr>
                <w:rStyle w:val="25"/>
                <w:rFonts w:cs="Times New Roman"/>
                <w:color w:val="auto"/>
                <w:u w:val="none"/>
              </w:rPr>
              <w:t>瑞丽</w:t>
            </w:r>
            <w:r>
              <w:rPr>
                <w:rStyle w:val="25"/>
                <w:rFonts w:cs="Times New Roman"/>
                <w:color w:val="auto"/>
                <w:u w:val="none"/>
              </w:rPr>
              <w:fldChar w:fldCharType="end"/>
            </w:r>
            <w:r>
              <w:rPr>
                <w:rFonts w:cs="Times New Roman"/>
              </w:rPr>
              <w:t>、</w:t>
            </w:r>
            <w:r>
              <w:fldChar w:fldCharType="begin"/>
            </w:r>
            <w:r>
              <w:instrText xml:space="preserve"> HYPERLINK "http://baike.baidu.com/view/705346.htm" \t "_blank" </w:instrText>
            </w:r>
            <w:r>
              <w:fldChar w:fldCharType="separate"/>
            </w:r>
            <w:r>
              <w:rPr>
                <w:rStyle w:val="25"/>
                <w:rFonts w:cs="Times New Roman"/>
                <w:color w:val="auto"/>
                <w:u w:val="none"/>
              </w:rPr>
              <w:t>陇川</w:t>
            </w:r>
            <w:r>
              <w:rPr>
                <w:rStyle w:val="25"/>
                <w:rFonts w:cs="Times New Roman"/>
                <w:color w:val="auto"/>
                <w:u w:val="none"/>
              </w:rPr>
              <w:fldChar w:fldCharType="end"/>
            </w:r>
            <w:r>
              <w:rPr>
                <w:rFonts w:cs="Times New Roman"/>
              </w:rPr>
              <w:t>、盈江、梁河，直到</w:t>
            </w:r>
            <w:r>
              <w:fldChar w:fldCharType="begin"/>
            </w:r>
            <w:r>
              <w:instrText xml:space="preserve"> HYPERLINK "http://baike.baidu.com/view/7227.htm" \t "_blank" </w:instrText>
            </w:r>
            <w:r>
              <w:fldChar w:fldCharType="separate"/>
            </w:r>
            <w:r>
              <w:rPr>
                <w:rStyle w:val="25"/>
                <w:rFonts w:cs="Times New Roman"/>
                <w:color w:val="auto"/>
                <w:u w:val="none"/>
              </w:rPr>
              <w:t>缅甸</w:t>
            </w:r>
            <w:r>
              <w:rPr>
                <w:rStyle w:val="25"/>
                <w:rFonts w:cs="Times New Roman"/>
                <w:color w:val="auto"/>
                <w:u w:val="none"/>
              </w:rPr>
              <w:fldChar w:fldCharType="end"/>
            </w:r>
            <w:r>
              <w:rPr>
                <w:rFonts w:cs="Times New Roman"/>
              </w:rPr>
              <w:t>的交通枢纽和商贸物资集散地及边境口岸，东侧及东北侧接保山市龙陵县，西南连瑞丽市、畹町经济开发区，西侧及西北侧与梁河县、陇川县隔陇川江相望，南与缅甸交界，国境线长68.3km。</w:t>
            </w:r>
          </w:p>
          <w:p w14:paraId="60B6FC33">
            <w:pPr>
              <w:autoSpaceDE w:val="0"/>
              <w:autoSpaceDN w:val="0"/>
              <w:adjustRightInd w:val="0"/>
              <w:snapToGrid w:val="0"/>
              <w:ind w:firstLine="480"/>
              <w:jc w:val="both"/>
              <w:rPr>
                <w:rFonts w:cs="Times New Roman"/>
              </w:rPr>
            </w:pPr>
            <w:r>
              <w:rPr>
                <w:rFonts w:cs="Times New Roman"/>
              </w:rPr>
              <w:t>本项目位于</w:t>
            </w:r>
            <w:r>
              <w:rPr>
                <w:rFonts w:cs="Times New Roman"/>
                <w:bCs/>
              </w:rPr>
              <w:t>芒市风平镇</w:t>
            </w:r>
            <w:r>
              <w:rPr>
                <w:rFonts w:cs="Times New Roman"/>
                <w:szCs w:val="24"/>
              </w:rPr>
              <w:t>户育村</w:t>
            </w:r>
            <w:r>
              <w:rPr>
                <w:rFonts w:cs="Times New Roman"/>
              </w:rPr>
              <w:t>，矿区至芒市有公路相通，中心地理坐标为</w:t>
            </w:r>
            <w:r>
              <w:rPr>
                <w:rFonts w:cs="Times New Roman"/>
                <w:szCs w:val="24"/>
              </w:rPr>
              <w:t>东经98°26′48″，北纬24°20′50″</w:t>
            </w:r>
            <w:r>
              <w:rPr>
                <w:rFonts w:cs="Times New Roman"/>
              </w:rPr>
              <w:t>，项目地理位置见附图1，项目区周边关系详见附图2，</w:t>
            </w:r>
            <w:r>
              <w:rPr>
                <w:rFonts w:cs="Times New Roman"/>
                <w:kern w:val="0"/>
              </w:rPr>
              <w:t>周边关系见表2-1</w:t>
            </w:r>
            <w:r>
              <w:rPr>
                <w:rFonts w:cs="Times New Roman"/>
              </w:rPr>
              <w:t>。</w:t>
            </w:r>
          </w:p>
          <w:p w14:paraId="38B08317">
            <w:pPr>
              <w:pStyle w:val="31"/>
              <w:autoSpaceDE w:val="0"/>
              <w:autoSpaceDN w:val="0"/>
              <w:adjustRightInd w:val="0"/>
              <w:snapToGrid w:val="0"/>
              <w:spacing w:line="240" w:lineRule="auto"/>
              <w:rPr>
                <w:rFonts w:cs="Times New Roman"/>
                <w:color w:val="FF0000"/>
              </w:rPr>
            </w:pPr>
            <w:r>
              <w:rPr>
                <w:rFonts w:cs="Times New Roman"/>
                <w:color w:val="FF0000"/>
              </w:rPr>
              <w:t>表2-1    项目周边关系一览表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75"/>
              <w:gridCol w:w="1558"/>
              <w:gridCol w:w="1700"/>
              <w:gridCol w:w="1883"/>
              <w:gridCol w:w="1944"/>
              <w:gridCol w:w="738"/>
            </w:tblGrid>
            <w:tr w14:paraId="601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76" w:type="pct"/>
                  <w:tcBorders>
                    <w:bottom w:val="single" w:color="auto" w:sz="4" w:space="0"/>
                    <w:right w:val="single" w:color="auto" w:sz="4" w:space="0"/>
                  </w:tcBorders>
                  <w:vAlign w:val="center"/>
                </w:tcPr>
                <w:p w14:paraId="047EADEC">
                  <w:pPr>
                    <w:pStyle w:val="52"/>
                    <w:rPr>
                      <w:b/>
                      <w:color w:val="FF0000"/>
                    </w:rPr>
                  </w:pPr>
                  <w:r>
                    <w:rPr>
                      <w:rFonts w:hint="eastAsia"/>
                      <w:b/>
                      <w:color w:val="FF0000"/>
                    </w:rPr>
                    <w:t>序号</w:t>
                  </w:r>
                </w:p>
              </w:tc>
              <w:tc>
                <w:tcPr>
                  <w:tcW w:w="648" w:type="pct"/>
                  <w:tcBorders>
                    <w:left w:val="single" w:color="auto" w:sz="4" w:space="0"/>
                    <w:bottom w:val="single" w:color="auto" w:sz="4" w:space="0"/>
                    <w:right w:val="single" w:color="auto" w:sz="4" w:space="0"/>
                  </w:tcBorders>
                  <w:vAlign w:val="center"/>
                </w:tcPr>
                <w:p w14:paraId="46D0CDB5">
                  <w:pPr>
                    <w:pStyle w:val="52"/>
                    <w:rPr>
                      <w:b/>
                      <w:color w:val="FF0000"/>
                    </w:rPr>
                  </w:pPr>
                  <w:r>
                    <w:rPr>
                      <w:b/>
                      <w:color w:val="FF0000"/>
                    </w:rPr>
                    <w:t>环保目标</w:t>
                  </w:r>
                </w:p>
              </w:tc>
              <w:tc>
                <w:tcPr>
                  <w:tcW w:w="792" w:type="pct"/>
                  <w:tcBorders>
                    <w:left w:val="single" w:color="auto" w:sz="4" w:space="0"/>
                    <w:bottom w:val="single" w:color="auto" w:sz="4" w:space="0"/>
                    <w:right w:val="single" w:color="auto" w:sz="4" w:space="0"/>
                  </w:tcBorders>
                  <w:vAlign w:val="center"/>
                </w:tcPr>
                <w:p w14:paraId="3674EAF0">
                  <w:pPr>
                    <w:pStyle w:val="52"/>
                    <w:rPr>
                      <w:b/>
                      <w:color w:val="FF0000"/>
                    </w:rPr>
                  </w:pPr>
                  <w:r>
                    <w:rPr>
                      <w:b/>
                      <w:color w:val="FF0000"/>
                    </w:rPr>
                    <w:t>基本情况</w:t>
                  </w:r>
                </w:p>
              </w:tc>
              <w:tc>
                <w:tcPr>
                  <w:tcW w:w="864" w:type="pct"/>
                  <w:tcBorders>
                    <w:left w:val="single" w:color="auto" w:sz="4" w:space="0"/>
                    <w:bottom w:val="single" w:color="auto" w:sz="4" w:space="0"/>
                    <w:right w:val="single" w:color="auto" w:sz="4" w:space="0"/>
                  </w:tcBorders>
                  <w:vAlign w:val="center"/>
                </w:tcPr>
                <w:p w14:paraId="6C83479A">
                  <w:pPr>
                    <w:pStyle w:val="52"/>
                    <w:rPr>
                      <w:b/>
                      <w:color w:val="FF0000"/>
                    </w:rPr>
                  </w:pPr>
                  <w:r>
                    <w:rPr>
                      <w:b/>
                      <w:color w:val="FF0000"/>
                    </w:rPr>
                    <w:t>矿区位置关系</w:t>
                  </w:r>
                </w:p>
              </w:tc>
              <w:tc>
                <w:tcPr>
                  <w:tcW w:w="957" w:type="pct"/>
                  <w:tcBorders>
                    <w:left w:val="single" w:color="auto" w:sz="4" w:space="0"/>
                    <w:bottom w:val="single" w:color="auto" w:sz="4" w:space="0"/>
                    <w:right w:val="single" w:color="auto" w:sz="4" w:space="0"/>
                  </w:tcBorders>
                  <w:vAlign w:val="center"/>
                </w:tcPr>
                <w:p w14:paraId="52CC1533">
                  <w:pPr>
                    <w:pStyle w:val="52"/>
                    <w:rPr>
                      <w:b/>
                      <w:color w:val="FF0000"/>
                    </w:rPr>
                  </w:pPr>
                  <w:r>
                    <w:rPr>
                      <w:b/>
                      <w:color w:val="FF0000"/>
                    </w:rPr>
                    <w:t>与采场位置关系</w:t>
                  </w:r>
                </w:p>
              </w:tc>
              <w:tc>
                <w:tcPr>
                  <w:tcW w:w="988" w:type="pct"/>
                  <w:tcBorders>
                    <w:left w:val="single" w:color="auto" w:sz="4" w:space="0"/>
                    <w:bottom w:val="single" w:color="auto" w:sz="4" w:space="0"/>
                    <w:right w:val="single" w:color="auto" w:sz="4" w:space="0"/>
                  </w:tcBorders>
                  <w:vAlign w:val="center"/>
                </w:tcPr>
                <w:p w14:paraId="1A982683">
                  <w:pPr>
                    <w:pStyle w:val="52"/>
                    <w:rPr>
                      <w:b/>
                      <w:color w:val="FF0000"/>
                    </w:rPr>
                  </w:pPr>
                  <w:r>
                    <w:rPr>
                      <w:b/>
                      <w:color w:val="FF0000"/>
                    </w:rPr>
                    <w:t>与弃渣场位置关系</w:t>
                  </w:r>
                </w:p>
              </w:tc>
              <w:tc>
                <w:tcPr>
                  <w:tcW w:w="375" w:type="pct"/>
                  <w:tcBorders>
                    <w:left w:val="single" w:color="auto" w:sz="4" w:space="0"/>
                    <w:bottom w:val="single" w:color="auto" w:sz="4" w:space="0"/>
                    <w:right w:val="single" w:color="auto" w:sz="4" w:space="0"/>
                  </w:tcBorders>
                  <w:vAlign w:val="center"/>
                </w:tcPr>
                <w:p w14:paraId="0FFFFBD9">
                  <w:pPr>
                    <w:pStyle w:val="52"/>
                    <w:autoSpaceDE w:val="0"/>
                    <w:autoSpaceDN w:val="0"/>
                    <w:adjustRightInd w:val="0"/>
                    <w:snapToGrid w:val="0"/>
                    <w:rPr>
                      <w:b/>
                      <w:snapToGrid w:val="0"/>
                      <w:color w:val="FF0000"/>
                    </w:rPr>
                  </w:pPr>
                  <w:r>
                    <w:rPr>
                      <w:b/>
                      <w:snapToGrid w:val="0"/>
                      <w:color w:val="FF0000"/>
                    </w:rPr>
                    <w:t>属性</w:t>
                  </w:r>
                </w:p>
              </w:tc>
            </w:tr>
            <w:tr w14:paraId="6B8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76" w:type="pct"/>
                  <w:tcBorders>
                    <w:right w:val="single" w:color="auto" w:sz="4" w:space="0"/>
                  </w:tcBorders>
                  <w:vAlign w:val="center"/>
                </w:tcPr>
                <w:p w14:paraId="40589465">
                  <w:pPr>
                    <w:pStyle w:val="52"/>
                    <w:rPr>
                      <w:color w:val="FF0000"/>
                    </w:rPr>
                  </w:pPr>
                  <w:r>
                    <w:rPr>
                      <w:rFonts w:hint="eastAsia"/>
                      <w:color w:val="FF0000"/>
                    </w:rPr>
                    <w:t>1</w:t>
                  </w:r>
                </w:p>
              </w:tc>
              <w:tc>
                <w:tcPr>
                  <w:tcW w:w="648" w:type="pct"/>
                  <w:tcBorders>
                    <w:left w:val="single" w:color="auto" w:sz="4" w:space="0"/>
                    <w:bottom w:val="single" w:color="auto" w:sz="4" w:space="0"/>
                    <w:right w:val="single" w:color="auto" w:sz="4" w:space="0"/>
                  </w:tcBorders>
                  <w:vAlign w:val="center"/>
                </w:tcPr>
                <w:p w14:paraId="57228883">
                  <w:pPr>
                    <w:pStyle w:val="52"/>
                    <w:rPr>
                      <w:color w:val="FF0000"/>
                    </w:rPr>
                  </w:pPr>
                  <w:r>
                    <w:rPr>
                      <w:color w:val="FF0000"/>
                    </w:rPr>
                    <w:t>芦姐萨村</w:t>
                  </w:r>
                </w:p>
              </w:tc>
              <w:tc>
                <w:tcPr>
                  <w:tcW w:w="792" w:type="pct"/>
                  <w:tcBorders>
                    <w:left w:val="single" w:color="auto" w:sz="4" w:space="0"/>
                    <w:right w:val="single" w:color="auto" w:sz="4" w:space="0"/>
                  </w:tcBorders>
                  <w:vAlign w:val="center"/>
                </w:tcPr>
                <w:p w14:paraId="50C61D49">
                  <w:pPr>
                    <w:pStyle w:val="52"/>
                    <w:rPr>
                      <w:color w:val="FF0000"/>
                    </w:rPr>
                  </w:pPr>
                  <w:r>
                    <w:rPr>
                      <w:color w:val="FF0000"/>
                    </w:rPr>
                    <w:t>55户170人</w:t>
                  </w:r>
                </w:p>
              </w:tc>
              <w:tc>
                <w:tcPr>
                  <w:tcW w:w="864" w:type="pct"/>
                  <w:tcBorders>
                    <w:left w:val="single" w:color="auto" w:sz="4" w:space="0"/>
                    <w:right w:val="single" w:color="auto" w:sz="4" w:space="0"/>
                  </w:tcBorders>
                  <w:vAlign w:val="center"/>
                </w:tcPr>
                <w:p w14:paraId="37C8C5FA">
                  <w:pPr>
                    <w:pStyle w:val="52"/>
                    <w:rPr>
                      <w:color w:val="FF0000"/>
                    </w:rPr>
                  </w:pPr>
                  <w:r>
                    <w:rPr>
                      <w:color w:val="FF0000"/>
                    </w:rPr>
                    <w:t>西南侧、300m</w:t>
                  </w:r>
                </w:p>
              </w:tc>
              <w:tc>
                <w:tcPr>
                  <w:tcW w:w="957" w:type="pct"/>
                  <w:tcBorders>
                    <w:left w:val="single" w:color="auto" w:sz="4" w:space="0"/>
                    <w:right w:val="single" w:color="auto" w:sz="4" w:space="0"/>
                  </w:tcBorders>
                  <w:vAlign w:val="center"/>
                </w:tcPr>
                <w:p w14:paraId="539C88E0">
                  <w:pPr>
                    <w:pStyle w:val="52"/>
                    <w:rPr>
                      <w:color w:val="FF0000"/>
                    </w:rPr>
                  </w:pPr>
                  <w:r>
                    <w:rPr>
                      <w:color w:val="FF0000"/>
                    </w:rPr>
                    <w:t>西南侧、800m</w:t>
                  </w:r>
                </w:p>
              </w:tc>
              <w:tc>
                <w:tcPr>
                  <w:tcW w:w="988" w:type="pct"/>
                  <w:tcBorders>
                    <w:left w:val="single" w:color="auto" w:sz="4" w:space="0"/>
                    <w:right w:val="single" w:color="auto" w:sz="4" w:space="0"/>
                  </w:tcBorders>
                  <w:vAlign w:val="center"/>
                </w:tcPr>
                <w:p w14:paraId="6B6FEEB6">
                  <w:pPr>
                    <w:pStyle w:val="52"/>
                    <w:rPr>
                      <w:color w:val="FF0000"/>
                    </w:rPr>
                  </w:pPr>
                  <w:r>
                    <w:rPr>
                      <w:color w:val="FF0000"/>
                    </w:rPr>
                    <w:t>西南侧、1100m</w:t>
                  </w:r>
                </w:p>
              </w:tc>
              <w:tc>
                <w:tcPr>
                  <w:tcW w:w="375" w:type="pct"/>
                  <w:vMerge w:val="restart"/>
                  <w:tcBorders>
                    <w:left w:val="single" w:color="auto" w:sz="4" w:space="0"/>
                    <w:right w:val="single" w:color="auto" w:sz="4" w:space="0"/>
                  </w:tcBorders>
                  <w:vAlign w:val="center"/>
                </w:tcPr>
                <w:p w14:paraId="6D62807B">
                  <w:pPr>
                    <w:pStyle w:val="52"/>
                    <w:autoSpaceDE w:val="0"/>
                    <w:autoSpaceDN w:val="0"/>
                    <w:adjustRightInd w:val="0"/>
                    <w:snapToGrid w:val="0"/>
                    <w:rPr>
                      <w:snapToGrid w:val="0"/>
                      <w:color w:val="FF0000"/>
                    </w:rPr>
                  </w:pPr>
                  <w:r>
                    <w:rPr>
                      <w:rFonts w:hint="eastAsia"/>
                      <w:snapToGrid w:val="0"/>
                      <w:color w:val="FF0000"/>
                    </w:rPr>
                    <w:t>居住区</w:t>
                  </w:r>
                </w:p>
              </w:tc>
            </w:tr>
            <w:tr w14:paraId="7608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76" w:type="pct"/>
                  <w:tcBorders>
                    <w:right w:val="single" w:color="auto" w:sz="4" w:space="0"/>
                  </w:tcBorders>
                  <w:vAlign w:val="center"/>
                </w:tcPr>
                <w:p w14:paraId="67AFB3A0">
                  <w:pPr>
                    <w:pStyle w:val="52"/>
                    <w:rPr>
                      <w:color w:val="FF0000"/>
                    </w:rPr>
                  </w:pPr>
                  <w:r>
                    <w:rPr>
                      <w:rFonts w:hint="eastAsia"/>
                      <w:color w:val="FF0000"/>
                    </w:rPr>
                    <w:t>2</w:t>
                  </w:r>
                </w:p>
              </w:tc>
              <w:tc>
                <w:tcPr>
                  <w:tcW w:w="648" w:type="pct"/>
                  <w:tcBorders>
                    <w:left w:val="single" w:color="auto" w:sz="4" w:space="0"/>
                    <w:bottom w:val="single" w:color="auto" w:sz="4" w:space="0"/>
                    <w:right w:val="single" w:color="auto" w:sz="4" w:space="0"/>
                  </w:tcBorders>
                  <w:vAlign w:val="center"/>
                </w:tcPr>
                <w:p w14:paraId="1BCA15D0">
                  <w:pPr>
                    <w:pStyle w:val="52"/>
                    <w:rPr>
                      <w:color w:val="FF0000"/>
                    </w:rPr>
                  </w:pPr>
                  <w:r>
                    <w:rPr>
                      <w:color w:val="FF0000"/>
                    </w:rPr>
                    <w:t>户育村</w:t>
                  </w:r>
                </w:p>
              </w:tc>
              <w:tc>
                <w:tcPr>
                  <w:tcW w:w="792" w:type="pct"/>
                  <w:tcBorders>
                    <w:left w:val="single" w:color="auto" w:sz="4" w:space="0"/>
                    <w:right w:val="single" w:color="auto" w:sz="4" w:space="0"/>
                  </w:tcBorders>
                  <w:vAlign w:val="center"/>
                </w:tcPr>
                <w:p w14:paraId="158D985B">
                  <w:pPr>
                    <w:pStyle w:val="52"/>
                    <w:rPr>
                      <w:color w:val="FF0000"/>
                    </w:rPr>
                  </w:pPr>
                  <w:r>
                    <w:rPr>
                      <w:color w:val="FF0000"/>
                    </w:rPr>
                    <w:t>185户650人</w:t>
                  </w:r>
                </w:p>
              </w:tc>
              <w:tc>
                <w:tcPr>
                  <w:tcW w:w="864" w:type="pct"/>
                  <w:tcBorders>
                    <w:left w:val="single" w:color="auto" w:sz="4" w:space="0"/>
                    <w:right w:val="single" w:color="auto" w:sz="4" w:space="0"/>
                  </w:tcBorders>
                  <w:vAlign w:val="center"/>
                </w:tcPr>
                <w:p w14:paraId="5BC6C064">
                  <w:pPr>
                    <w:pStyle w:val="52"/>
                    <w:rPr>
                      <w:color w:val="FF0000"/>
                    </w:rPr>
                  </w:pPr>
                  <w:r>
                    <w:rPr>
                      <w:color w:val="FF0000"/>
                    </w:rPr>
                    <w:t>东北侧、1350m</w:t>
                  </w:r>
                </w:p>
              </w:tc>
              <w:tc>
                <w:tcPr>
                  <w:tcW w:w="957" w:type="pct"/>
                  <w:tcBorders>
                    <w:left w:val="single" w:color="auto" w:sz="4" w:space="0"/>
                    <w:right w:val="single" w:color="auto" w:sz="4" w:space="0"/>
                  </w:tcBorders>
                  <w:vAlign w:val="center"/>
                </w:tcPr>
                <w:p w14:paraId="358A5DC8">
                  <w:pPr>
                    <w:pStyle w:val="52"/>
                    <w:rPr>
                      <w:color w:val="FF0000"/>
                    </w:rPr>
                  </w:pPr>
                  <w:r>
                    <w:rPr>
                      <w:color w:val="FF0000"/>
                    </w:rPr>
                    <w:t>东北侧、1520m</w:t>
                  </w:r>
                </w:p>
              </w:tc>
              <w:tc>
                <w:tcPr>
                  <w:tcW w:w="988" w:type="pct"/>
                  <w:tcBorders>
                    <w:left w:val="single" w:color="auto" w:sz="4" w:space="0"/>
                    <w:right w:val="single" w:color="auto" w:sz="4" w:space="0"/>
                  </w:tcBorders>
                  <w:vAlign w:val="center"/>
                </w:tcPr>
                <w:p w14:paraId="717F4390">
                  <w:pPr>
                    <w:pStyle w:val="52"/>
                    <w:rPr>
                      <w:color w:val="FF0000"/>
                    </w:rPr>
                  </w:pPr>
                  <w:r>
                    <w:rPr>
                      <w:color w:val="FF0000"/>
                    </w:rPr>
                    <w:t>东北侧、1442m</w:t>
                  </w:r>
                </w:p>
              </w:tc>
              <w:tc>
                <w:tcPr>
                  <w:tcW w:w="375" w:type="pct"/>
                  <w:vMerge w:val="continue"/>
                  <w:tcBorders>
                    <w:left w:val="single" w:color="auto" w:sz="4" w:space="0"/>
                    <w:right w:val="single" w:color="auto" w:sz="4" w:space="0"/>
                  </w:tcBorders>
                  <w:vAlign w:val="center"/>
                </w:tcPr>
                <w:p w14:paraId="2DA664D1">
                  <w:pPr>
                    <w:pStyle w:val="52"/>
                    <w:rPr>
                      <w:color w:val="FF0000"/>
                    </w:rPr>
                  </w:pPr>
                </w:p>
              </w:tc>
            </w:tr>
            <w:tr w14:paraId="19CB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76" w:type="pct"/>
                  <w:tcBorders>
                    <w:right w:val="single" w:color="auto" w:sz="4" w:space="0"/>
                  </w:tcBorders>
                  <w:vAlign w:val="center"/>
                </w:tcPr>
                <w:p w14:paraId="4BD5017C">
                  <w:pPr>
                    <w:pStyle w:val="52"/>
                    <w:rPr>
                      <w:color w:val="FF0000"/>
                    </w:rPr>
                  </w:pPr>
                  <w:r>
                    <w:rPr>
                      <w:rFonts w:hint="eastAsia"/>
                      <w:color w:val="FF0000"/>
                    </w:rPr>
                    <w:t>3</w:t>
                  </w:r>
                </w:p>
              </w:tc>
              <w:tc>
                <w:tcPr>
                  <w:tcW w:w="648" w:type="pct"/>
                  <w:tcBorders>
                    <w:left w:val="single" w:color="auto" w:sz="4" w:space="0"/>
                    <w:right w:val="single" w:color="auto" w:sz="4" w:space="0"/>
                  </w:tcBorders>
                  <w:vAlign w:val="center"/>
                </w:tcPr>
                <w:p w14:paraId="421CD999">
                  <w:pPr>
                    <w:pStyle w:val="52"/>
                    <w:rPr>
                      <w:color w:val="FF0000"/>
                    </w:rPr>
                  </w:pPr>
                  <w:r>
                    <w:rPr>
                      <w:color w:val="FF0000"/>
                    </w:rPr>
                    <w:t>南相章河</w:t>
                  </w:r>
                </w:p>
              </w:tc>
              <w:tc>
                <w:tcPr>
                  <w:tcW w:w="792" w:type="pct"/>
                  <w:tcBorders>
                    <w:left w:val="single" w:color="auto" w:sz="4" w:space="0"/>
                    <w:right w:val="single" w:color="auto" w:sz="4" w:space="0"/>
                  </w:tcBorders>
                  <w:vAlign w:val="center"/>
                </w:tcPr>
                <w:p w14:paraId="238BEFC5">
                  <w:pPr>
                    <w:pStyle w:val="52"/>
                    <w:rPr>
                      <w:color w:val="FF0000"/>
                    </w:rPr>
                  </w:pPr>
                  <w:r>
                    <w:rPr>
                      <w:rFonts w:hint="eastAsia" w:ascii="宋体" w:hAnsi="宋体" w:cs="宋体"/>
                      <w:bCs/>
                      <w:color w:val="FF0000"/>
                    </w:rPr>
                    <w:t>Ⅲ</w:t>
                  </w:r>
                  <w:r>
                    <w:rPr>
                      <w:color w:val="FF0000"/>
                    </w:rPr>
                    <w:t>类</w:t>
                  </w:r>
                </w:p>
              </w:tc>
              <w:tc>
                <w:tcPr>
                  <w:tcW w:w="864" w:type="pct"/>
                  <w:tcBorders>
                    <w:left w:val="single" w:color="auto" w:sz="4" w:space="0"/>
                    <w:right w:val="single" w:color="auto" w:sz="4" w:space="0"/>
                  </w:tcBorders>
                  <w:vAlign w:val="center"/>
                </w:tcPr>
                <w:p w14:paraId="0BD800B3">
                  <w:pPr>
                    <w:pStyle w:val="52"/>
                    <w:rPr>
                      <w:bCs/>
                      <w:color w:val="FF0000"/>
                    </w:rPr>
                  </w:pPr>
                  <w:r>
                    <w:rPr>
                      <w:bCs/>
                      <w:color w:val="FF0000"/>
                    </w:rPr>
                    <w:t>东侧650m</w:t>
                  </w:r>
                </w:p>
              </w:tc>
              <w:tc>
                <w:tcPr>
                  <w:tcW w:w="957" w:type="pct"/>
                  <w:tcBorders>
                    <w:left w:val="single" w:color="auto" w:sz="4" w:space="0"/>
                    <w:right w:val="single" w:color="auto" w:sz="4" w:space="0"/>
                  </w:tcBorders>
                  <w:vAlign w:val="center"/>
                </w:tcPr>
                <w:p w14:paraId="1B4F71CC">
                  <w:pPr>
                    <w:pStyle w:val="52"/>
                    <w:rPr>
                      <w:bCs/>
                      <w:color w:val="FF0000"/>
                    </w:rPr>
                  </w:pPr>
                  <w:r>
                    <w:rPr>
                      <w:bCs/>
                      <w:color w:val="FF0000"/>
                    </w:rPr>
                    <w:t>东侧800m</w:t>
                  </w:r>
                </w:p>
              </w:tc>
              <w:tc>
                <w:tcPr>
                  <w:tcW w:w="988" w:type="pct"/>
                  <w:tcBorders>
                    <w:left w:val="single" w:color="auto" w:sz="4" w:space="0"/>
                    <w:right w:val="single" w:color="auto" w:sz="4" w:space="0"/>
                  </w:tcBorders>
                  <w:vAlign w:val="center"/>
                </w:tcPr>
                <w:p w14:paraId="15F329A5">
                  <w:pPr>
                    <w:pStyle w:val="52"/>
                    <w:rPr>
                      <w:color w:val="FF0000"/>
                    </w:rPr>
                  </w:pPr>
                  <w:r>
                    <w:rPr>
                      <w:color w:val="FF0000"/>
                    </w:rPr>
                    <w:t>东侧1000m</w:t>
                  </w:r>
                </w:p>
              </w:tc>
              <w:tc>
                <w:tcPr>
                  <w:tcW w:w="375" w:type="pct"/>
                  <w:tcBorders>
                    <w:left w:val="single" w:color="auto" w:sz="4" w:space="0"/>
                    <w:right w:val="single" w:color="auto" w:sz="4" w:space="0"/>
                  </w:tcBorders>
                  <w:vAlign w:val="center"/>
                </w:tcPr>
                <w:p w14:paraId="1A3E219E">
                  <w:pPr>
                    <w:pStyle w:val="52"/>
                    <w:rPr>
                      <w:color w:val="FF0000"/>
                    </w:rPr>
                  </w:pPr>
                  <w:r>
                    <w:rPr>
                      <w:snapToGrid w:val="0"/>
                      <w:color w:val="FF0000"/>
                    </w:rPr>
                    <w:t>河流</w:t>
                  </w:r>
                </w:p>
              </w:tc>
            </w:tr>
          </w:tbl>
          <w:p w14:paraId="378490AD">
            <w:pPr>
              <w:autoSpaceDE w:val="0"/>
              <w:autoSpaceDN w:val="0"/>
              <w:adjustRightInd w:val="0"/>
              <w:snapToGrid w:val="0"/>
              <w:ind w:firstLine="0" w:firstLineChars="0"/>
              <w:rPr>
                <w:rFonts w:cs="Times New Roman"/>
                <w:b/>
              </w:rPr>
            </w:pPr>
          </w:p>
          <w:p w14:paraId="58DD8DF5">
            <w:pPr>
              <w:autoSpaceDE w:val="0"/>
              <w:autoSpaceDN w:val="0"/>
              <w:adjustRightInd w:val="0"/>
              <w:snapToGrid w:val="0"/>
              <w:ind w:firstLine="482"/>
              <w:rPr>
                <w:rFonts w:cs="Times New Roman"/>
                <w:b/>
              </w:rPr>
            </w:pPr>
            <w:r>
              <w:rPr>
                <w:rFonts w:cs="Times New Roman"/>
                <w:b/>
              </w:rPr>
              <w:t>2、地形地貌</w:t>
            </w:r>
          </w:p>
          <w:p w14:paraId="7AC41DC9">
            <w:pPr>
              <w:autoSpaceDE w:val="0"/>
              <w:autoSpaceDN w:val="0"/>
              <w:adjustRightInd w:val="0"/>
              <w:snapToGrid w:val="0"/>
              <w:ind w:firstLine="480"/>
              <w:rPr>
                <w:rFonts w:cs="Times New Roman"/>
                <w:szCs w:val="24"/>
              </w:rPr>
            </w:pPr>
            <w:r>
              <w:rPr>
                <w:rFonts w:cs="Times New Roman"/>
                <w:szCs w:val="24"/>
              </w:rPr>
              <w:t>芒市全境是以中、低山山地为主的低纬山原地区，最高</w:t>
            </w:r>
            <w:r>
              <w:fldChar w:fldCharType="begin"/>
            </w:r>
            <w:r>
              <w:instrText xml:space="preserve"> HYPERLINK "http://baike.baidu.com/view/36833.htm" \t "_blank" </w:instrText>
            </w:r>
            <w:r>
              <w:fldChar w:fldCharType="separate"/>
            </w:r>
            <w:r>
              <w:rPr>
                <w:rFonts w:cs="Times New Roman"/>
                <w:szCs w:val="24"/>
              </w:rPr>
              <w:t>海拔</w:t>
            </w:r>
            <w:r>
              <w:rPr>
                <w:rFonts w:cs="Times New Roman"/>
                <w:szCs w:val="24"/>
              </w:rPr>
              <w:fldChar w:fldCharType="end"/>
            </w:r>
            <w:r>
              <w:rPr>
                <w:rFonts w:cs="Times New Roman"/>
                <w:szCs w:val="24"/>
              </w:rPr>
              <w:t>2377米（</w:t>
            </w:r>
            <w:r>
              <w:fldChar w:fldCharType="begin"/>
            </w:r>
            <w:r>
              <w:instrText xml:space="preserve"> HYPERLINK "http://baike.baidu.com/view/4132547.htm" \t "_blank" </w:instrText>
            </w:r>
            <w:r>
              <w:fldChar w:fldCharType="separate"/>
            </w:r>
            <w:r>
              <w:rPr>
                <w:rFonts w:cs="Times New Roman"/>
                <w:szCs w:val="24"/>
              </w:rPr>
              <w:t>背阴山</w:t>
            </w:r>
            <w:r>
              <w:rPr>
                <w:rFonts w:cs="Times New Roman"/>
                <w:szCs w:val="24"/>
              </w:rPr>
              <w:fldChar w:fldCharType="end"/>
            </w:r>
            <w:r>
              <w:rPr>
                <w:rFonts w:cs="Times New Roman"/>
                <w:szCs w:val="24"/>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09295285">
            <w:pPr>
              <w:autoSpaceDE w:val="0"/>
              <w:autoSpaceDN w:val="0"/>
              <w:adjustRightInd w:val="0"/>
              <w:snapToGrid w:val="0"/>
              <w:ind w:firstLine="480"/>
              <w:rPr>
                <w:rFonts w:cs="Times New Roman"/>
                <w:szCs w:val="24"/>
              </w:rPr>
            </w:pPr>
            <w:r>
              <w:rPr>
                <w:rFonts w:cs="Times New Roman"/>
                <w:szCs w:val="24"/>
              </w:rPr>
              <w:t>芒市海拔高差悬殊很大，山谷、河流、盆谷走向一致，并呈相间平行排列势态，展现了两山夹一峡谷、一条河、一个盆坝的地貌特征。以溶蚀槽谷、溶蚀洼地、漏斗、溶洞、落水洞、溶牙、溶峰等地貌较为显著。</w:t>
            </w:r>
          </w:p>
          <w:p w14:paraId="1994D57A">
            <w:pPr>
              <w:autoSpaceDE w:val="0"/>
              <w:autoSpaceDN w:val="0"/>
              <w:adjustRightInd w:val="0"/>
              <w:snapToGrid w:val="0"/>
              <w:ind w:firstLine="480"/>
              <w:rPr>
                <w:rFonts w:cs="Times New Roman"/>
                <w:szCs w:val="24"/>
              </w:rPr>
            </w:pPr>
            <w:r>
              <w:rPr>
                <w:rFonts w:cs="Times New Roman"/>
                <w:szCs w:val="24"/>
              </w:rPr>
              <w:t>矿区地势北东低南西高，为低中山山地地貌特征。矿区最高点高程 1224.15m，最低点高程 890 m（侵蚀基准面）</w:t>
            </w:r>
            <w:r>
              <w:rPr>
                <w:rFonts w:hint="eastAsia" w:cs="Times New Roman"/>
                <w:szCs w:val="24"/>
              </w:rPr>
              <w:t>，</w:t>
            </w:r>
            <w:r>
              <w:rPr>
                <w:rFonts w:cs="Times New Roman"/>
                <w:szCs w:val="24"/>
              </w:rPr>
              <w:t>相对两差达 334.15 m。矿区地形坡度受岩性、构造控制，其南、东侧因受岩溶崩塌和断层影响，坡度陡峻，北、西侧因其边缘有砂页岩出露，故地形较平缓。矿区内自然坡度一般征 20°～30°左右，局部地段可达 40°～45°。</w:t>
            </w:r>
          </w:p>
          <w:p w14:paraId="05BD8F3F">
            <w:pPr>
              <w:autoSpaceDE w:val="0"/>
              <w:autoSpaceDN w:val="0"/>
              <w:adjustRightInd w:val="0"/>
              <w:snapToGrid w:val="0"/>
              <w:ind w:firstLine="482"/>
              <w:rPr>
                <w:rFonts w:cs="Times New Roman"/>
                <w:b/>
              </w:rPr>
            </w:pPr>
            <w:r>
              <w:rPr>
                <w:rFonts w:cs="Times New Roman"/>
                <w:b/>
              </w:rPr>
              <w:t>3、区域地质构造与地震</w:t>
            </w:r>
          </w:p>
          <w:p w14:paraId="76B98811">
            <w:pPr>
              <w:autoSpaceDE w:val="0"/>
              <w:autoSpaceDN w:val="0"/>
              <w:adjustRightInd w:val="0"/>
              <w:snapToGrid w:val="0"/>
              <w:ind w:firstLine="480"/>
              <w:rPr>
                <w:rFonts w:cs="Times New Roman"/>
              </w:rPr>
            </w:pPr>
            <w:r>
              <w:rPr>
                <w:rFonts w:cs="Times New Roman"/>
              </w:rPr>
              <w:t>（1）矿区地质</w:t>
            </w:r>
          </w:p>
          <w:p w14:paraId="63DD5743">
            <w:pPr>
              <w:autoSpaceDE w:val="0"/>
              <w:autoSpaceDN w:val="0"/>
              <w:adjustRightInd w:val="0"/>
              <w:snapToGrid w:val="0"/>
              <w:ind w:firstLine="480"/>
              <w:rPr>
                <w:rFonts w:cs="Times New Roman"/>
              </w:rPr>
            </w:pPr>
            <w:r>
              <w:rPr>
                <w:rFonts w:cs="Times New Roman"/>
              </w:rPr>
              <w:t>矿区地处龙陵—瑞丽大断裂南侧，芒市褶皱束-户育宽缓背北西翼。矿区位于户育宽缓背斜部位，出露地层较简单，构造较发育，矿区内无岩浆活动及变质作用。</w:t>
            </w:r>
          </w:p>
          <w:p w14:paraId="4325755C">
            <w:pPr>
              <w:autoSpaceDE w:val="0"/>
              <w:autoSpaceDN w:val="0"/>
              <w:adjustRightInd w:val="0"/>
              <w:snapToGrid w:val="0"/>
              <w:ind w:firstLine="480"/>
              <w:rPr>
                <w:rFonts w:cs="Times New Roman"/>
                <w:szCs w:val="24"/>
              </w:rPr>
            </w:pPr>
            <w:r>
              <w:rPr>
                <w:rFonts w:hint="eastAsia" w:ascii="宋体" w:hAnsi="宋体" w:cs="宋体"/>
                <w:szCs w:val="24"/>
              </w:rPr>
              <w:t>①</w:t>
            </w:r>
            <w:r>
              <w:rPr>
                <w:rFonts w:cs="Times New Roman"/>
                <w:szCs w:val="24"/>
              </w:rPr>
              <w:t>地层</w:t>
            </w:r>
          </w:p>
          <w:p w14:paraId="57EB0A72">
            <w:pPr>
              <w:autoSpaceDE w:val="0"/>
              <w:autoSpaceDN w:val="0"/>
              <w:adjustRightInd w:val="0"/>
              <w:snapToGrid w:val="0"/>
              <w:ind w:firstLine="480"/>
              <w:rPr>
                <w:rFonts w:cs="Times New Roman"/>
                <w:szCs w:val="24"/>
              </w:rPr>
            </w:pPr>
            <w:r>
              <w:rPr>
                <w:rFonts w:cs="Times New Roman"/>
                <w:szCs w:val="24"/>
              </w:rPr>
              <w:t>出露地层有侏罗系中统柳湾组第一层（J</w:t>
            </w:r>
            <w:r>
              <w:rPr>
                <w:rFonts w:cs="Times New Roman"/>
                <w:szCs w:val="24"/>
                <w:vertAlign w:val="subscript"/>
              </w:rPr>
              <w:t xml:space="preserve"> 2</w:t>
            </w:r>
            <w:r>
              <w:rPr>
                <w:rFonts w:cs="Times New Roman"/>
                <w:szCs w:val="24"/>
              </w:rPr>
              <w:t xml:space="preserve"> l</w:t>
            </w:r>
            <w:r>
              <w:rPr>
                <w:rFonts w:cs="Times New Roman"/>
                <w:szCs w:val="24"/>
                <w:vertAlign w:val="superscript"/>
              </w:rPr>
              <w:t xml:space="preserve"> 1</w:t>
            </w:r>
            <w:r>
              <w:rPr>
                <w:rFonts w:cs="Times New Roman"/>
                <w:szCs w:val="24"/>
              </w:rPr>
              <w:t xml:space="preserve"> ）粉砂质泥岩；第二层第一段（J </w:t>
            </w:r>
            <w:r>
              <w:rPr>
                <w:rFonts w:cs="Times New Roman"/>
                <w:szCs w:val="24"/>
                <w:vertAlign w:val="subscript"/>
              </w:rPr>
              <w:t xml:space="preserve">2 </w:t>
            </w:r>
            <w:r>
              <w:rPr>
                <w:rFonts w:cs="Times New Roman"/>
                <w:szCs w:val="24"/>
              </w:rPr>
              <w:t xml:space="preserve">l </w:t>
            </w:r>
            <w:r>
              <w:rPr>
                <w:rFonts w:cs="Times New Roman"/>
                <w:szCs w:val="24"/>
                <w:vertAlign w:val="superscript"/>
              </w:rPr>
              <w:t xml:space="preserve">2-1 </w:t>
            </w:r>
            <w:r>
              <w:rPr>
                <w:rFonts w:cs="Times New Roman"/>
                <w:szCs w:val="24"/>
              </w:rPr>
              <w:t>）含生物碎屑凝块灰岩夹硅质灰岩、白云质灰岩，第二段（J</w:t>
            </w:r>
            <w:r>
              <w:rPr>
                <w:rFonts w:cs="Times New Roman"/>
                <w:szCs w:val="24"/>
                <w:vertAlign w:val="subscript"/>
              </w:rPr>
              <w:t xml:space="preserve"> 2</w:t>
            </w:r>
            <w:r>
              <w:rPr>
                <w:rFonts w:cs="Times New Roman"/>
                <w:szCs w:val="24"/>
              </w:rPr>
              <w:t xml:space="preserve"> l</w:t>
            </w:r>
            <w:r>
              <w:rPr>
                <w:rFonts w:cs="Times New Roman"/>
                <w:szCs w:val="24"/>
                <w:vertAlign w:val="superscript"/>
              </w:rPr>
              <w:t xml:space="preserve"> 2-2</w:t>
            </w:r>
            <w:r>
              <w:rPr>
                <w:rFonts w:cs="Times New Roman"/>
                <w:szCs w:val="24"/>
              </w:rPr>
              <w:t xml:space="preserve">）含生物碎屑凝块灰岩夹硅质灰岩、白云质灰岩，第三段（J </w:t>
            </w:r>
            <w:r>
              <w:rPr>
                <w:rFonts w:cs="Times New Roman"/>
                <w:szCs w:val="24"/>
                <w:vertAlign w:val="subscript"/>
              </w:rPr>
              <w:t xml:space="preserve">2 </w:t>
            </w:r>
            <w:r>
              <w:rPr>
                <w:rFonts w:cs="Times New Roman"/>
                <w:szCs w:val="24"/>
              </w:rPr>
              <w:t xml:space="preserve">l </w:t>
            </w:r>
            <w:r>
              <w:rPr>
                <w:rFonts w:cs="Times New Roman"/>
                <w:szCs w:val="24"/>
                <w:vertAlign w:val="superscript"/>
              </w:rPr>
              <w:t>2-3</w:t>
            </w:r>
            <w:r>
              <w:rPr>
                <w:rFonts w:cs="Times New Roman"/>
                <w:szCs w:val="24"/>
              </w:rPr>
              <w:t xml:space="preserve"> ）泥质条带灰岩；第三层（J </w:t>
            </w:r>
            <w:r>
              <w:rPr>
                <w:rFonts w:cs="Times New Roman"/>
                <w:szCs w:val="24"/>
                <w:vertAlign w:val="subscript"/>
              </w:rPr>
              <w:t xml:space="preserve">2 </w:t>
            </w:r>
            <w:r>
              <w:rPr>
                <w:rFonts w:cs="Times New Roman"/>
                <w:szCs w:val="24"/>
              </w:rPr>
              <w:t xml:space="preserve">l </w:t>
            </w:r>
            <w:r>
              <w:rPr>
                <w:rFonts w:cs="Times New Roman"/>
                <w:szCs w:val="24"/>
                <w:vertAlign w:val="superscript"/>
              </w:rPr>
              <w:t xml:space="preserve">3 </w:t>
            </w:r>
            <w:r>
              <w:rPr>
                <w:rFonts w:cs="Times New Roman"/>
                <w:szCs w:val="24"/>
              </w:rPr>
              <w:t xml:space="preserve">）页岩夹砂岩；第四系（Q </w:t>
            </w:r>
            <w:r>
              <w:rPr>
                <w:rFonts w:cs="Times New Roman"/>
                <w:szCs w:val="24"/>
                <w:vertAlign w:val="superscript"/>
              </w:rPr>
              <w:t>edl</w:t>
            </w:r>
            <w:r>
              <w:rPr>
                <w:rFonts w:cs="Times New Roman"/>
                <w:szCs w:val="24"/>
              </w:rPr>
              <w:t>）残坡积粘土。分述如下：</w:t>
            </w:r>
          </w:p>
          <w:p w14:paraId="5229DA03">
            <w:pPr>
              <w:autoSpaceDE w:val="0"/>
              <w:autoSpaceDN w:val="0"/>
              <w:adjustRightInd w:val="0"/>
              <w:snapToGrid w:val="0"/>
              <w:ind w:firstLine="480"/>
              <w:rPr>
                <w:rFonts w:cs="Times New Roman"/>
                <w:szCs w:val="24"/>
              </w:rPr>
            </w:pPr>
            <w:r>
              <w:rPr>
                <w:rFonts w:cs="Times New Roman"/>
                <w:szCs w:val="24"/>
              </w:rPr>
              <w:t xml:space="preserve">J </w:t>
            </w:r>
            <w:r>
              <w:rPr>
                <w:rFonts w:cs="Times New Roman"/>
                <w:szCs w:val="24"/>
                <w:vertAlign w:val="subscript"/>
              </w:rPr>
              <w:t xml:space="preserve">2 </w:t>
            </w:r>
            <w:r>
              <w:rPr>
                <w:rFonts w:cs="Times New Roman"/>
                <w:szCs w:val="24"/>
              </w:rPr>
              <w:t xml:space="preserve">l </w:t>
            </w:r>
            <w:r>
              <w:rPr>
                <w:rFonts w:cs="Times New Roman"/>
                <w:szCs w:val="24"/>
                <w:vertAlign w:val="superscript"/>
              </w:rPr>
              <w:t>1</w:t>
            </w:r>
            <w:r>
              <w:rPr>
                <w:rFonts w:cs="Times New Roman"/>
                <w:szCs w:val="24"/>
              </w:rPr>
              <w:t>：分布于矿区南东部。为一套浅黄、灰白色粉砂质泥岩。具泥质、粉砂质结构；块状构造。由于第四系覆盖较厚，出露零星。厚度不详，与上覆地层呈断层接触。</w:t>
            </w:r>
          </w:p>
          <w:p w14:paraId="340B58C2">
            <w:pPr>
              <w:autoSpaceDE w:val="0"/>
              <w:autoSpaceDN w:val="0"/>
              <w:adjustRightInd w:val="0"/>
              <w:snapToGrid w:val="0"/>
              <w:ind w:firstLine="480"/>
              <w:rPr>
                <w:rFonts w:cs="Times New Roman"/>
                <w:szCs w:val="24"/>
              </w:rPr>
            </w:pPr>
            <w:r>
              <w:rPr>
                <w:rFonts w:cs="Times New Roman"/>
                <w:szCs w:val="24"/>
              </w:rPr>
              <w:t xml:space="preserve">J </w:t>
            </w:r>
            <w:r>
              <w:rPr>
                <w:rFonts w:cs="Times New Roman"/>
                <w:szCs w:val="24"/>
                <w:vertAlign w:val="subscript"/>
              </w:rPr>
              <w:t>2</w:t>
            </w:r>
            <w:r>
              <w:rPr>
                <w:rFonts w:cs="Times New Roman"/>
                <w:szCs w:val="24"/>
              </w:rPr>
              <w:t xml:space="preserve"> l</w:t>
            </w:r>
            <w:r>
              <w:rPr>
                <w:rFonts w:cs="Times New Roman"/>
                <w:szCs w:val="24"/>
                <w:vertAlign w:val="superscript"/>
              </w:rPr>
              <w:t xml:space="preserve"> 2</w:t>
            </w:r>
            <w:r>
              <w:rPr>
                <w:rFonts w:cs="Times New Roman"/>
                <w:szCs w:val="24"/>
              </w:rPr>
              <w:t xml:space="preserve"> ：为矿区主要地层，按岩性可分三层：</w:t>
            </w:r>
          </w:p>
          <w:p w14:paraId="34353CF4">
            <w:pPr>
              <w:autoSpaceDE w:val="0"/>
              <w:autoSpaceDN w:val="0"/>
              <w:adjustRightInd w:val="0"/>
              <w:snapToGrid w:val="0"/>
              <w:ind w:firstLine="480"/>
              <w:rPr>
                <w:rFonts w:cs="Times New Roman"/>
                <w:szCs w:val="24"/>
              </w:rPr>
            </w:pPr>
            <w:r>
              <w:rPr>
                <w:rFonts w:cs="Times New Roman"/>
                <w:szCs w:val="24"/>
              </w:rPr>
              <w:t xml:space="preserve">J </w:t>
            </w:r>
            <w:r>
              <w:rPr>
                <w:rFonts w:cs="Times New Roman"/>
                <w:szCs w:val="24"/>
                <w:vertAlign w:val="subscript"/>
              </w:rPr>
              <w:t>2</w:t>
            </w:r>
            <w:r>
              <w:rPr>
                <w:rFonts w:cs="Times New Roman"/>
                <w:szCs w:val="24"/>
              </w:rPr>
              <w:t xml:space="preserve"> l </w:t>
            </w:r>
            <w:r>
              <w:rPr>
                <w:rFonts w:cs="Times New Roman"/>
                <w:szCs w:val="24"/>
                <w:vertAlign w:val="superscript"/>
              </w:rPr>
              <w:t>2-1</w:t>
            </w:r>
            <w:r>
              <w:rPr>
                <w:rFonts w:cs="Times New Roman"/>
                <w:szCs w:val="24"/>
              </w:rPr>
              <w:t>：出露于矿区南部，为一套深灰～灰黑色含生物碎屑中厚层状凝块灰岩，夹深灰～灰黑色中厚层状硅质灰岩、白云质灰岩及鲕状灰岩，顶部以一层深灰～灰黑色中厚层状鲕状灰岩为标志。与下覆地层呈断层接触。各线出露厚度不一，3线出露厚度最大，厚度大于 190m。该层为区内次要矿层。</w:t>
            </w:r>
          </w:p>
          <w:p w14:paraId="17CE8919">
            <w:pPr>
              <w:autoSpaceDE w:val="0"/>
              <w:autoSpaceDN w:val="0"/>
              <w:adjustRightInd w:val="0"/>
              <w:snapToGrid w:val="0"/>
              <w:ind w:firstLine="480"/>
              <w:rPr>
                <w:rFonts w:cs="Times New Roman"/>
                <w:szCs w:val="24"/>
              </w:rPr>
            </w:pPr>
            <w:r>
              <w:rPr>
                <w:rFonts w:cs="Times New Roman"/>
                <w:szCs w:val="24"/>
              </w:rPr>
              <w:t>J</w:t>
            </w:r>
            <w:r>
              <w:rPr>
                <w:rFonts w:cs="Times New Roman"/>
                <w:szCs w:val="24"/>
                <w:vertAlign w:val="subscript"/>
              </w:rPr>
              <w:t xml:space="preserve"> 2</w:t>
            </w:r>
            <w:r>
              <w:rPr>
                <w:rFonts w:cs="Times New Roman"/>
                <w:szCs w:val="24"/>
              </w:rPr>
              <w:t xml:space="preserve"> l</w:t>
            </w:r>
            <w:r>
              <w:rPr>
                <w:rFonts w:cs="Times New Roman"/>
                <w:szCs w:val="24"/>
                <w:vertAlign w:val="superscript"/>
              </w:rPr>
              <w:t xml:space="preserve"> 2-2</w:t>
            </w:r>
            <w:r>
              <w:rPr>
                <w:rFonts w:cs="Times New Roman"/>
                <w:szCs w:val="24"/>
              </w:rPr>
              <w:t>：矿区出露最广。为一套深灰～灰黑色中厚层状含生物碎屑凝块灰岩，夹灰黑色硅质灰岩及白云质灰岩，凝块灰岩及白云质灰岩，具隐晶～细粒及凝块结构，块状构造，断口呈贝壳状；硅质灰岩具隐晶～细粒结构，断口呈似贝壳～参差状。该层上部硅质夹层增多。与下伏地层呈整合接触，厚 l60m。受构造及地形切割，3、4 线出露厚仅分别为 65m和10 m。该层系矿区主要矿层。</w:t>
            </w:r>
          </w:p>
          <w:p w14:paraId="0C275A71">
            <w:pPr>
              <w:autoSpaceDE w:val="0"/>
              <w:autoSpaceDN w:val="0"/>
              <w:adjustRightInd w:val="0"/>
              <w:snapToGrid w:val="0"/>
              <w:ind w:firstLine="480"/>
              <w:rPr>
                <w:rFonts w:cs="Times New Roman"/>
                <w:szCs w:val="24"/>
              </w:rPr>
            </w:pPr>
            <w:r>
              <w:rPr>
                <w:rFonts w:cs="Times New Roman"/>
                <w:szCs w:val="24"/>
              </w:rPr>
              <w:t xml:space="preserve">J </w:t>
            </w:r>
            <w:r>
              <w:rPr>
                <w:rFonts w:cs="Times New Roman"/>
                <w:szCs w:val="24"/>
                <w:vertAlign w:val="subscript"/>
              </w:rPr>
              <w:t>2</w:t>
            </w:r>
            <w:r>
              <w:rPr>
                <w:rFonts w:cs="Times New Roman"/>
                <w:szCs w:val="24"/>
              </w:rPr>
              <w:t xml:space="preserve"> l </w:t>
            </w:r>
            <w:r>
              <w:rPr>
                <w:rFonts w:cs="Times New Roman"/>
                <w:szCs w:val="24"/>
                <w:vertAlign w:val="superscript"/>
              </w:rPr>
              <w:t>2-3</w:t>
            </w:r>
            <w:r>
              <w:rPr>
                <w:rFonts w:cs="Times New Roman"/>
                <w:szCs w:val="24"/>
              </w:rPr>
              <w:t>：出露于矿区东北部。为一套中厚层状泥质条带灰岩。具隐晶、微粒结构，块状构造，断口呈参差状，锤击时声音沉闷。氧化钙含量在 4 0％以下，该层为矿层顶板，与下伏地层呈整合接触，受断层切割，3、4 线未出露，1、2 线出露厚分别为 83m、86m。</w:t>
            </w:r>
          </w:p>
          <w:p w14:paraId="26BDC92F">
            <w:pPr>
              <w:autoSpaceDE w:val="0"/>
              <w:autoSpaceDN w:val="0"/>
              <w:adjustRightInd w:val="0"/>
              <w:snapToGrid w:val="0"/>
              <w:ind w:firstLine="480"/>
              <w:rPr>
                <w:rFonts w:cs="Times New Roman"/>
                <w:szCs w:val="24"/>
              </w:rPr>
            </w:pPr>
            <w:r>
              <w:rPr>
                <w:rFonts w:cs="Times New Roman"/>
                <w:szCs w:val="24"/>
              </w:rPr>
              <w:t xml:space="preserve">J </w:t>
            </w:r>
            <w:r>
              <w:rPr>
                <w:rFonts w:cs="Times New Roman"/>
                <w:szCs w:val="24"/>
                <w:vertAlign w:val="subscript"/>
              </w:rPr>
              <w:t>2</w:t>
            </w:r>
            <w:r>
              <w:rPr>
                <w:rFonts w:cs="Times New Roman"/>
                <w:szCs w:val="24"/>
              </w:rPr>
              <w:t xml:space="preserve"> l</w:t>
            </w:r>
            <w:r>
              <w:rPr>
                <w:rFonts w:cs="Times New Roman"/>
                <w:szCs w:val="24"/>
                <w:vertAlign w:val="superscript"/>
              </w:rPr>
              <w:t xml:space="preserve"> 3</w:t>
            </w:r>
            <w:r>
              <w:rPr>
                <w:rFonts w:cs="Times New Roman"/>
                <w:szCs w:val="24"/>
              </w:rPr>
              <w:t>：出露于矿区西部．为一套灰绿色页岩夹褐黄色砂岩，具泥质，砂质结构，页理块状构造。风化后为灰白色、灰绿色及紫红色。与下伏地层呈断层接触，厚度不详。</w:t>
            </w:r>
          </w:p>
          <w:p w14:paraId="7B9D98C0">
            <w:pPr>
              <w:autoSpaceDE w:val="0"/>
              <w:autoSpaceDN w:val="0"/>
              <w:adjustRightInd w:val="0"/>
              <w:snapToGrid w:val="0"/>
              <w:ind w:firstLine="480"/>
              <w:rPr>
                <w:rFonts w:cs="Times New Roman"/>
                <w:szCs w:val="24"/>
              </w:rPr>
            </w:pPr>
            <w:r>
              <w:rPr>
                <w:rFonts w:cs="Times New Roman"/>
                <w:szCs w:val="24"/>
              </w:rPr>
              <w:t>第四系：在矿区分布较广，为一套紫红色、浅黄色粘土。具泥质结构，土状构造，两种颜色的粘土呈混杂状。广布于矿区，一般厚 2～3m，局部地段的厚度在 6.5 m以上。</w:t>
            </w:r>
          </w:p>
          <w:p w14:paraId="6A8668BC">
            <w:pPr>
              <w:autoSpaceDE w:val="0"/>
              <w:autoSpaceDN w:val="0"/>
              <w:adjustRightInd w:val="0"/>
              <w:snapToGrid w:val="0"/>
              <w:ind w:firstLine="480"/>
              <w:rPr>
                <w:rFonts w:cs="Times New Roman"/>
                <w:szCs w:val="24"/>
              </w:rPr>
            </w:pPr>
            <w:r>
              <w:rPr>
                <w:rFonts w:hint="eastAsia" w:ascii="宋体" w:hAnsi="宋体" w:cs="宋体"/>
                <w:szCs w:val="24"/>
              </w:rPr>
              <w:t>②</w:t>
            </w:r>
            <w:r>
              <w:rPr>
                <w:rFonts w:cs="Times New Roman"/>
                <w:szCs w:val="24"/>
              </w:rPr>
              <w:t xml:space="preserve">构造 </w:t>
            </w:r>
          </w:p>
          <w:p w14:paraId="2CD38B30">
            <w:pPr>
              <w:autoSpaceDE w:val="0"/>
              <w:autoSpaceDN w:val="0"/>
              <w:adjustRightInd w:val="0"/>
              <w:snapToGrid w:val="0"/>
              <w:ind w:firstLine="480"/>
              <w:rPr>
                <w:rFonts w:cs="Times New Roman"/>
                <w:szCs w:val="24"/>
              </w:rPr>
            </w:pPr>
            <w:r>
              <w:rPr>
                <w:rFonts w:cs="Times New Roman"/>
                <w:szCs w:val="24"/>
              </w:rPr>
              <w:t>矿区构造由主要褶皱和断层组成。</w:t>
            </w:r>
          </w:p>
          <w:p w14:paraId="26F8227B">
            <w:pPr>
              <w:autoSpaceDE w:val="0"/>
              <w:autoSpaceDN w:val="0"/>
              <w:adjustRightInd w:val="0"/>
              <w:snapToGrid w:val="0"/>
              <w:ind w:firstLine="480"/>
              <w:rPr>
                <w:rFonts w:cs="Times New Roman"/>
                <w:szCs w:val="24"/>
              </w:rPr>
            </w:pPr>
            <w:r>
              <w:rPr>
                <w:rFonts w:cs="Times New Roman"/>
                <w:szCs w:val="24"/>
              </w:rPr>
              <w:t>（1）褶皱：为发现于 F</w:t>
            </w:r>
            <w:r>
              <w:rPr>
                <w:rFonts w:cs="Times New Roman"/>
                <w:szCs w:val="24"/>
                <w:vertAlign w:val="subscript"/>
              </w:rPr>
              <w:t xml:space="preserve"> 3</w:t>
            </w:r>
            <w:r>
              <w:rPr>
                <w:rFonts w:cs="Times New Roman"/>
                <w:szCs w:val="24"/>
              </w:rPr>
              <w:t>断层以北 ZK202～ZK102-ZK03一带，形成于柳湾组第二层第二段地层中的背斜。轴向近南北，西翼产状285～340°</w:t>
            </w:r>
            <w:r>
              <w:rPr>
                <w:rFonts w:hint="eastAsia" w:ascii="宋体" w:hAnsi="宋体" w:cs="宋体"/>
                <w:szCs w:val="24"/>
              </w:rPr>
              <w:t>∠</w:t>
            </w:r>
            <w:r>
              <w:rPr>
                <w:rFonts w:cs="Times New Roman"/>
                <w:szCs w:val="24"/>
              </w:rPr>
              <w:t>20～35°；东翼产状 97～130°</w:t>
            </w:r>
            <w:r>
              <w:rPr>
                <w:rFonts w:hint="eastAsia" w:ascii="宋体" w:hAnsi="宋体" w:cs="宋体"/>
                <w:szCs w:val="24"/>
              </w:rPr>
              <w:t>∠</w:t>
            </w:r>
            <w:r>
              <w:rPr>
                <w:rFonts w:cs="Times New Roman"/>
                <w:szCs w:val="24"/>
              </w:rPr>
              <w:t>30～69°，倾角由0线至2线逐渐变陡。该褶皱控制了F</w:t>
            </w:r>
            <w:r>
              <w:rPr>
                <w:rFonts w:cs="Times New Roman"/>
                <w:szCs w:val="24"/>
                <w:vertAlign w:val="subscript"/>
              </w:rPr>
              <w:t>3</w:t>
            </w:r>
            <w:r>
              <w:rPr>
                <w:rFonts w:cs="Times New Roman"/>
                <w:szCs w:val="24"/>
              </w:rPr>
              <w:t>断层以北矿体形态。</w:t>
            </w:r>
          </w:p>
          <w:p w14:paraId="44F2F240">
            <w:pPr>
              <w:autoSpaceDE w:val="0"/>
              <w:autoSpaceDN w:val="0"/>
              <w:adjustRightInd w:val="0"/>
              <w:snapToGrid w:val="0"/>
              <w:ind w:firstLine="480"/>
              <w:rPr>
                <w:rFonts w:cs="Times New Roman"/>
                <w:szCs w:val="24"/>
              </w:rPr>
            </w:pPr>
            <w:r>
              <w:rPr>
                <w:rFonts w:cs="Times New Roman"/>
                <w:szCs w:val="24"/>
              </w:rPr>
              <w:t>（2）断层：已发现 4 条，编号 F</w:t>
            </w:r>
            <w:r>
              <w:rPr>
                <w:rFonts w:cs="Times New Roman"/>
                <w:szCs w:val="24"/>
                <w:vertAlign w:val="subscript"/>
              </w:rPr>
              <w:t>1</w:t>
            </w:r>
            <w:r>
              <w:rPr>
                <w:rFonts w:cs="Times New Roman"/>
                <w:szCs w:val="24"/>
              </w:rPr>
              <w:t>～F</w:t>
            </w:r>
            <w:r>
              <w:rPr>
                <w:rFonts w:cs="Times New Roman"/>
                <w:szCs w:val="24"/>
                <w:vertAlign w:val="subscript"/>
              </w:rPr>
              <w:t>4</w:t>
            </w:r>
            <w:r>
              <w:rPr>
                <w:rFonts w:cs="Times New Roman"/>
                <w:szCs w:val="24"/>
              </w:rPr>
              <w:t xml:space="preserve"> 。分述如下：</w:t>
            </w:r>
          </w:p>
          <w:p w14:paraId="4402DE4A">
            <w:pPr>
              <w:autoSpaceDE w:val="0"/>
              <w:autoSpaceDN w:val="0"/>
              <w:adjustRightInd w:val="0"/>
              <w:snapToGrid w:val="0"/>
              <w:ind w:firstLine="480"/>
              <w:rPr>
                <w:rFonts w:cs="Times New Roman"/>
                <w:szCs w:val="24"/>
              </w:rPr>
            </w:pPr>
            <w:r>
              <w:rPr>
                <w:rFonts w:hint="eastAsia" w:ascii="宋体" w:hAnsi="宋体" w:cs="宋体"/>
                <w:szCs w:val="24"/>
              </w:rPr>
              <w:t>①</w:t>
            </w:r>
            <w:r>
              <w:rPr>
                <w:rFonts w:cs="Times New Roman"/>
                <w:szCs w:val="24"/>
              </w:rPr>
              <w:t>F</w:t>
            </w:r>
            <w:r>
              <w:rPr>
                <w:rFonts w:cs="Times New Roman"/>
                <w:szCs w:val="24"/>
                <w:vertAlign w:val="subscript"/>
              </w:rPr>
              <w:t>1</w:t>
            </w:r>
            <w:r>
              <w:rPr>
                <w:rFonts w:cs="Times New Roman"/>
                <w:szCs w:val="24"/>
              </w:rPr>
              <w:t>位于矿区西部，走向近 40°，矿区内延伸长＞640m。南东盘为柳湾组第二层灰岩，北西盘为第三层页岩，沿断层有串珠状落水洞发育。报告据区域及 ZK201 钻孔资料推断倾向北西，属正断层。该断层控制了矿体在倾向方向延伸。</w:t>
            </w:r>
          </w:p>
          <w:p w14:paraId="0DB89A48">
            <w:pPr>
              <w:autoSpaceDE w:val="0"/>
              <w:autoSpaceDN w:val="0"/>
              <w:adjustRightInd w:val="0"/>
              <w:snapToGrid w:val="0"/>
              <w:ind w:firstLine="480"/>
              <w:rPr>
                <w:rFonts w:cs="Times New Roman"/>
                <w:szCs w:val="24"/>
              </w:rPr>
            </w:pPr>
            <w:r>
              <w:rPr>
                <w:rFonts w:hint="eastAsia" w:ascii="宋体" w:hAnsi="宋体" w:cs="宋体"/>
                <w:szCs w:val="24"/>
              </w:rPr>
              <w:t>②</w:t>
            </w:r>
            <w:r>
              <w:rPr>
                <w:rFonts w:cs="Times New Roman"/>
                <w:szCs w:val="24"/>
              </w:rPr>
              <w:t>F</w:t>
            </w:r>
            <w:r>
              <w:rPr>
                <w:rFonts w:cs="Times New Roman"/>
                <w:szCs w:val="24"/>
                <w:vertAlign w:val="subscript"/>
              </w:rPr>
              <w:t>2</w:t>
            </w:r>
            <w:r>
              <w:rPr>
                <w:rFonts w:cs="Times New Roman"/>
                <w:szCs w:val="24"/>
              </w:rPr>
              <w:t>位于矿区南部，受控于 F</w:t>
            </w:r>
            <w:r>
              <w:rPr>
                <w:rFonts w:cs="Times New Roman"/>
                <w:szCs w:val="24"/>
                <w:vertAlign w:val="subscript"/>
              </w:rPr>
              <w:t>3</w:t>
            </w:r>
            <w:r>
              <w:rPr>
                <w:rFonts w:cs="Times New Roman"/>
                <w:szCs w:val="24"/>
              </w:rPr>
              <w:t>、F</w:t>
            </w:r>
            <w:r>
              <w:rPr>
                <w:rFonts w:cs="Times New Roman"/>
                <w:szCs w:val="24"/>
                <w:vertAlign w:val="subscript"/>
              </w:rPr>
              <w:t>4</w:t>
            </w:r>
            <w:r>
              <w:rPr>
                <w:rFonts w:cs="Times New Roman"/>
                <w:szCs w:val="24"/>
              </w:rPr>
              <w:t xml:space="preserve"> ，近南北向廷伸长约 400m。倾向西，倾角 50°，局部沿断层面形成宽约 3m 构造破碎带。西盘（上盘）、东盘（下盘）均为柳湾组第二层第一段灰岩，两盘岩性差异不明显，断层性质不明。该断层破坏了矿体沿倾向方向的延伸。</w:t>
            </w:r>
          </w:p>
          <w:p w14:paraId="191FADE0">
            <w:pPr>
              <w:autoSpaceDE w:val="0"/>
              <w:autoSpaceDN w:val="0"/>
              <w:adjustRightInd w:val="0"/>
              <w:snapToGrid w:val="0"/>
              <w:ind w:firstLine="480"/>
              <w:rPr>
                <w:rFonts w:cs="Times New Roman"/>
                <w:szCs w:val="24"/>
              </w:rPr>
            </w:pPr>
            <w:r>
              <w:rPr>
                <w:rFonts w:hint="eastAsia" w:ascii="宋体" w:hAnsi="宋体" w:cs="宋体"/>
                <w:szCs w:val="24"/>
              </w:rPr>
              <w:t>③</w:t>
            </w:r>
            <w:r>
              <w:rPr>
                <w:rFonts w:cs="Times New Roman"/>
                <w:szCs w:val="24"/>
              </w:rPr>
              <w:t>F</w:t>
            </w:r>
            <w:r>
              <w:rPr>
                <w:rFonts w:cs="Times New Roman"/>
                <w:szCs w:val="24"/>
                <w:vertAlign w:val="subscript"/>
              </w:rPr>
              <w:t>3</w:t>
            </w:r>
            <w:r>
              <w:rPr>
                <w:rFonts w:cs="Times New Roman"/>
                <w:szCs w:val="24"/>
              </w:rPr>
              <w:t>位于矿区中部，走向近 300°，倾向不明，矿区内延伸长＞400m。北东盘为柳湾组第二层灰岩、泥质条带灰岩，南西盘为柳湾组第一层粉砂质泥岩及第二层第一、二段灰岩。北段倾向南西，南段倾向北东，两盘错距达 105m。该断层切错了柳湾组第一层、第二层及 F</w:t>
            </w:r>
            <w:r>
              <w:rPr>
                <w:rFonts w:cs="Times New Roman"/>
                <w:szCs w:val="24"/>
                <w:vertAlign w:val="subscript"/>
              </w:rPr>
              <w:t>4</w:t>
            </w:r>
            <w:r>
              <w:rPr>
                <w:rFonts w:cs="Times New Roman"/>
                <w:szCs w:val="24"/>
              </w:rPr>
              <w:t xml:space="preserve"> ，破坏了矿体在走向方向连续性，对矿体形态、规模影响较大。</w:t>
            </w:r>
          </w:p>
          <w:p w14:paraId="11203256">
            <w:pPr>
              <w:autoSpaceDE w:val="0"/>
              <w:autoSpaceDN w:val="0"/>
              <w:adjustRightInd w:val="0"/>
              <w:snapToGrid w:val="0"/>
              <w:ind w:firstLine="480"/>
              <w:rPr>
                <w:rFonts w:cs="Times New Roman"/>
                <w:szCs w:val="24"/>
              </w:rPr>
            </w:pPr>
            <w:r>
              <w:rPr>
                <w:rFonts w:hint="eastAsia" w:ascii="宋体" w:hAnsi="宋体" w:cs="宋体"/>
                <w:szCs w:val="24"/>
              </w:rPr>
              <w:t>④</w:t>
            </w:r>
            <w:r>
              <w:rPr>
                <w:rFonts w:cs="Times New Roman"/>
                <w:szCs w:val="24"/>
              </w:rPr>
              <w:t>F</w:t>
            </w:r>
            <w:r>
              <w:rPr>
                <w:rFonts w:cs="Times New Roman"/>
                <w:szCs w:val="24"/>
                <w:vertAlign w:val="subscript"/>
              </w:rPr>
              <w:t>4</w:t>
            </w:r>
            <w:r>
              <w:rPr>
                <w:rFonts w:cs="Times New Roman"/>
                <w:szCs w:val="24"/>
              </w:rPr>
              <w:t>位于矿区东部，并被 F</w:t>
            </w:r>
            <w:r>
              <w:rPr>
                <w:rFonts w:cs="Times New Roman"/>
                <w:szCs w:val="24"/>
                <w:vertAlign w:val="subscript"/>
              </w:rPr>
              <w:t>3</w:t>
            </w:r>
            <w:r>
              <w:rPr>
                <w:rFonts w:cs="Times New Roman"/>
                <w:szCs w:val="24"/>
              </w:rPr>
              <w:t>切错，总体走向 30°～40°，矿区内延伸长＞l000m。F</w:t>
            </w:r>
            <w:r>
              <w:rPr>
                <w:rFonts w:cs="Times New Roman"/>
                <w:szCs w:val="24"/>
                <w:vertAlign w:val="subscript"/>
              </w:rPr>
              <w:t>3</w:t>
            </w:r>
            <w:r>
              <w:rPr>
                <w:rFonts w:cs="Times New Roman"/>
                <w:szCs w:val="24"/>
              </w:rPr>
              <w:t>断层以北，北西盘为柳湾组第二层第三段泥质条带灰岩，以南为第二层第一段灰岩；南东盘为柳湾组第一层粉砂质泥岩，沿断层可见岩溶漏斗发育。报告要根据区域资料推测，断层面倾向南东，属逆断层。该断层在控制了矿体在倾向方向延伸。</w:t>
            </w:r>
          </w:p>
          <w:p w14:paraId="7994683D">
            <w:pPr>
              <w:autoSpaceDE w:val="0"/>
              <w:autoSpaceDN w:val="0"/>
              <w:adjustRightInd w:val="0"/>
              <w:snapToGrid w:val="0"/>
              <w:ind w:firstLine="480"/>
              <w:rPr>
                <w:rFonts w:cs="Times New Roman"/>
                <w:szCs w:val="24"/>
              </w:rPr>
            </w:pPr>
            <w:r>
              <w:rPr>
                <w:rFonts w:cs="Times New Roman"/>
                <w:szCs w:val="24"/>
              </w:rPr>
              <w:t>（2）地震</w:t>
            </w:r>
          </w:p>
          <w:p w14:paraId="72EA91CF">
            <w:pPr>
              <w:autoSpaceDE w:val="0"/>
              <w:autoSpaceDN w:val="0"/>
              <w:adjustRightInd w:val="0"/>
              <w:snapToGrid w:val="0"/>
              <w:ind w:firstLine="480"/>
              <w:rPr>
                <w:rFonts w:cs="Times New Roman"/>
                <w:szCs w:val="24"/>
              </w:rPr>
            </w:pPr>
            <w:r>
              <w:rPr>
                <w:rFonts w:cs="Times New Roman"/>
                <w:szCs w:val="24"/>
              </w:rPr>
              <w:t>矿区地处龙陵-瑞丽强烈活动断裂带（地震带），地处中-浅源地震区，据《中国地震动参数区划图》（GB18306-2015），矿区地震动峰值加速度值为0.30g，地震反应谱特征周期0.45s，对应的地震基本烈度为</w:t>
            </w:r>
            <w:r>
              <w:rPr>
                <w:rFonts w:hint="eastAsia" w:ascii="宋体" w:hAnsi="宋体" w:cs="宋体"/>
                <w:szCs w:val="24"/>
              </w:rPr>
              <w:t>Ⅷ</w:t>
            </w:r>
            <w:r>
              <w:rPr>
                <w:rFonts w:cs="Times New Roman"/>
                <w:szCs w:val="24"/>
              </w:rPr>
              <w:t>度，设计地震分组为第二组。</w:t>
            </w:r>
          </w:p>
          <w:p w14:paraId="70108494">
            <w:pPr>
              <w:autoSpaceDE w:val="0"/>
              <w:autoSpaceDN w:val="0"/>
              <w:adjustRightInd w:val="0"/>
              <w:snapToGrid w:val="0"/>
              <w:ind w:firstLine="482"/>
              <w:rPr>
                <w:rFonts w:cs="Times New Roman"/>
                <w:b/>
                <w:szCs w:val="24"/>
              </w:rPr>
            </w:pPr>
            <w:r>
              <w:rPr>
                <w:rFonts w:cs="Times New Roman"/>
                <w:b/>
                <w:szCs w:val="24"/>
              </w:rPr>
              <w:t>4、水文地质</w:t>
            </w:r>
          </w:p>
          <w:p w14:paraId="11960251">
            <w:pPr>
              <w:autoSpaceDE w:val="0"/>
              <w:autoSpaceDN w:val="0"/>
              <w:adjustRightInd w:val="0"/>
              <w:snapToGrid w:val="0"/>
              <w:ind w:left="120" w:leftChars="50" w:right="120" w:rightChars="50" w:firstLine="480"/>
              <w:rPr>
                <w:rFonts w:cs="Times New Roman"/>
                <w:szCs w:val="24"/>
              </w:rPr>
            </w:pPr>
            <w:r>
              <w:rPr>
                <w:rFonts w:cs="Times New Roman"/>
                <w:szCs w:val="24"/>
              </w:rPr>
              <w:t>矿区位于区域水文地质单元中岩溶～裂隙含水层区的迳流排泄区，地势北东低南西高，为低中山山地地貌特征。矿区最高点高程1224.15 m，最低点高程890 m（侵蚀基准面），相对高差达334.15 m。矿区地形坡度受岩性、构造控制，其南、东侧因受岩溶崩塌和断层影响，坡度陡峻，北、西侧因其边缘有砂页岩出露，故地形较平缓。现有采场分布于矿区中部和西侧，矿坑涌水来自大气降水的地表汇集，最终渗入地下补给地下水。地下水埋藏深度低于最低开采标高，地下水对矿床开采基本无影响。矿床资源储量估算范围内（标高900 m以上）水文地质属以岩溶含水层直接充水为主的大气降水为主要充水来源的简单类型。</w:t>
            </w:r>
          </w:p>
          <w:p w14:paraId="66C69D1D">
            <w:pPr>
              <w:autoSpaceDE w:val="0"/>
              <w:autoSpaceDN w:val="0"/>
              <w:adjustRightInd w:val="0"/>
              <w:snapToGrid w:val="0"/>
              <w:ind w:firstLine="480"/>
              <w:rPr>
                <w:rFonts w:cs="Times New Roman"/>
                <w:szCs w:val="24"/>
              </w:rPr>
            </w:pPr>
            <w:r>
              <w:rPr>
                <w:rFonts w:cs="Times New Roman"/>
                <w:szCs w:val="24"/>
              </w:rPr>
              <w:t xml:space="preserve">（1）含水层与隔水层 </w:t>
            </w:r>
          </w:p>
          <w:p w14:paraId="48A78606">
            <w:pPr>
              <w:autoSpaceDE w:val="0"/>
              <w:autoSpaceDN w:val="0"/>
              <w:adjustRightInd w:val="0"/>
              <w:snapToGrid w:val="0"/>
              <w:ind w:left="120" w:leftChars="50" w:right="120" w:rightChars="50" w:firstLine="480"/>
              <w:rPr>
                <w:rFonts w:cs="Times New Roman"/>
                <w:szCs w:val="24"/>
              </w:rPr>
            </w:pPr>
            <w:r>
              <w:rPr>
                <w:rFonts w:cs="Times New Roman"/>
                <w:szCs w:val="24"/>
              </w:rPr>
              <w:t>矿区内出露地层依其岩性水文地质特征，并结合地质上的分层分述如下：</w:t>
            </w:r>
          </w:p>
          <w:p w14:paraId="78401BEE">
            <w:pPr>
              <w:autoSpaceDE w:val="0"/>
              <w:autoSpaceDN w:val="0"/>
              <w:adjustRightInd w:val="0"/>
              <w:snapToGrid w:val="0"/>
              <w:ind w:left="120" w:leftChars="50" w:right="120" w:rightChars="50" w:firstLine="480"/>
              <w:rPr>
                <w:rFonts w:cs="Times New Roman"/>
                <w:szCs w:val="24"/>
              </w:rPr>
            </w:pPr>
            <w:r>
              <w:rPr>
                <w:rFonts w:cs="Times New Roman"/>
                <w:szCs w:val="24"/>
              </w:rPr>
              <w:t>(1)Q：残坡积紫红、浅黄色粘土，在矿区分布较广，厚度一般为2～4m，局部地段可达10 m以上，透水性差，为相对隔水层。</w:t>
            </w:r>
          </w:p>
          <w:p w14:paraId="1F7FCD36">
            <w:pPr>
              <w:autoSpaceDE w:val="0"/>
              <w:autoSpaceDN w:val="0"/>
              <w:adjustRightInd w:val="0"/>
              <w:snapToGrid w:val="0"/>
              <w:ind w:left="120" w:leftChars="50" w:right="120" w:rightChars="50" w:firstLine="480"/>
              <w:rPr>
                <w:rFonts w:cs="Times New Roman"/>
                <w:szCs w:val="24"/>
              </w:rPr>
            </w:pPr>
            <w:r>
              <w:rPr>
                <w:rFonts w:cs="Times New Roman"/>
                <w:szCs w:val="24"/>
              </w:rPr>
              <w:t>(2) J</w:t>
            </w:r>
            <w:r>
              <w:rPr>
                <w:rFonts w:cs="Times New Roman"/>
                <w:szCs w:val="24"/>
                <w:vertAlign w:val="subscript"/>
              </w:rPr>
              <w:t>2</w:t>
            </w:r>
            <w:r>
              <w:rPr>
                <w:rFonts w:cs="Times New Roman"/>
                <w:szCs w:val="24"/>
              </w:rPr>
              <w:t>l</w:t>
            </w:r>
            <w:r>
              <w:rPr>
                <w:rFonts w:cs="Times New Roman"/>
                <w:szCs w:val="24"/>
                <w:vertAlign w:val="superscript"/>
              </w:rPr>
              <w:t>3</w:t>
            </w:r>
            <w:r>
              <w:rPr>
                <w:rFonts w:cs="Times New Roman"/>
                <w:szCs w:val="24"/>
              </w:rPr>
              <w:t>：黄绿色页岩夹砂岩。分布于矿区西部，地表风化强烈。岩石节理裂隙发育，含裂隙水，泉水流量l.0～1.2升／秒，为中等裂隙含水层。在矿区边缘出露，对矿床充水无影响。</w:t>
            </w:r>
          </w:p>
          <w:p w14:paraId="68226348">
            <w:pPr>
              <w:autoSpaceDE w:val="0"/>
              <w:autoSpaceDN w:val="0"/>
              <w:adjustRightInd w:val="0"/>
              <w:snapToGrid w:val="0"/>
              <w:ind w:left="120" w:leftChars="50" w:right="120" w:rightChars="50" w:firstLine="480"/>
              <w:rPr>
                <w:rFonts w:cs="Times New Roman"/>
                <w:szCs w:val="24"/>
              </w:rPr>
            </w:pPr>
            <w:r>
              <w:rPr>
                <w:rFonts w:cs="Times New Roman"/>
                <w:szCs w:val="24"/>
              </w:rPr>
              <w:t>(3) J</w:t>
            </w:r>
            <w:r>
              <w:rPr>
                <w:rFonts w:cs="Times New Roman"/>
                <w:szCs w:val="24"/>
                <w:vertAlign w:val="subscript"/>
              </w:rPr>
              <w:t>2</w:t>
            </w:r>
            <w:r>
              <w:rPr>
                <w:rFonts w:cs="Times New Roman"/>
                <w:szCs w:val="24"/>
              </w:rPr>
              <w:t>l</w:t>
            </w:r>
            <w:r>
              <w:rPr>
                <w:rFonts w:cs="Times New Roman"/>
                <w:szCs w:val="24"/>
                <w:vertAlign w:val="superscript"/>
              </w:rPr>
              <w:t>2-3</w:t>
            </w:r>
            <w:r>
              <w:rPr>
                <w:rFonts w:cs="Times New Roman"/>
                <w:szCs w:val="24"/>
              </w:rPr>
              <w:t>：为中厚层泥质条带灰岩。为上部矿层，分布于矿区东北部。地表岩溶较发育，岩溶漏斗、落水洞呈串珠状展布，发育裂隙～岩溶水，为裂隙～岩溶含水层。</w:t>
            </w:r>
          </w:p>
          <w:p w14:paraId="6AE864D2">
            <w:pPr>
              <w:autoSpaceDE w:val="0"/>
              <w:autoSpaceDN w:val="0"/>
              <w:adjustRightInd w:val="0"/>
              <w:snapToGrid w:val="0"/>
              <w:ind w:left="120" w:leftChars="50" w:right="120" w:rightChars="50" w:firstLine="480"/>
              <w:rPr>
                <w:rFonts w:cs="Times New Roman"/>
                <w:szCs w:val="24"/>
              </w:rPr>
            </w:pPr>
            <w:r>
              <w:rPr>
                <w:rFonts w:cs="Times New Roman"/>
                <w:szCs w:val="24"/>
              </w:rPr>
              <w:t>(4) J</w:t>
            </w:r>
            <w:r>
              <w:rPr>
                <w:rFonts w:cs="Times New Roman"/>
                <w:szCs w:val="24"/>
                <w:vertAlign w:val="subscript"/>
              </w:rPr>
              <w:t>2</w:t>
            </w:r>
            <w:r>
              <w:rPr>
                <w:rFonts w:cs="Times New Roman"/>
                <w:szCs w:val="24"/>
              </w:rPr>
              <w:t>l</w:t>
            </w:r>
            <w:r>
              <w:rPr>
                <w:rFonts w:cs="Times New Roman"/>
                <w:szCs w:val="24"/>
                <w:vertAlign w:val="superscript"/>
              </w:rPr>
              <w:t>2-（1+2）</w:t>
            </w:r>
            <w:r>
              <w:rPr>
                <w:rFonts w:cs="Times New Roman"/>
                <w:szCs w:val="24"/>
              </w:rPr>
              <w:t>：中厚层状生物碎屑凝块灰岩，夹硅质灰岩、白云质灰岩及鲕状灰岩，为主矿层。地表岩溶漏斗、落水洞较发育。据钻孔资料深部亦有溶洞，溶蚀裂隙发育，为岩溶～裂隙含水层。泉流量枯季达34.1升／秒。由钻孔水位资料，本层在该区域地下水位埋深在910 m标高之下，矿区范围平均水力坡度约18%。在该地区平均水力坡度达10%左右。矿体在地下水位以上，为强透水不含水层。</w:t>
            </w:r>
          </w:p>
          <w:p w14:paraId="67E1FA20">
            <w:pPr>
              <w:autoSpaceDE w:val="0"/>
              <w:autoSpaceDN w:val="0"/>
              <w:adjustRightInd w:val="0"/>
              <w:snapToGrid w:val="0"/>
              <w:ind w:left="120" w:leftChars="50" w:right="120" w:rightChars="50" w:firstLine="480"/>
              <w:rPr>
                <w:rFonts w:cs="Times New Roman"/>
                <w:szCs w:val="24"/>
              </w:rPr>
            </w:pPr>
            <w:r>
              <w:rPr>
                <w:rFonts w:cs="Times New Roman"/>
                <w:szCs w:val="24"/>
              </w:rPr>
              <w:t>(5) J</w:t>
            </w:r>
            <w:r>
              <w:rPr>
                <w:rFonts w:cs="Times New Roman"/>
                <w:szCs w:val="24"/>
                <w:vertAlign w:val="subscript"/>
              </w:rPr>
              <w:t>2</w:t>
            </w:r>
            <w:r>
              <w:rPr>
                <w:rFonts w:cs="Times New Roman"/>
                <w:szCs w:val="24"/>
              </w:rPr>
              <w:t>l</w:t>
            </w:r>
            <w:r>
              <w:rPr>
                <w:rFonts w:cs="Times New Roman"/>
                <w:szCs w:val="24"/>
                <w:vertAlign w:val="superscript"/>
              </w:rPr>
              <w:t>1</w:t>
            </w:r>
            <w:r>
              <w:rPr>
                <w:rFonts w:cs="Times New Roman"/>
                <w:szCs w:val="24"/>
              </w:rPr>
              <w:t>：浅黄色粉砂质泥岩，地表风化强烈。地层节理、裂隙发育。含裂隙水，泉水流量0.05～0.1升／秒，水量较小，为弱含水层。在矿区边缘出露，远离矿坑，对矿床充水无影响。</w:t>
            </w:r>
          </w:p>
          <w:p w14:paraId="610A9647">
            <w:pPr>
              <w:autoSpaceDE w:val="0"/>
              <w:autoSpaceDN w:val="0"/>
              <w:adjustRightInd w:val="0"/>
              <w:snapToGrid w:val="0"/>
              <w:ind w:left="120" w:leftChars="50" w:right="120" w:rightChars="50" w:firstLine="480"/>
              <w:rPr>
                <w:rFonts w:cs="Times New Roman"/>
                <w:szCs w:val="24"/>
              </w:rPr>
            </w:pPr>
            <w:r>
              <w:rPr>
                <w:rFonts w:cs="Times New Roman"/>
                <w:szCs w:val="24"/>
              </w:rPr>
              <w:t>通过钻孔揭露，本区地下水埋藏于矿体以下，地下岩溶较为发育。目前形成的采坑位于矿区中部和西侧，采坑底部标高1000 m，采场排水方式主要为自然排泄，一般雨停几小时后积水自然消散，采场内基本无积水。采场内未见溶洞等岩溶情况。</w:t>
            </w:r>
          </w:p>
          <w:p w14:paraId="000D9D32">
            <w:pPr>
              <w:autoSpaceDE w:val="0"/>
              <w:autoSpaceDN w:val="0"/>
              <w:adjustRightInd w:val="0"/>
              <w:snapToGrid w:val="0"/>
              <w:ind w:firstLine="480"/>
              <w:rPr>
                <w:rFonts w:cs="Times New Roman"/>
                <w:szCs w:val="24"/>
              </w:rPr>
            </w:pPr>
            <w:r>
              <w:rPr>
                <w:rFonts w:cs="Times New Roman"/>
                <w:szCs w:val="24"/>
              </w:rPr>
              <w:t>（2）地下水补、径、排条件</w:t>
            </w:r>
          </w:p>
          <w:p w14:paraId="1F9CB89B">
            <w:pPr>
              <w:autoSpaceDE w:val="0"/>
              <w:autoSpaceDN w:val="0"/>
              <w:adjustRightInd w:val="0"/>
              <w:snapToGrid w:val="0"/>
              <w:ind w:left="120" w:leftChars="50" w:right="120" w:rightChars="50" w:firstLine="480"/>
              <w:rPr>
                <w:rFonts w:cs="Times New Roman"/>
                <w:szCs w:val="24"/>
              </w:rPr>
            </w:pPr>
            <w:r>
              <w:rPr>
                <w:rFonts w:cs="Times New Roman"/>
                <w:szCs w:val="24"/>
              </w:rPr>
              <w:t>由矿区各含水层出露和埋藏条件的不同，其补给迳流、排泄条件有差异。出露于矿区北西、南东部的砂页岩、砂质泥岩(J</w:t>
            </w:r>
            <w:r>
              <w:rPr>
                <w:rFonts w:cs="Times New Roman"/>
                <w:szCs w:val="24"/>
                <w:vertAlign w:val="subscript"/>
              </w:rPr>
              <w:t>2</w:t>
            </w:r>
            <w:r>
              <w:rPr>
                <w:rFonts w:cs="Times New Roman"/>
                <w:szCs w:val="24"/>
              </w:rPr>
              <w:t>l</w:t>
            </w:r>
            <w:r>
              <w:rPr>
                <w:rFonts w:cs="Times New Roman"/>
                <w:szCs w:val="24"/>
                <w:vertAlign w:val="superscript"/>
              </w:rPr>
              <w:t>1</w:t>
            </w:r>
            <w:r>
              <w:rPr>
                <w:rFonts w:cs="Times New Roman"/>
                <w:szCs w:val="24"/>
              </w:rPr>
              <w:t>、J</w:t>
            </w:r>
            <w:r>
              <w:rPr>
                <w:rFonts w:cs="Times New Roman"/>
                <w:szCs w:val="24"/>
                <w:vertAlign w:val="subscript"/>
              </w:rPr>
              <w:t>2</w:t>
            </w:r>
            <w:r>
              <w:rPr>
                <w:rFonts w:cs="Times New Roman"/>
                <w:szCs w:val="24"/>
              </w:rPr>
              <w:t>l</w:t>
            </w:r>
            <w:r>
              <w:rPr>
                <w:rFonts w:cs="Times New Roman"/>
                <w:szCs w:val="24"/>
                <w:vertAlign w:val="superscript"/>
              </w:rPr>
              <w:t>3</w:t>
            </w:r>
            <w:r>
              <w:rPr>
                <w:rFonts w:cs="Times New Roman"/>
                <w:szCs w:val="24"/>
              </w:rPr>
              <w:t>)以接受大气降水为唯一地下水补给来源，然后随地形切割深度在其低凹处以泉水形式或沿断层带排泄。地下水流向受地形控制，在矿区一般由北西、南西向南东、北东向排泄，大部分补给灰岩含水层。在矿区分布广泛的灰岩含水层（J</w:t>
            </w:r>
            <w:r>
              <w:rPr>
                <w:rFonts w:cs="Times New Roman"/>
                <w:szCs w:val="24"/>
                <w:vertAlign w:val="subscript"/>
              </w:rPr>
              <w:t>2</w:t>
            </w:r>
            <w:r>
              <w:rPr>
                <w:rFonts w:cs="Times New Roman"/>
                <w:szCs w:val="24"/>
              </w:rPr>
              <w:t>l</w:t>
            </w:r>
            <w:r>
              <w:rPr>
                <w:rFonts w:cs="Times New Roman"/>
                <w:szCs w:val="24"/>
                <w:vertAlign w:val="superscript"/>
              </w:rPr>
              <w:t>2-（1+2）</w:t>
            </w:r>
            <w:r>
              <w:rPr>
                <w:rFonts w:cs="Times New Roman"/>
                <w:szCs w:val="24"/>
              </w:rPr>
              <w:t>)，以接受当地大气降水渗入补给，并接受上游溪沟及砂页岩层中的泉水渗入补给。其灰岩含水层在矿区已基本上形成一个独立的水文地质单元。在接受上述水源</w:t>
            </w:r>
            <w:r>
              <w:rPr>
                <w:rFonts w:hint="eastAsia" w:cs="Times New Roman"/>
                <w:szCs w:val="24"/>
                <w:lang w:eastAsia="zh-CN"/>
              </w:rPr>
              <w:t>补给</w:t>
            </w:r>
            <w:r>
              <w:rPr>
                <w:rFonts w:cs="Times New Roman"/>
                <w:szCs w:val="24"/>
              </w:rPr>
              <w:t>后，经岩溶裂隙、暗河通道，由南西向北东向流动，集中于户育龙洞排泄出区外。该层地下水水量丰富。户育暗河龙洞水流量旱季在34—45升／秒之间。暴雨时，流量可增大10～20倍。水浑浊，从暴雨开始至流量增大时间一般在l0分钟内。暴雨后2～3天即恢复原状。</w:t>
            </w:r>
          </w:p>
          <w:p w14:paraId="2DC43E72">
            <w:pPr>
              <w:autoSpaceDE w:val="0"/>
              <w:autoSpaceDN w:val="0"/>
              <w:adjustRightInd w:val="0"/>
              <w:snapToGrid w:val="0"/>
              <w:ind w:left="120" w:leftChars="50" w:right="120" w:rightChars="50" w:firstLine="480"/>
              <w:rPr>
                <w:rFonts w:cs="Times New Roman"/>
                <w:szCs w:val="24"/>
              </w:rPr>
            </w:pPr>
            <w:r>
              <w:rPr>
                <w:rFonts w:cs="Times New Roman"/>
                <w:szCs w:val="24"/>
              </w:rPr>
              <w:t>目前形成的采坑位于矿区西侧，采坑底部标高1000 m，采场排水方式主要为自然排泄，采场内基本无积水。</w:t>
            </w:r>
          </w:p>
          <w:p w14:paraId="4084076E">
            <w:pPr>
              <w:autoSpaceDE w:val="0"/>
              <w:autoSpaceDN w:val="0"/>
              <w:adjustRightInd w:val="0"/>
              <w:snapToGrid w:val="0"/>
              <w:ind w:firstLine="482"/>
              <w:rPr>
                <w:rFonts w:cs="Times New Roman"/>
                <w:b/>
              </w:rPr>
            </w:pPr>
            <w:r>
              <w:rPr>
                <w:rFonts w:cs="Times New Roman"/>
                <w:b/>
              </w:rPr>
              <w:t>5、气候</w:t>
            </w:r>
          </w:p>
          <w:p w14:paraId="4AC40EDF">
            <w:pPr>
              <w:autoSpaceDE w:val="0"/>
              <w:autoSpaceDN w:val="0"/>
              <w:adjustRightInd w:val="0"/>
              <w:snapToGrid w:val="0"/>
              <w:ind w:firstLine="480"/>
              <w:rPr>
                <w:rFonts w:cs="Times New Roman"/>
              </w:rPr>
            </w:pPr>
            <w:r>
              <w:rPr>
                <w:rFonts w:cs="Times New Roman"/>
              </w:rPr>
              <w:t>芒市地处低纬高原，热量丰富，</w:t>
            </w:r>
            <w:r>
              <w:rPr>
                <w:rFonts w:hint="eastAsia" w:cs="Times New Roman"/>
                <w:lang w:val="en-US" w:eastAsia="zh-CN"/>
              </w:rPr>
              <w:t>气候</w:t>
            </w:r>
            <w:r>
              <w:rPr>
                <w:rFonts w:cs="Times New Roman"/>
              </w:rPr>
              <w:t>温和，属南亚热带季风气候，具有夏长冬短、干湿分明、冬无严寒、夏无酷暑，日照时间长、雨量充沛、冬季多雾等特点。年平均气温19.6</w:t>
            </w:r>
            <w:r>
              <w:rPr>
                <w:rFonts w:hint="eastAsia" w:ascii="宋体" w:hAnsi="宋体" w:cs="宋体"/>
              </w:rPr>
              <w:t>℃</w:t>
            </w:r>
            <w:r>
              <w:rPr>
                <w:rFonts w:cs="Times New Roman"/>
              </w:rPr>
              <w:t>，最热月（6月）平均气温24.1</w:t>
            </w:r>
            <w:r>
              <w:rPr>
                <w:rFonts w:hint="eastAsia" w:ascii="宋体" w:hAnsi="宋体" w:cs="宋体"/>
              </w:rPr>
              <w:t>℃</w:t>
            </w:r>
            <w:r>
              <w:rPr>
                <w:rFonts w:cs="Times New Roman"/>
              </w:rPr>
              <w:t>，最冷月（1月）平均气温12.3</w:t>
            </w:r>
            <w:r>
              <w:rPr>
                <w:rFonts w:hint="eastAsia" w:ascii="宋体" w:hAnsi="宋体" w:cs="宋体"/>
              </w:rPr>
              <w:t>℃</w:t>
            </w:r>
            <w:r>
              <w:rPr>
                <w:rFonts w:cs="Times New Roman"/>
              </w:rPr>
              <w:t>，极端最高气温36.2</w:t>
            </w:r>
            <w:r>
              <w:rPr>
                <w:rFonts w:hint="eastAsia" w:ascii="宋体" w:hAnsi="宋体" w:cs="宋体"/>
              </w:rPr>
              <w:t>℃</w:t>
            </w:r>
            <w:r>
              <w:rPr>
                <w:rFonts w:cs="Times New Roman"/>
              </w:rPr>
              <w:t>，极端最低气温-0.6</w:t>
            </w:r>
            <w:r>
              <w:rPr>
                <w:rFonts w:hint="eastAsia" w:ascii="宋体" w:hAnsi="宋体" w:cs="宋体"/>
              </w:rPr>
              <w:t>℃</w:t>
            </w:r>
            <w:r>
              <w:rPr>
                <w:rFonts w:cs="Times New Roman"/>
              </w:rPr>
              <w:t>（1963年1月5日），年积温7170</w:t>
            </w:r>
            <w:r>
              <w:rPr>
                <w:rFonts w:hint="eastAsia" w:ascii="宋体" w:hAnsi="宋体" w:cs="宋体"/>
              </w:rPr>
              <w:t>℃</w:t>
            </w:r>
            <w:r>
              <w:rPr>
                <w:rFonts w:cs="Times New Roman"/>
              </w:rPr>
              <w:t>。年平均降水量1654.6㎜，年最多降水量2294.4mm，年最少降水量1177.3mm（2006年），雨季（5～10月）降水量占全年降水量的89%，年平均降雨日数170天，一日最大降水量158.3mm。日照时数2252.9小时，蒸发量1723.6mm，无霜期315天，多年平均降水量1959.4mm，主导风向为西南风，年平均风速为0.9m/s。</w:t>
            </w:r>
          </w:p>
          <w:p w14:paraId="79A03222">
            <w:pPr>
              <w:autoSpaceDE w:val="0"/>
              <w:autoSpaceDN w:val="0"/>
              <w:adjustRightInd w:val="0"/>
              <w:snapToGrid w:val="0"/>
              <w:ind w:firstLine="482"/>
              <w:rPr>
                <w:rFonts w:cs="Times New Roman"/>
                <w:b/>
              </w:rPr>
            </w:pPr>
            <w:r>
              <w:rPr>
                <w:rFonts w:cs="Times New Roman"/>
                <w:b/>
              </w:rPr>
              <w:t>6、河流水系</w:t>
            </w:r>
          </w:p>
          <w:p w14:paraId="45A7715E">
            <w:pPr>
              <w:autoSpaceDE w:val="0"/>
              <w:autoSpaceDN w:val="0"/>
              <w:adjustRightInd w:val="0"/>
              <w:snapToGrid w:val="0"/>
              <w:ind w:firstLine="480"/>
              <w:rPr>
                <w:rFonts w:cs="Times New Roman"/>
              </w:rPr>
            </w:pPr>
            <w:r>
              <w:rPr>
                <w:rFonts w:cs="Times New Roman"/>
              </w:rPr>
              <w:t>芒市水系主要有“三江四河”。三江：大盈江、瑞丽江（陇川江）、怒江；四河：芒市河、南畹河、户撒河、芒东河（萝卜坝河）。芒市年平均总产水量31.8亿立方米，其中地表水23.11亿立方米，地下水8.69亿立方米。</w:t>
            </w:r>
          </w:p>
          <w:p w14:paraId="6103D8FF">
            <w:pPr>
              <w:autoSpaceDE w:val="0"/>
              <w:autoSpaceDN w:val="0"/>
              <w:adjustRightInd w:val="0"/>
              <w:snapToGrid w:val="0"/>
              <w:ind w:firstLine="480"/>
              <w:rPr>
                <w:rFonts w:cs="Times New Roman"/>
                <w:bCs/>
                <w:lang w:val="zh-CN"/>
              </w:rPr>
            </w:pPr>
            <w:r>
              <w:rPr>
                <w:rFonts w:cs="Times New Roman"/>
                <w:bCs/>
                <w:lang w:val="zh-CN"/>
              </w:rPr>
              <w:t>本项目纳污水体为项目矿界东侧650m的南相章河，南相章河属于戈朗河的左岸支流，戈朗河</w:t>
            </w:r>
            <w:r>
              <w:rPr>
                <w:rFonts w:cs="Times New Roman"/>
              </w:rPr>
              <w:t>属于芒市大河的左岸支流，芒市大河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 米。芒市河径流面积1830.5平方公里，主河长102.1 千米，河道平均坡度11‰，多年平均径流量20.6 亿立方米，水能理论蕴藏量35.34 万千瓦。</w:t>
            </w:r>
          </w:p>
          <w:p w14:paraId="650CB3A6">
            <w:pPr>
              <w:autoSpaceDE w:val="0"/>
              <w:autoSpaceDN w:val="0"/>
              <w:adjustRightInd w:val="0"/>
              <w:snapToGrid w:val="0"/>
              <w:ind w:firstLine="480"/>
              <w:rPr>
                <w:rFonts w:cs="Times New Roman"/>
              </w:rPr>
            </w:pPr>
            <w:r>
              <w:rPr>
                <w:rFonts w:cs="Times New Roman"/>
              </w:rPr>
              <w:t>项目区水系图详见附图2。</w:t>
            </w:r>
          </w:p>
          <w:p w14:paraId="0E3DDC54">
            <w:pPr>
              <w:autoSpaceDE w:val="0"/>
              <w:autoSpaceDN w:val="0"/>
              <w:adjustRightInd w:val="0"/>
              <w:snapToGrid w:val="0"/>
              <w:ind w:firstLine="482"/>
              <w:rPr>
                <w:rFonts w:cs="Times New Roman"/>
                <w:b/>
              </w:rPr>
            </w:pPr>
            <w:r>
              <w:rPr>
                <w:rFonts w:cs="Times New Roman"/>
                <w:b/>
              </w:rPr>
              <w:t>7、植被与生物多样性</w:t>
            </w:r>
          </w:p>
          <w:p w14:paraId="33C54648">
            <w:pPr>
              <w:autoSpaceDE w:val="0"/>
              <w:autoSpaceDN w:val="0"/>
              <w:adjustRightInd w:val="0"/>
              <w:snapToGrid w:val="0"/>
              <w:ind w:firstLine="480"/>
              <w:rPr>
                <w:rFonts w:cs="Times New Roman"/>
              </w:rPr>
            </w:pPr>
            <w:r>
              <w:rPr>
                <w:rFonts w:cs="Times New Roman"/>
              </w:rPr>
              <w:t>项目评价区的植被可以分自然植被和人工植被两大类型，自然植被是未经人为种植而自然形成的植被类型，人工植被是由人工种植形成的植被。评价区海拔介于830~1225m之间，由于长时间的人为活动影响，评价区目前的植被类型已发生了改变，原生植被大量消失，次生植被主要是稀疏灌木草丛和旱冬瓜灌丛。</w:t>
            </w:r>
          </w:p>
          <w:p w14:paraId="15BEE690">
            <w:pPr>
              <w:autoSpaceDE w:val="0"/>
              <w:autoSpaceDN w:val="0"/>
              <w:adjustRightInd w:val="0"/>
              <w:snapToGrid w:val="0"/>
              <w:ind w:firstLine="480"/>
              <w:rPr>
                <w:rFonts w:cs="Times New Roman"/>
              </w:rPr>
            </w:pPr>
            <w:r>
              <w:rPr>
                <w:rFonts w:cs="Times New Roman"/>
              </w:rPr>
              <w:t>稀疏灌木草丛植物主要为</w:t>
            </w:r>
            <w:r>
              <w:rPr>
                <w:rFonts w:cs="Times New Roman"/>
                <w:szCs w:val="24"/>
              </w:rPr>
              <w:t>红木荷、</w:t>
            </w:r>
            <w:r>
              <w:rPr>
                <w:rFonts w:cs="Times New Roman"/>
                <w:kern w:val="0"/>
                <w:szCs w:val="24"/>
              </w:rPr>
              <w:t>白穗石栎</w:t>
            </w:r>
            <w:r>
              <w:rPr>
                <w:rFonts w:cs="Times New Roman"/>
                <w:szCs w:val="24"/>
              </w:rPr>
              <w:t>、七里香、水茄、洗碗叶、香泽兰</w:t>
            </w:r>
            <w:r>
              <w:rPr>
                <w:rFonts w:cs="Times New Roman"/>
              </w:rPr>
              <w:t>等种类；旱冬瓜灌丛植物主要为</w:t>
            </w:r>
            <w:r>
              <w:rPr>
                <w:rFonts w:cs="Times New Roman"/>
                <w:szCs w:val="24"/>
              </w:rPr>
              <w:t>旱冬瓜</w:t>
            </w:r>
            <w:r>
              <w:rPr>
                <w:rFonts w:cs="Times New Roman"/>
                <w:i/>
                <w:iCs/>
                <w:kern w:val="0"/>
                <w:szCs w:val="24"/>
              </w:rPr>
              <w:t>、</w:t>
            </w:r>
            <w:r>
              <w:rPr>
                <w:rFonts w:cs="Times New Roman"/>
                <w:szCs w:val="24"/>
              </w:rPr>
              <w:t>云南黄杞、红木荷、白檀、网叶山胡椒、卵叶悬钩子</w:t>
            </w:r>
            <w:r>
              <w:rPr>
                <w:rFonts w:cs="Times New Roman"/>
              </w:rPr>
              <w:t>等种类；人工植被类型主要为柏枝树、苦竹及农田植被。</w:t>
            </w:r>
          </w:p>
          <w:p w14:paraId="7DBCD463">
            <w:pPr>
              <w:autoSpaceDE w:val="0"/>
              <w:autoSpaceDN w:val="0"/>
              <w:adjustRightInd w:val="0"/>
              <w:snapToGrid w:val="0"/>
              <w:ind w:firstLine="480"/>
              <w:rPr>
                <w:rFonts w:cs="Times New Roman"/>
                <w:b/>
              </w:rPr>
            </w:pPr>
            <w:r>
              <w:rPr>
                <w:rFonts w:cs="Times New Roman"/>
              </w:rPr>
              <w:t>评价区范围内未发现野生的国家或省级珍稀保护植物物种，亦未发现名木古树。</w:t>
            </w:r>
          </w:p>
          <w:p w14:paraId="481AB041">
            <w:pPr>
              <w:autoSpaceDE w:val="0"/>
              <w:autoSpaceDN w:val="0"/>
              <w:adjustRightInd w:val="0"/>
              <w:snapToGrid w:val="0"/>
              <w:ind w:firstLine="480"/>
              <w:rPr>
                <w:rFonts w:cs="Times New Roman"/>
              </w:rPr>
            </w:pPr>
            <w:r>
              <w:rPr>
                <w:rFonts w:cs="Times New Roman"/>
              </w:rPr>
              <w:t>项目评价区人类活动频繁，野生动物主要为当地常见种，缺乏大型兽类及鸟类，兽类主要有云南兔、松鼠、田鼠、家鼠、蝙蝠等啮齿类小型动物；鸟类主要有杜鹃、喜鹊、家燕、麻雀、黄鹂、乌鸦等；爬行类主要有壁虎、四脚蛇、菜花蛇等；两栖类主要有林蛙、青蛙、蟾蜍等。经调查，评价区未发现国家及省级重点保护的野生动物。经调查，区内野生动物的种类和数量均不丰富，均为常见种，评价区范围内未发现珍稀濒危保护动物和地方特有种。</w:t>
            </w:r>
          </w:p>
          <w:p w14:paraId="151768A9">
            <w:pPr>
              <w:autoSpaceDE w:val="0"/>
              <w:autoSpaceDN w:val="0"/>
              <w:adjustRightInd w:val="0"/>
              <w:snapToGrid w:val="0"/>
              <w:ind w:firstLine="480"/>
              <w:rPr>
                <w:rFonts w:cs="Times New Roman"/>
              </w:rPr>
            </w:pPr>
          </w:p>
          <w:p w14:paraId="65CDE4F8">
            <w:pPr>
              <w:autoSpaceDE w:val="0"/>
              <w:autoSpaceDN w:val="0"/>
              <w:adjustRightInd w:val="0"/>
              <w:snapToGrid w:val="0"/>
              <w:ind w:firstLine="480"/>
              <w:rPr>
                <w:rFonts w:cs="Times New Roman"/>
              </w:rPr>
            </w:pPr>
          </w:p>
          <w:p w14:paraId="22BEC9DB">
            <w:pPr>
              <w:autoSpaceDE w:val="0"/>
              <w:autoSpaceDN w:val="0"/>
              <w:adjustRightInd w:val="0"/>
              <w:snapToGrid w:val="0"/>
              <w:ind w:firstLine="480"/>
              <w:rPr>
                <w:rFonts w:cs="Times New Roman"/>
              </w:rPr>
            </w:pPr>
          </w:p>
          <w:p w14:paraId="085032E9">
            <w:pPr>
              <w:autoSpaceDE w:val="0"/>
              <w:autoSpaceDN w:val="0"/>
              <w:adjustRightInd w:val="0"/>
              <w:snapToGrid w:val="0"/>
              <w:ind w:firstLine="480"/>
              <w:rPr>
                <w:rFonts w:cs="Times New Roman"/>
              </w:rPr>
            </w:pPr>
          </w:p>
          <w:p w14:paraId="4E64ACF9">
            <w:pPr>
              <w:autoSpaceDE w:val="0"/>
              <w:autoSpaceDN w:val="0"/>
              <w:adjustRightInd w:val="0"/>
              <w:snapToGrid w:val="0"/>
              <w:ind w:firstLine="480"/>
              <w:rPr>
                <w:rFonts w:cs="Times New Roman"/>
              </w:rPr>
            </w:pPr>
          </w:p>
          <w:p w14:paraId="2EDA7F65">
            <w:pPr>
              <w:autoSpaceDE w:val="0"/>
              <w:autoSpaceDN w:val="0"/>
              <w:adjustRightInd w:val="0"/>
              <w:snapToGrid w:val="0"/>
              <w:ind w:firstLine="480"/>
              <w:rPr>
                <w:rFonts w:cs="Times New Roman"/>
              </w:rPr>
            </w:pPr>
          </w:p>
          <w:p w14:paraId="0139D6F9">
            <w:pPr>
              <w:autoSpaceDE w:val="0"/>
              <w:autoSpaceDN w:val="0"/>
              <w:adjustRightInd w:val="0"/>
              <w:snapToGrid w:val="0"/>
              <w:ind w:firstLine="480"/>
              <w:rPr>
                <w:rFonts w:cs="Times New Roman"/>
              </w:rPr>
            </w:pPr>
          </w:p>
          <w:p w14:paraId="60A160DA">
            <w:pPr>
              <w:autoSpaceDE w:val="0"/>
              <w:autoSpaceDN w:val="0"/>
              <w:adjustRightInd w:val="0"/>
              <w:snapToGrid w:val="0"/>
              <w:ind w:firstLine="480"/>
              <w:rPr>
                <w:rFonts w:cs="Times New Roman"/>
              </w:rPr>
            </w:pPr>
          </w:p>
          <w:p w14:paraId="52711787">
            <w:pPr>
              <w:autoSpaceDE w:val="0"/>
              <w:autoSpaceDN w:val="0"/>
              <w:adjustRightInd w:val="0"/>
              <w:snapToGrid w:val="0"/>
              <w:ind w:firstLine="480"/>
              <w:rPr>
                <w:rFonts w:cs="Times New Roman"/>
              </w:rPr>
            </w:pPr>
          </w:p>
          <w:p w14:paraId="306A95D9">
            <w:pPr>
              <w:autoSpaceDE w:val="0"/>
              <w:autoSpaceDN w:val="0"/>
              <w:adjustRightInd w:val="0"/>
              <w:snapToGrid w:val="0"/>
              <w:ind w:firstLine="480"/>
              <w:rPr>
                <w:rFonts w:cs="Times New Roman"/>
              </w:rPr>
            </w:pPr>
          </w:p>
          <w:p w14:paraId="0AFDD0C3">
            <w:pPr>
              <w:autoSpaceDE w:val="0"/>
              <w:autoSpaceDN w:val="0"/>
              <w:adjustRightInd w:val="0"/>
              <w:snapToGrid w:val="0"/>
              <w:ind w:firstLine="0" w:firstLineChars="0"/>
              <w:rPr>
                <w:rFonts w:cs="Times New Roman"/>
              </w:rPr>
            </w:pPr>
          </w:p>
          <w:p w14:paraId="74F55F85">
            <w:pPr>
              <w:autoSpaceDE w:val="0"/>
              <w:autoSpaceDN w:val="0"/>
              <w:adjustRightInd w:val="0"/>
              <w:snapToGrid w:val="0"/>
              <w:ind w:firstLine="480"/>
              <w:rPr>
                <w:rFonts w:cs="Times New Roman"/>
              </w:rPr>
            </w:pPr>
          </w:p>
          <w:p w14:paraId="7B31E7A3">
            <w:pPr>
              <w:autoSpaceDE w:val="0"/>
              <w:autoSpaceDN w:val="0"/>
              <w:adjustRightInd w:val="0"/>
              <w:snapToGrid w:val="0"/>
              <w:ind w:firstLine="480"/>
              <w:rPr>
                <w:rFonts w:cs="Times New Roman"/>
              </w:rPr>
            </w:pPr>
          </w:p>
        </w:tc>
      </w:tr>
    </w:tbl>
    <w:p w14:paraId="21348778">
      <w:pPr>
        <w:widowControl/>
        <w:spacing w:line="240" w:lineRule="auto"/>
        <w:ind w:firstLine="0" w:firstLineChars="0"/>
        <w:rPr>
          <w:rFonts w:cs="Times New Roman"/>
        </w:rPr>
      </w:pPr>
      <w:r>
        <w:rPr>
          <w:rFonts w:cs="Times New Roman"/>
        </w:rPr>
        <w:br w:type="page"/>
      </w:r>
    </w:p>
    <w:p w14:paraId="5C80F08A">
      <w:pPr>
        <w:pStyle w:val="3"/>
        <w:rPr>
          <w:rFonts w:cs="Times New Roman"/>
        </w:rPr>
      </w:pPr>
      <w:bookmarkStart w:id="11" w:name="_Toc480991553"/>
      <w:bookmarkStart w:id="12" w:name="_Toc509498233"/>
      <w:bookmarkStart w:id="13" w:name="_Toc509498032"/>
      <w:bookmarkStart w:id="14" w:name="_Toc480990433"/>
      <w:r>
        <w:rPr>
          <w:rFonts w:cs="Times New Roman"/>
        </w:rPr>
        <w:t>表三、环境质量状况</w:t>
      </w:r>
      <w:bookmarkEnd w:id="11"/>
      <w:bookmarkEnd w:id="12"/>
      <w:bookmarkEnd w:id="13"/>
      <w:bookmarkEnd w:id="14"/>
    </w:p>
    <w:tbl>
      <w:tblPr>
        <w:tblStyle w:val="22"/>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14:paraId="7A65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3B973E3A">
            <w:pPr>
              <w:ind w:firstLine="0" w:firstLineChars="0"/>
              <w:rPr>
                <w:rFonts w:cs="Times New Roman"/>
                <w:b/>
              </w:rPr>
            </w:pPr>
            <w:r>
              <w:rPr>
                <w:rFonts w:cs="Times New Roman"/>
                <w:b/>
              </w:rPr>
              <w:t>建设项目所在地区域环境质量现状及主要环境问题（环境空气、地表水、地下水、声环境、生态环境等）：</w:t>
            </w:r>
          </w:p>
          <w:p w14:paraId="0672D448">
            <w:pPr>
              <w:ind w:firstLine="482"/>
              <w:rPr>
                <w:rFonts w:cs="Times New Roman"/>
                <w:b/>
              </w:rPr>
            </w:pPr>
            <w:r>
              <w:rPr>
                <w:rFonts w:cs="Times New Roman"/>
                <w:b/>
              </w:rPr>
              <w:t>1、环境空气</w:t>
            </w:r>
          </w:p>
          <w:p w14:paraId="63C08936">
            <w:pPr>
              <w:ind w:firstLine="480"/>
              <w:rPr>
                <w:rFonts w:cs="Times New Roman"/>
                <w:bCs/>
                <w:szCs w:val="24"/>
              </w:rPr>
            </w:pPr>
            <w:r>
              <w:rPr>
                <w:rFonts w:cs="Times New Roman"/>
              </w:rPr>
              <w:t>本项目位于芒市风平镇户育村</w:t>
            </w:r>
            <w:r>
              <w:rPr>
                <w:rFonts w:cs="Times New Roman"/>
                <w:bCs/>
              </w:rPr>
              <w:t>，</w:t>
            </w:r>
            <w:r>
              <w:rPr>
                <w:rFonts w:cs="Times New Roman"/>
                <w:bCs/>
                <w:szCs w:val="24"/>
              </w:rPr>
              <w:t>属于环境空气功能区二类区，执行《环境空气质量标准》（GB3095-2012）中二级标准。</w:t>
            </w:r>
          </w:p>
          <w:p w14:paraId="2F869CDB">
            <w:pPr>
              <w:ind w:firstLine="480"/>
              <w:jc w:val="both"/>
              <w:rPr>
                <w:rFonts w:cs="Times New Roman"/>
                <w:color w:val="FF0000"/>
              </w:rPr>
            </w:pPr>
            <w:r>
              <w:rPr>
                <w:rFonts w:cs="Times New Roman"/>
                <w:bCs/>
                <w:color w:val="FF0000"/>
              </w:rPr>
              <w:t>根据《德宏州2018年环境质量公报》，芒市优179天，比上年少10天；良159天，比上年少7天；轻度污染21天，比上年多13天；中度污染1天，与上年无变化；无重度污染和严重污染天数。按空气质量指数（AQI）评价，优良率为93.9%，与2017年相比下降3.6%。污染发生的时间为1月份至5月份，其中2月份1天，3月份10天，4月份10天，5月份1天。首要污染物为可吸入颗粒物、细颗粒物和臭氧。按年均值评价，各指标可达到环境空气质量二级标准。</w:t>
            </w:r>
          </w:p>
          <w:p w14:paraId="294B87E5">
            <w:pPr>
              <w:ind w:firstLine="480"/>
              <w:jc w:val="both"/>
              <w:rPr>
                <w:rFonts w:cs="Times New Roman"/>
              </w:rPr>
            </w:pPr>
            <w:r>
              <w:rPr>
                <w:rFonts w:cs="Times New Roman"/>
              </w:rPr>
              <w:t>根据现场踏勘，项目区周边无大气污染源，环境空气质量满足《环境空气质量标准》（GB3095-2012）二级标准。</w:t>
            </w:r>
          </w:p>
          <w:p w14:paraId="2B528206">
            <w:pPr>
              <w:ind w:firstLine="482"/>
              <w:rPr>
                <w:rFonts w:cs="Times New Roman"/>
                <w:b/>
              </w:rPr>
            </w:pPr>
            <w:r>
              <w:rPr>
                <w:rFonts w:cs="Times New Roman"/>
                <w:b/>
              </w:rPr>
              <w:t>2、地表水环境</w:t>
            </w:r>
          </w:p>
          <w:p w14:paraId="1D39A900">
            <w:pPr>
              <w:ind w:firstLine="480"/>
              <w:rPr>
                <w:rFonts w:cs="Times New Roman"/>
                <w:bCs/>
              </w:rPr>
            </w:pPr>
            <w:bookmarkStart w:id="15" w:name="_Toc330219857"/>
            <w:r>
              <w:rPr>
                <w:rFonts w:cs="Times New Roman"/>
                <w:bCs/>
              </w:rPr>
              <w:t>本项目纳污水体项目东侧约650m的</w:t>
            </w:r>
            <w:bookmarkEnd w:id="15"/>
            <w:r>
              <w:rPr>
                <w:rFonts w:cs="Times New Roman"/>
                <w:bCs/>
              </w:rPr>
              <w:t>南相章河，</w:t>
            </w:r>
            <w:r>
              <w:rPr>
                <w:rFonts w:cs="Times New Roman"/>
                <w:bCs/>
                <w:lang w:val="zh-CN"/>
              </w:rPr>
              <w:t>南相章河属于戈朗河的左岸支流，戈朗河</w:t>
            </w:r>
            <w:r>
              <w:rPr>
                <w:rFonts w:cs="Times New Roman"/>
              </w:rPr>
              <w:t>属于芒市大河的左岸支流，芒市大河为瑞丽江左岸一级支流，属伊洛瓦底江水系。</w:t>
            </w:r>
            <w:r>
              <w:rPr>
                <w:rFonts w:cs="Times New Roman"/>
                <w:bCs/>
              </w:rPr>
              <w:t>根据《云南省地表水水环境功能区划（2010~2020）》，芒市大河“木康断面-入瑞丽江口”水环境功能为农业用水、工业用水，水质类别为</w:t>
            </w:r>
            <w:r>
              <w:rPr>
                <w:rFonts w:hint="eastAsia" w:ascii="宋体" w:hAnsi="宋体" w:cs="宋体"/>
                <w:bCs/>
              </w:rPr>
              <w:t>Ⅲ</w:t>
            </w:r>
            <w:r>
              <w:rPr>
                <w:rFonts w:cs="Times New Roman"/>
                <w:bCs/>
              </w:rPr>
              <w:t>类，故南相章河的水环境功能参照芒市大河执行《地表水环境质量标准》（GB3838-2002）</w:t>
            </w:r>
            <w:r>
              <w:rPr>
                <w:rFonts w:hint="eastAsia" w:ascii="宋体" w:hAnsi="宋体" w:cs="宋体"/>
                <w:bCs/>
              </w:rPr>
              <w:t>Ⅲ</w:t>
            </w:r>
            <w:r>
              <w:rPr>
                <w:rFonts w:cs="Times New Roman"/>
                <w:bCs/>
              </w:rPr>
              <w:t>类要求。</w:t>
            </w:r>
          </w:p>
          <w:p w14:paraId="6C640A74">
            <w:pPr>
              <w:ind w:firstLine="480"/>
              <w:rPr>
                <w:rFonts w:cs="Times New Roman"/>
              </w:rPr>
            </w:pPr>
            <w:r>
              <w:rPr>
                <w:bCs/>
                <w:color w:val="FF0000"/>
                <w:kern w:val="0"/>
                <w:shd w:val="clear" w:color="auto" w:fill="FFFFFF"/>
              </w:rPr>
              <w:t>根据《德宏州2018年环境质量公报》，2018年芒市大河风平断面水质有所下降，由上年的</w:t>
            </w:r>
            <w:r>
              <w:rPr>
                <w:rFonts w:hint="eastAsia" w:ascii="宋体" w:hAnsi="宋体" w:cs="宋体"/>
                <w:bCs/>
                <w:color w:val="FF0000"/>
                <w:kern w:val="0"/>
                <w:shd w:val="clear" w:color="auto" w:fill="FFFFFF"/>
              </w:rPr>
              <w:t>Ⅲ</w:t>
            </w:r>
            <w:r>
              <w:rPr>
                <w:bCs/>
                <w:color w:val="FF0000"/>
                <w:kern w:val="0"/>
                <w:shd w:val="clear" w:color="auto" w:fill="FFFFFF"/>
              </w:rPr>
              <w:t>类良变为IV类轻度污染；瑞丽江嘎中大桥断面达到水功能区划要求，风平断面1月至5月未达水功能区划要求，1月、2月、5月份主要污染指标为氨氮；3月份主要污染指标为氨氮和总磷；4月份主要污染指标为氨氮、总磷和五日生化需氧量。</w:t>
            </w:r>
          </w:p>
          <w:p w14:paraId="12391133">
            <w:pPr>
              <w:ind w:firstLine="482"/>
              <w:rPr>
                <w:rFonts w:cs="Times New Roman"/>
                <w:b/>
              </w:rPr>
            </w:pPr>
            <w:r>
              <w:rPr>
                <w:rFonts w:cs="Times New Roman"/>
                <w:b/>
              </w:rPr>
              <w:t>3、声环境</w:t>
            </w:r>
          </w:p>
          <w:p w14:paraId="2DA32A67">
            <w:pPr>
              <w:ind w:firstLine="480"/>
              <w:rPr>
                <w:rFonts w:cs="Times New Roman"/>
              </w:rPr>
            </w:pPr>
            <w:r>
              <w:rPr>
                <w:rFonts w:cs="Times New Roman"/>
              </w:rPr>
              <w:t>本项目位于芒市风平镇户育村，建设项目所在地噪声功能区划为声环境的2类区，执行《声环境质量标准》（GB3096-2008）2类区标准。</w:t>
            </w:r>
          </w:p>
          <w:p w14:paraId="1EFE7C63">
            <w:pPr>
              <w:ind w:firstLine="480"/>
              <w:rPr>
                <w:rFonts w:cs="Times New Roman"/>
                <w:color w:val="FF0000"/>
              </w:rPr>
            </w:pPr>
            <w:r>
              <w:rPr>
                <w:rFonts w:cs="Times New Roman"/>
                <w:color w:val="FF0000"/>
              </w:rPr>
              <w:t>根据《德宏州201</w:t>
            </w:r>
            <w:r>
              <w:rPr>
                <w:rFonts w:hint="eastAsia" w:cs="Times New Roman"/>
                <w:color w:val="FF0000"/>
              </w:rPr>
              <w:t>8</w:t>
            </w:r>
            <w:r>
              <w:rPr>
                <w:rFonts w:cs="Times New Roman"/>
                <w:color w:val="FF0000"/>
              </w:rPr>
              <w:t>年度环境质量公报》，芒市城区区域环境噪声昼间年平均等效声级为51dB(A)，夜间值未测。</w:t>
            </w:r>
            <w:r>
              <w:rPr>
                <w:rFonts w:cs="Times New Roman"/>
                <w:bCs/>
                <w:color w:val="FF0000"/>
              </w:rPr>
              <w:t>根据现场踏勘，项目区属于农村地区，且周围无高噪声工业企业，项目区声环境质量可达《声环境质量标准》（GB3096-2008）中2类标准。</w:t>
            </w:r>
          </w:p>
          <w:p w14:paraId="0E43951D">
            <w:pPr>
              <w:ind w:firstLine="482"/>
              <w:rPr>
                <w:rFonts w:cs="Times New Roman"/>
                <w:b/>
              </w:rPr>
            </w:pPr>
            <w:r>
              <w:rPr>
                <w:rFonts w:cs="Times New Roman"/>
                <w:b/>
              </w:rPr>
              <w:t>4、生态环境</w:t>
            </w:r>
          </w:p>
          <w:p w14:paraId="1518A6DA">
            <w:pPr>
              <w:ind w:firstLine="482"/>
              <w:jc w:val="both"/>
              <w:rPr>
                <w:rFonts w:cs="Times New Roman"/>
                <w:b/>
                <w:szCs w:val="28"/>
              </w:rPr>
            </w:pPr>
            <w:r>
              <w:rPr>
                <w:rFonts w:cs="Times New Roman"/>
                <w:b/>
                <w:szCs w:val="28"/>
              </w:rPr>
              <w:t>（1）生态调查工作情况</w:t>
            </w:r>
          </w:p>
          <w:p w14:paraId="79E48567">
            <w:pPr>
              <w:ind w:firstLine="480"/>
              <w:jc w:val="both"/>
              <w:rPr>
                <w:rFonts w:cs="Times New Roman"/>
                <w:szCs w:val="28"/>
              </w:rPr>
            </w:pPr>
            <w:r>
              <w:rPr>
                <w:rFonts w:hint="eastAsia" w:ascii="宋体" w:hAnsi="宋体" w:cs="宋体"/>
                <w:szCs w:val="28"/>
              </w:rPr>
              <w:t>①</w:t>
            </w:r>
            <w:r>
              <w:rPr>
                <w:rFonts w:cs="Times New Roman"/>
                <w:szCs w:val="28"/>
              </w:rPr>
              <w:t>调查时间</w:t>
            </w:r>
          </w:p>
          <w:p w14:paraId="6884A1E3">
            <w:pPr>
              <w:ind w:firstLine="480"/>
              <w:jc w:val="both"/>
              <w:rPr>
                <w:rFonts w:cs="Times New Roman"/>
              </w:rPr>
            </w:pPr>
            <w:r>
              <w:rPr>
                <w:rFonts w:cs="Times New Roman"/>
              </w:rPr>
              <w:t>评价区生态现</w:t>
            </w:r>
            <w:bookmarkStart w:id="16" w:name="_Toc278199963"/>
            <w:r>
              <w:rPr>
                <w:rFonts w:cs="Times New Roman"/>
              </w:rPr>
              <w:t>状调查日期为2019年</w:t>
            </w:r>
            <w:bookmarkEnd w:id="16"/>
            <w:r>
              <w:rPr>
                <w:rFonts w:cs="Times New Roman"/>
              </w:rPr>
              <w:t>4月20日。</w:t>
            </w:r>
          </w:p>
          <w:p w14:paraId="767C39F9">
            <w:pPr>
              <w:ind w:firstLine="480"/>
              <w:jc w:val="both"/>
              <w:rPr>
                <w:rFonts w:cs="Times New Roman"/>
              </w:rPr>
            </w:pPr>
            <w:r>
              <w:rPr>
                <w:rFonts w:hint="eastAsia" w:ascii="宋体" w:hAnsi="宋体" w:cs="宋体"/>
              </w:rPr>
              <w:t>②</w:t>
            </w:r>
            <w:r>
              <w:rPr>
                <w:rFonts w:cs="Times New Roman"/>
              </w:rPr>
              <w:t>调查人员</w:t>
            </w:r>
          </w:p>
          <w:p w14:paraId="11157C08">
            <w:pPr>
              <w:ind w:firstLine="480"/>
              <w:jc w:val="both"/>
              <w:rPr>
                <w:rFonts w:cs="Times New Roman"/>
              </w:rPr>
            </w:pPr>
            <w:r>
              <w:rPr>
                <w:rFonts w:cs="Times New Roman"/>
              </w:rPr>
              <w:t>参加生态调查的人员为我单位生态调查专业人员。</w:t>
            </w:r>
          </w:p>
          <w:p w14:paraId="68CE7AC7">
            <w:pPr>
              <w:ind w:firstLine="480"/>
              <w:jc w:val="both"/>
              <w:rPr>
                <w:rFonts w:cs="Times New Roman"/>
              </w:rPr>
            </w:pPr>
            <w:r>
              <w:rPr>
                <w:rFonts w:hint="eastAsia" w:ascii="宋体" w:hAnsi="宋体" w:cs="宋体"/>
              </w:rPr>
              <w:t>③</w:t>
            </w:r>
            <w:r>
              <w:rPr>
                <w:rFonts w:cs="Times New Roman"/>
              </w:rPr>
              <w:t>调查范围</w:t>
            </w:r>
          </w:p>
          <w:p w14:paraId="4948B7F3">
            <w:pPr>
              <w:ind w:firstLine="480"/>
              <w:jc w:val="both"/>
              <w:rPr>
                <w:rFonts w:cs="Times New Roman"/>
              </w:rPr>
            </w:pPr>
            <w:r>
              <w:rPr>
                <w:rFonts w:cs="Times New Roman"/>
              </w:rPr>
              <w:t>项目占地（面积为37.44hm</w:t>
            </w:r>
            <w:r>
              <w:rPr>
                <w:rFonts w:cs="Times New Roman"/>
                <w:vertAlign w:val="superscript"/>
              </w:rPr>
              <w:t>2</w:t>
            </w:r>
            <w:r>
              <w:rPr>
                <w:rFonts w:cs="Times New Roman"/>
              </w:rPr>
              <w:t>）范围内不涉及自然保护区、风景名胜区等特殊环境敏感区。根据《环境影响评价技术导则 生态影响》（HJ19-2011），生态评价范围以项目影响区域所涉及的完整水文单元、地理单元界限为参照边界。</w:t>
            </w:r>
          </w:p>
          <w:p w14:paraId="4C30B7B0">
            <w:pPr>
              <w:ind w:firstLine="480"/>
              <w:jc w:val="both"/>
              <w:rPr>
                <w:rFonts w:cs="Times New Roman"/>
              </w:rPr>
            </w:pPr>
            <w:r>
              <w:rPr>
                <w:rFonts w:cs="Times New Roman"/>
              </w:rPr>
              <w:t>综合考虑地表分水岭、地形地势等，本项目评价范围为采场、生产加工区、弃渣场等外延300m，共计141.7hm</w:t>
            </w:r>
            <w:r>
              <w:rPr>
                <w:rFonts w:cs="Times New Roman"/>
                <w:vertAlign w:val="superscript"/>
              </w:rPr>
              <w:t>2</w:t>
            </w:r>
            <w:r>
              <w:rPr>
                <w:rFonts w:cs="Times New Roman"/>
              </w:rPr>
              <w:t>。</w:t>
            </w:r>
          </w:p>
          <w:p w14:paraId="47BCFE36">
            <w:pPr>
              <w:ind w:firstLine="480"/>
              <w:jc w:val="both"/>
              <w:rPr>
                <w:rFonts w:cs="Times New Roman"/>
              </w:rPr>
            </w:pPr>
            <w:r>
              <w:rPr>
                <w:rFonts w:hint="eastAsia" w:ascii="宋体" w:hAnsi="宋体" w:cs="宋体"/>
              </w:rPr>
              <w:t>④</w:t>
            </w:r>
            <w:r>
              <w:rPr>
                <w:rFonts w:cs="Times New Roman"/>
              </w:rPr>
              <w:t>调查内容</w:t>
            </w:r>
          </w:p>
          <w:p w14:paraId="44A77C6C">
            <w:pPr>
              <w:ind w:firstLine="480"/>
              <w:jc w:val="both"/>
              <w:rPr>
                <w:rFonts w:cs="Times New Roman"/>
              </w:rPr>
            </w:pPr>
            <w:r>
              <w:rPr>
                <w:rFonts w:cs="Times New Roman"/>
              </w:rPr>
              <w:t>调查内容为评价范围内的植被分布现状、动植物资源、土地利用现状等。</w:t>
            </w:r>
          </w:p>
          <w:p w14:paraId="2B73C9E3">
            <w:pPr>
              <w:ind w:firstLine="482"/>
              <w:jc w:val="both"/>
              <w:rPr>
                <w:rFonts w:cs="Times New Roman"/>
                <w:b/>
                <w:szCs w:val="28"/>
              </w:rPr>
            </w:pPr>
            <w:r>
              <w:rPr>
                <w:rFonts w:cs="Times New Roman"/>
                <w:b/>
                <w:szCs w:val="28"/>
              </w:rPr>
              <w:t>（2）植被类型及分布现状</w:t>
            </w:r>
          </w:p>
          <w:p w14:paraId="689CE355">
            <w:pPr>
              <w:ind w:firstLine="480"/>
              <w:jc w:val="both"/>
              <w:rPr>
                <w:rFonts w:cs="Times New Roman"/>
                <w:szCs w:val="28"/>
              </w:rPr>
            </w:pPr>
            <w:r>
              <w:rPr>
                <w:rFonts w:cs="Times New Roman"/>
                <w:szCs w:val="28"/>
              </w:rPr>
              <w:t>项目评价区的植被可以分自然植被和人工植被两大类型，自然植被是未经人为种植而自然形成的植被类型，人工植被是由人工种植形成的植被。</w:t>
            </w:r>
          </w:p>
          <w:p w14:paraId="465199AD">
            <w:pPr>
              <w:ind w:firstLine="480"/>
              <w:jc w:val="both"/>
              <w:rPr>
                <w:rFonts w:cs="Times New Roman"/>
                <w:szCs w:val="28"/>
              </w:rPr>
            </w:pPr>
            <w:r>
              <w:rPr>
                <w:rFonts w:cs="Times New Roman"/>
              </w:rPr>
              <w:t>根据《云南植被》中的分区，该区域的植被区划属于：</w:t>
            </w:r>
            <w:r>
              <w:rPr>
                <w:rFonts w:hint="eastAsia" w:ascii="宋体" w:hAnsi="宋体" w:cs="宋体"/>
              </w:rPr>
              <w:t>Ⅰ</w:t>
            </w:r>
            <w:r>
              <w:rPr>
                <w:rFonts w:cs="Times New Roman"/>
              </w:rPr>
              <w:t>热带季雨林，雨林区域，</w:t>
            </w:r>
            <w:r>
              <w:rPr>
                <w:rFonts w:hint="eastAsia" w:ascii="宋体" w:hAnsi="宋体" w:cs="宋体"/>
              </w:rPr>
              <w:t>Ⅰ</w:t>
            </w:r>
            <w:r>
              <w:rPr>
                <w:rFonts w:cs="Times New Roman"/>
              </w:rPr>
              <w:t>A西部（偏干性）季雨林、雨林区域，</w:t>
            </w:r>
            <w:r>
              <w:rPr>
                <w:rFonts w:hint="eastAsia" w:ascii="宋体" w:hAnsi="宋体" w:cs="宋体"/>
              </w:rPr>
              <w:t>Ⅰ</w:t>
            </w:r>
            <w:r>
              <w:rPr>
                <w:rFonts w:cs="Times New Roman"/>
              </w:rPr>
              <w:t>Ai季风热带北缘季节雨林、半常绿季雨林区，</w:t>
            </w:r>
            <w:r>
              <w:rPr>
                <w:rFonts w:hint="eastAsia" w:ascii="宋体" w:hAnsi="宋体" w:cs="宋体"/>
              </w:rPr>
              <w:t>Ⅰ</w:t>
            </w:r>
            <w:r>
              <w:rPr>
                <w:rFonts w:cs="Times New Roman"/>
              </w:rPr>
              <w:t>Ai-1滇南、滇西南间山盆地季节雨林、常绿季雨林，</w:t>
            </w:r>
            <w:r>
              <w:rPr>
                <w:rFonts w:hint="eastAsia" w:ascii="宋体" w:hAnsi="宋体" w:cs="宋体"/>
              </w:rPr>
              <w:t>Ⅰ</w:t>
            </w:r>
            <w:r>
              <w:rPr>
                <w:rFonts w:cs="Times New Roman"/>
              </w:rPr>
              <w:t>Ai-1c滇西南中山宽高山榕、麻栎林亚区。</w:t>
            </w:r>
          </w:p>
          <w:p w14:paraId="20AA0EDE">
            <w:pPr>
              <w:ind w:firstLine="480"/>
              <w:jc w:val="both"/>
              <w:rPr>
                <w:rFonts w:cs="Times New Roman"/>
                <w:szCs w:val="28"/>
              </w:rPr>
            </w:pPr>
            <w:r>
              <w:rPr>
                <w:rFonts w:cs="Times New Roman"/>
                <w:szCs w:val="28"/>
              </w:rPr>
              <w:t>评价区海拔介于</w:t>
            </w:r>
            <w:r>
              <w:rPr>
                <w:rFonts w:cs="Times New Roman"/>
              </w:rPr>
              <w:t>890~1224.15m</w:t>
            </w:r>
            <w:r>
              <w:rPr>
                <w:rFonts w:cs="Times New Roman"/>
                <w:szCs w:val="28"/>
              </w:rPr>
              <w:t>之间，由于长时间的人为活动影响，评价区目前的植被类型已发生了改变，原生植被大量消失，次生植被主要是稀疏灌木草丛和旱冬瓜灌丛。</w:t>
            </w:r>
          </w:p>
          <w:p w14:paraId="223998C1">
            <w:pPr>
              <w:ind w:firstLine="480"/>
              <w:jc w:val="both"/>
              <w:rPr>
                <w:rFonts w:cs="Times New Roman"/>
                <w:szCs w:val="28"/>
              </w:rPr>
            </w:pPr>
            <w:r>
              <w:rPr>
                <w:rFonts w:hint="eastAsia" w:ascii="宋体" w:hAnsi="宋体" w:cs="宋体"/>
                <w:szCs w:val="28"/>
              </w:rPr>
              <w:t>①</w:t>
            </w:r>
            <w:r>
              <w:rPr>
                <w:rFonts w:cs="Times New Roman"/>
                <w:szCs w:val="28"/>
              </w:rPr>
              <w:t>次生植被类型</w:t>
            </w:r>
          </w:p>
          <w:p w14:paraId="560E5F9E">
            <w:pPr>
              <w:ind w:firstLine="480"/>
              <w:jc w:val="both"/>
              <w:rPr>
                <w:rFonts w:cs="Times New Roman"/>
                <w:szCs w:val="28"/>
              </w:rPr>
            </w:pPr>
            <w:r>
              <w:rPr>
                <w:rFonts w:cs="Times New Roman"/>
                <w:szCs w:val="28"/>
              </w:rPr>
              <w:t>A、稀树灌木草丛</w:t>
            </w:r>
          </w:p>
          <w:p w14:paraId="730E3FC9">
            <w:pPr>
              <w:ind w:firstLine="480"/>
              <w:jc w:val="both"/>
              <w:rPr>
                <w:rFonts w:cs="Times New Roman"/>
                <w:szCs w:val="28"/>
              </w:rPr>
            </w:pPr>
            <w:r>
              <w:rPr>
                <w:rFonts w:cs="Times New Roman"/>
                <w:szCs w:val="28"/>
              </w:rPr>
              <w:t>评价区内的稀树灌木草丛主要分布于矿区东南部，海拔</w:t>
            </w:r>
            <w:r>
              <w:rPr>
                <w:rFonts w:cs="Times New Roman"/>
              </w:rPr>
              <w:t>890~1224.15m</w:t>
            </w:r>
            <w:r>
              <w:rPr>
                <w:rFonts w:cs="Times New Roman"/>
                <w:szCs w:val="28"/>
              </w:rPr>
              <w:t xml:space="preserve"> m。</w:t>
            </w:r>
          </w:p>
          <w:p w14:paraId="3587375D">
            <w:pPr>
              <w:widowControl/>
              <w:ind w:firstLine="480"/>
              <w:rPr>
                <w:rFonts w:cs="Times New Roman"/>
                <w:szCs w:val="24"/>
              </w:rPr>
            </w:pPr>
            <w:r>
              <w:rPr>
                <w:rFonts w:cs="Times New Roman"/>
                <w:szCs w:val="24"/>
              </w:rPr>
              <w:t>群落中乔木极少，以灌木为主，灌木层盖度约为19%，高度2~4m，灌木种类不多，主要以红木荷</w:t>
            </w:r>
            <w:r>
              <w:rPr>
                <w:rFonts w:cs="Times New Roman"/>
                <w:i/>
                <w:szCs w:val="24"/>
              </w:rPr>
              <w:t>Schima wallichii</w:t>
            </w:r>
            <w:r>
              <w:rPr>
                <w:rFonts w:cs="Times New Roman"/>
                <w:szCs w:val="24"/>
              </w:rPr>
              <w:t>、</w:t>
            </w:r>
            <w:r>
              <w:rPr>
                <w:rFonts w:cs="Times New Roman"/>
                <w:kern w:val="0"/>
                <w:szCs w:val="24"/>
              </w:rPr>
              <w:t>白穗石栎</w:t>
            </w:r>
            <w:r>
              <w:rPr>
                <w:rFonts w:cs="Times New Roman"/>
                <w:i/>
                <w:iCs/>
                <w:kern w:val="0"/>
                <w:szCs w:val="24"/>
              </w:rPr>
              <w:t>Lithocarpus craibianus</w:t>
            </w:r>
            <w:r>
              <w:rPr>
                <w:rFonts w:cs="Times New Roman"/>
                <w:szCs w:val="24"/>
              </w:rPr>
              <w:t>为优势种，也有七里香</w:t>
            </w:r>
            <w:r>
              <w:rPr>
                <w:rFonts w:cs="Times New Roman"/>
                <w:i/>
                <w:szCs w:val="24"/>
              </w:rPr>
              <w:t>Buddleja asiatica</w:t>
            </w:r>
            <w:r>
              <w:rPr>
                <w:rFonts w:cs="Times New Roman"/>
                <w:szCs w:val="24"/>
              </w:rPr>
              <w:t>、水茄</w:t>
            </w:r>
            <w:r>
              <w:rPr>
                <w:rFonts w:cs="Times New Roman"/>
                <w:i/>
                <w:szCs w:val="24"/>
              </w:rPr>
              <w:t>Solanum torvum</w:t>
            </w:r>
            <w:r>
              <w:rPr>
                <w:rFonts w:cs="Times New Roman"/>
                <w:szCs w:val="24"/>
              </w:rPr>
              <w:t>、洗碗叶</w:t>
            </w:r>
            <w:r>
              <w:rPr>
                <w:rFonts w:cs="Times New Roman"/>
                <w:i/>
                <w:szCs w:val="24"/>
              </w:rPr>
              <w:t>Solanum verbascifolium</w:t>
            </w:r>
            <w:r>
              <w:rPr>
                <w:rFonts w:cs="Times New Roman"/>
                <w:szCs w:val="24"/>
              </w:rPr>
              <w:t>等。</w:t>
            </w:r>
          </w:p>
          <w:p w14:paraId="4AD27DB6">
            <w:pPr>
              <w:widowControl/>
              <w:ind w:firstLine="480"/>
              <w:rPr>
                <w:rFonts w:cs="Times New Roman"/>
                <w:i/>
                <w:szCs w:val="24"/>
              </w:rPr>
            </w:pPr>
            <w:r>
              <w:rPr>
                <w:rFonts w:cs="Times New Roman"/>
                <w:szCs w:val="24"/>
              </w:rPr>
              <w:t>草本层十分茂盛，层盖度达到100%，种类相对较单一，高度0.5~2m，主要是以外来紫茎泽兰</w:t>
            </w:r>
            <w:r>
              <w:rPr>
                <w:rFonts w:cs="Times New Roman"/>
                <w:i/>
                <w:szCs w:val="24"/>
              </w:rPr>
              <w:t>Ageratina adenophora</w:t>
            </w:r>
            <w:r>
              <w:rPr>
                <w:rFonts w:cs="Times New Roman"/>
                <w:szCs w:val="24"/>
              </w:rPr>
              <w:t>和香泽兰</w:t>
            </w:r>
            <w:r>
              <w:rPr>
                <w:rFonts w:cs="Times New Roman"/>
                <w:i/>
                <w:szCs w:val="24"/>
              </w:rPr>
              <w:t>Chromolaena odorata</w:t>
            </w:r>
            <w:r>
              <w:rPr>
                <w:rFonts w:cs="Times New Roman"/>
                <w:szCs w:val="24"/>
              </w:rPr>
              <w:t>为优势，肿柄菊尤其多，说明当地原生植被破坏十分严重，导致外来种入侵。其他种类还有棕叶芦</w:t>
            </w:r>
            <w:r>
              <w:rPr>
                <w:rFonts w:cs="Times New Roman"/>
                <w:i/>
                <w:szCs w:val="24"/>
              </w:rPr>
              <w:t>Thysanolaena maxima</w:t>
            </w:r>
            <w:r>
              <w:rPr>
                <w:rFonts w:cs="Times New Roman"/>
                <w:szCs w:val="24"/>
              </w:rPr>
              <w:t>、白花苋</w:t>
            </w:r>
            <w:r>
              <w:rPr>
                <w:rFonts w:cs="Times New Roman"/>
                <w:i/>
                <w:szCs w:val="24"/>
              </w:rPr>
              <w:t>Aerva sanguinolenta</w:t>
            </w:r>
            <w:r>
              <w:rPr>
                <w:rFonts w:cs="Times New Roman"/>
                <w:szCs w:val="24"/>
              </w:rPr>
              <w:t>、三叶鬼针草</w:t>
            </w:r>
            <w:r>
              <w:rPr>
                <w:rFonts w:cs="Times New Roman"/>
                <w:i/>
                <w:szCs w:val="24"/>
              </w:rPr>
              <w:t xml:space="preserve">Bidens pilosa </w:t>
            </w:r>
            <w:r>
              <w:rPr>
                <w:rFonts w:cs="Times New Roman"/>
                <w:szCs w:val="24"/>
              </w:rPr>
              <w:t>var.</w:t>
            </w:r>
            <w:r>
              <w:rPr>
                <w:rFonts w:cs="Times New Roman"/>
                <w:i/>
                <w:szCs w:val="24"/>
              </w:rPr>
              <w:t xml:space="preserve"> radiata</w:t>
            </w:r>
            <w:r>
              <w:rPr>
                <w:rFonts w:cs="Times New Roman"/>
                <w:szCs w:val="24"/>
              </w:rPr>
              <w:t>、飞蓬</w:t>
            </w:r>
            <w:r>
              <w:rPr>
                <w:rFonts w:cs="Times New Roman"/>
                <w:i/>
                <w:szCs w:val="24"/>
              </w:rPr>
              <w:t>Conyza canadensis</w:t>
            </w:r>
            <w:r>
              <w:rPr>
                <w:rFonts w:cs="Times New Roman"/>
                <w:szCs w:val="24"/>
              </w:rPr>
              <w:t>、球穗香薷</w:t>
            </w:r>
            <w:r>
              <w:rPr>
                <w:rFonts w:cs="Times New Roman"/>
                <w:i/>
                <w:szCs w:val="24"/>
              </w:rPr>
              <w:t>Elsholtzia strobilifera</w:t>
            </w:r>
            <w:r>
              <w:rPr>
                <w:rFonts w:cs="Times New Roman"/>
                <w:szCs w:val="24"/>
              </w:rPr>
              <w:t>、臭灵丹</w:t>
            </w:r>
            <w:r>
              <w:rPr>
                <w:rFonts w:cs="Times New Roman"/>
                <w:i/>
                <w:szCs w:val="24"/>
              </w:rPr>
              <w:t>Laggera alata</w:t>
            </w:r>
            <w:r>
              <w:rPr>
                <w:rFonts w:cs="Times New Roman"/>
                <w:szCs w:val="24"/>
              </w:rPr>
              <w:t>等，但数量很少。</w:t>
            </w:r>
          </w:p>
          <w:p w14:paraId="0E5265D2">
            <w:pPr>
              <w:ind w:firstLine="480"/>
              <w:jc w:val="both"/>
              <w:rPr>
                <w:rFonts w:cs="Times New Roman"/>
                <w:szCs w:val="24"/>
              </w:rPr>
            </w:pPr>
            <w:r>
              <w:rPr>
                <w:rFonts w:cs="Times New Roman"/>
                <w:szCs w:val="24"/>
              </w:rPr>
              <w:t>由于受人为破坏强度大，群落中缺少大型木质藤本植物和附生植物，仅有两种草质藤本植物，即虫豆</w:t>
            </w:r>
            <w:r>
              <w:rPr>
                <w:rFonts w:cs="Times New Roman"/>
                <w:i/>
                <w:szCs w:val="24"/>
              </w:rPr>
              <w:t>Atylosia mollis</w:t>
            </w:r>
            <w:r>
              <w:rPr>
                <w:rFonts w:cs="Times New Roman"/>
                <w:szCs w:val="24"/>
              </w:rPr>
              <w:t>、飞蛾藤</w:t>
            </w:r>
            <w:r>
              <w:rPr>
                <w:rFonts w:cs="Times New Roman"/>
                <w:i/>
                <w:szCs w:val="24"/>
              </w:rPr>
              <w:t>Porana racemosa</w:t>
            </w:r>
            <w:r>
              <w:rPr>
                <w:rFonts w:cs="Times New Roman"/>
                <w:szCs w:val="24"/>
              </w:rPr>
              <w:t>。</w:t>
            </w:r>
          </w:p>
          <w:p w14:paraId="5E7F87D0">
            <w:pPr>
              <w:ind w:firstLine="480"/>
              <w:jc w:val="both"/>
              <w:rPr>
                <w:rFonts w:cs="Times New Roman"/>
              </w:rPr>
            </w:pPr>
            <w:r>
              <w:rPr>
                <w:rFonts w:cs="Times New Roman"/>
                <w:szCs w:val="28"/>
              </w:rPr>
              <w:t>B、</w:t>
            </w:r>
            <w:r>
              <w:rPr>
                <w:rFonts w:cs="Times New Roman"/>
              </w:rPr>
              <w:t>旱冬瓜灌丛</w:t>
            </w:r>
          </w:p>
          <w:p w14:paraId="309CADBF">
            <w:pPr>
              <w:ind w:firstLine="480"/>
              <w:rPr>
                <w:rFonts w:cs="Times New Roman"/>
                <w:szCs w:val="28"/>
                <w:lang w:val="zh-CN"/>
              </w:rPr>
            </w:pPr>
            <w:r>
              <w:rPr>
                <w:rFonts w:cs="Times New Roman"/>
                <w:szCs w:val="24"/>
              </w:rPr>
              <w:t>该植被类型主要分布于评价区西北部，具有次生性。群落高3m左右，</w:t>
            </w:r>
            <w:r>
              <w:rPr>
                <w:rFonts w:cs="Times New Roman"/>
                <w:szCs w:val="28"/>
                <w:lang w:val="zh-CN"/>
              </w:rPr>
              <w:t>群落结构一般可以分为乔木层、灌木层和草本层。</w:t>
            </w:r>
          </w:p>
          <w:p w14:paraId="606E74DA">
            <w:pPr>
              <w:widowControl/>
              <w:ind w:firstLine="480"/>
              <w:rPr>
                <w:rFonts w:cs="Times New Roman"/>
                <w:szCs w:val="24"/>
              </w:rPr>
            </w:pPr>
            <w:r>
              <w:rPr>
                <w:rFonts w:cs="Times New Roman"/>
                <w:szCs w:val="24"/>
              </w:rPr>
              <w:t>乔木层高3m，覆盖度约为40%，高度2~5m，以旱冬瓜</w:t>
            </w:r>
            <w:r>
              <w:rPr>
                <w:rFonts w:cs="Times New Roman"/>
                <w:i/>
                <w:iCs/>
                <w:kern w:val="0"/>
                <w:szCs w:val="24"/>
              </w:rPr>
              <w:t>Alnus nepalensis</w:t>
            </w:r>
            <w:r>
              <w:rPr>
                <w:rFonts w:cs="Times New Roman"/>
                <w:szCs w:val="24"/>
              </w:rPr>
              <w:t>为主，也有云南黄杞</w:t>
            </w:r>
            <w:r>
              <w:rPr>
                <w:rFonts w:cs="Times New Roman"/>
                <w:i/>
                <w:szCs w:val="24"/>
              </w:rPr>
              <w:t>Engelhardtia spicata</w:t>
            </w:r>
            <w:r>
              <w:rPr>
                <w:rFonts w:cs="Times New Roman"/>
                <w:szCs w:val="24"/>
              </w:rPr>
              <w:t>、红木荷</w:t>
            </w:r>
            <w:r>
              <w:rPr>
                <w:rFonts w:cs="Times New Roman"/>
                <w:i/>
                <w:szCs w:val="24"/>
              </w:rPr>
              <w:t>Schima wallichii</w:t>
            </w:r>
            <w:r>
              <w:rPr>
                <w:rFonts w:cs="Times New Roman"/>
                <w:szCs w:val="24"/>
              </w:rPr>
              <w:t>、白檀</w:t>
            </w:r>
            <w:r>
              <w:rPr>
                <w:rFonts w:cs="Times New Roman"/>
                <w:i/>
                <w:szCs w:val="24"/>
              </w:rPr>
              <w:t>Symplocos paniculata</w:t>
            </w:r>
            <w:r>
              <w:rPr>
                <w:rFonts w:cs="Times New Roman"/>
                <w:szCs w:val="24"/>
              </w:rPr>
              <w:t>、网叶山胡椒</w:t>
            </w:r>
            <w:r>
              <w:rPr>
                <w:rFonts w:cs="Times New Roman"/>
                <w:i/>
                <w:szCs w:val="24"/>
              </w:rPr>
              <w:t>Lindera metcalfiana</w:t>
            </w:r>
            <w:r>
              <w:rPr>
                <w:rFonts w:cs="Times New Roman"/>
                <w:szCs w:val="24"/>
              </w:rPr>
              <w:t>等。</w:t>
            </w:r>
          </w:p>
          <w:p w14:paraId="13CF37EC">
            <w:pPr>
              <w:widowControl/>
              <w:ind w:firstLine="480"/>
              <w:rPr>
                <w:rFonts w:cs="Times New Roman"/>
                <w:i/>
                <w:szCs w:val="24"/>
              </w:rPr>
            </w:pPr>
            <w:r>
              <w:rPr>
                <w:rFonts w:cs="Times New Roman"/>
                <w:szCs w:val="24"/>
              </w:rPr>
              <w:t>灌木层高2.0m左右，覆盖度30%，主要灌木种类有大乌泡</w:t>
            </w:r>
            <w:r>
              <w:rPr>
                <w:rFonts w:cs="Times New Roman"/>
                <w:i/>
                <w:szCs w:val="24"/>
              </w:rPr>
              <w:t>Rubus multibracteatus</w:t>
            </w:r>
            <w:r>
              <w:rPr>
                <w:rFonts w:cs="Times New Roman"/>
                <w:szCs w:val="24"/>
              </w:rPr>
              <w:t>、卵叶悬钩子</w:t>
            </w:r>
            <w:r>
              <w:rPr>
                <w:rFonts w:cs="Times New Roman"/>
                <w:i/>
                <w:szCs w:val="24"/>
              </w:rPr>
              <w:t>Rubus obcordatus</w:t>
            </w:r>
            <w:r>
              <w:rPr>
                <w:rFonts w:cs="Times New Roman"/>
                <w:szCs w:val="24"/>
              </w:rPr>
              <w:t>、岗柃</w:t>
            </w:r>
            <w:r>
              <w:rPr>
                <w:rFonts w:cs="Times New Roman"/>
                <w:i/>
                <w:szCs w:val="24"/>
              </w:rPr>
              <w:t>Eurya groffii</w:t>
            </w:r>
            <w:r>
              <w:rPr>
                <w:rFonts w:cs="Times New Roman"/>
                <w:szCs w:val="24"/>
              </w:rPr>
              <w:t>var、盐肤木</w:t>
            </w:r>
            <w:r>
              <w:rPr>
                <w:rFonts w:cs="Times New Roman"/>
                <w:i/>
                <w:szCs w:val="24"/>
              </w:rPr>
              <w:t>Rhus chinensis</w:t>
            </w:r>
            <w:r>
              <w:rPr>
                <w:rFonts w:cs="Times New Roman"/>
                <w:szCs w:val="24"/>
              </w:rPr>
              <w:t>、臭荚蒾</w:t>
            </w:r>
            <w:r>
              <w:rPr>
                <w:rFonts w:cs="Times New Roman"/>
                <w:i/>
                <w:szCs w:val="24"/>
              </w:rPr>
              <w:t>Viburnum foetidum</w:t>
            </w:r>
            <w:r>
              <w:rPr>
                <w:rFonts w:cs="Times New Roman"/>
                <w:szCs w:val="24"/>
              </w:rPr>
              <w:t>、无柄金丝桃</w:t>
            </w:r>
            <w:r>
              <w:rPr>
                <w:rFonts w:cs="Times New Roman"/>
                <w:i/>
                <w:szCs w:val="24"/>
              </w:rPr>
              <w:t>Hypericum angustinii</w:t>
            </w:r>
            <w:r>
              <w:rPr>
                <w:rFonts w:cs="Times New Roman"/>
                <w:szCs w:val="24"/>
              </w:rPr>
              <w:t>、卵叶南烛</w:t>
            </w:r>
            <w:r>
              <w:rPr>
                <w:rFonts w:cs="Times New Roman"/>
                <w:i/>
                <w:szCs w:val="24"/>
              </w:rPr>
              <w:t>Lyonia ovalifolia</w:t>
            </w:r>
            <w:r>
              <w:rPr>
                <w:rFonts w:cs="Times New Roman"/>
                <w:szCs w:val="24"/>
              </w:rPr>
              <w:t>、地檀香</w:t>
            </w:r>
            <w:r>
              <w:rPr>
                <w:rFonts w:cs="Times New Roman"/>
                <w:i/>
                <w:szCs w:val="24"/>
              </w:rPr>
              <w:t>Gaultheria forrestii</w:t>
            </w:r>
            <w:r>
              <w:rPr>
                <w:rFonts w:cs="Times New Roman"/>
                <w:szCs w:val="24"/>
              </w:rPr>
              <w:t>、绣线梅</w:t>
            </w:r>
            <w:r>
              <w:rPr>
                <w:rFonts w:cs="Times New Roman"/>
                <w:i/>
                <w:szCs w:val="24"/>
              </w:rPr>
              <w:t>Neillia thyrsiflora</w:t>
            </w:r>
            <w:r>
              <w:rPr>
                <w:rFonts w:cs="Times New Roman"/>
                <w:szCs w:val="24"/>
              </w:rPr>
              <w:t>、假朝天罐</w:t>
            </w:r>
            <w:r>
              <w:rPr>
                <w:rFonts w:cs="Times New Roman"/>
                <w:i/>
                <w:szCs w:val="24"/>
              </w:rPr>
              <w:t>Osbeckia crinita</w:t>
            </w:r>
            <w:r>
              <w:rPr>
                <w:rFonts w:cs="Times New Roman"/>
                <w:szCs w:val="24"/>
              </w:rPr>
              <w:t>等。</w:t>
            </w:r>
          </w:p>
          <w:p w14:paraId="799423E5">
            <w:pPr>
              <w:widowControl/>
              <w:ind w:firstLine="480"/>
              <w:rPr>
                <w:rFonts w:cs="Times New Roman"/>
                <w:i/>
                <w:iCs/>
                <w:szCs w:val="24"/>
              </w:rPr>
            </w:pPr>
            <w:r>
              <w:rPr>
                <w:rFonts w:cs="Times New Roman"/>
                <w:szCs w:val="24"/>
              </w:rPr>
              <w:t>草本层相对茂密，层盖度达到95%，种类相对较少，高度0.5~2m，主要种类有紫茎泽兰</w:t>
            </w:r>
            <w:r>
              <w:rPr>
                <w:rFonts w:cs="Times New Roman"/>
                <w:i/>
                <w:szCs w:val="24"/>
              </w:rPr>
              <w:t>Ageratina adenophora</w:t>
            </w:r>
            <w:r>
              <w:rPr>
                <w:rFonts w:cs="Times New Roman"/>
                <w:szCs w:val="24"/>
              </w:rPr>
              <w:t>(30%)、金发草</w:t>
            </w:r>
            <w:r>
              <w:rPr>
                <w:rFonts w:cs="Times New Roman"/>
                <w:i/>
                <w:szCs w:val="24"/>
              </w:rPr>
              <w:t>Pogonatherum paniceum</w:t>
            </w:r>
            <w:r>
              <w:rPr>
                <w:rFonts w:cs="Times New Roman"/>
                <w:szCs w:val="24"/>
              </w:rPr>
              <w:t>(30%)、细柄草</w:t>
            </w:r>
            <w:r>
              <w:rPr>
                <w:rFonts w:cs="Times New Roman"/>
                <w:i/>
                <w:szCs w:val="24"/>
              </w:rPr>
              <w:t>Capillipedium parviflorum</w:t>
            </w:r>
            <w:r>
              <w:rPr>
                <w:rFonts w:cs="Times New Roman"/>
                <w:szCs w:val="24"/>
              </w:rPr>
              <w:t>、黄腺香青</w:t>
            </w:r>
            <w:r>
              <w:rPr>
                <w:rFonts w:cs="Times New Roman"/>
                <w:i/>
                <w:szCs w:val="24"/>
              </w:rPr>
              <w:t>Anaphalis aureo-punctata</w:t>
            </w:r>
            <w:r>
              <w:rPr>
                <w:rFonts w:cs="Times New Roman"/>
                <w:szCs w:val="24"/>
              </w:rPr>
              <w:t>、石松</w:t>
            </w:r>
            <w:r>
              <w:rPr>
                <w:rFonts w:cs="Times New Roman"/>
                <w:i/>
                <w:szCs w:val="24"/>
              </w:rPr>
              <w:t>Lycopodium japonicum</w:t>
            </w:r>
            <w:r>
              <w:rPr>
                <w:rFonts w:cs="Times New Roman"/>
                <w:szCs w:val="24"/>
              </w:rPr>
              <w:t>、孩儿草</w:t>
            </w:r>
            <w:r>
              <w:rPr>
                <w:rFonts w:cs="Times New Roman"/>
                <w:i/>
                <w:szCs w:val="24"/>
              </w:rPr>
              <w:t>Rungia pectinnata</w:t>
            </w:r>
            <w:r>
              <w:rPr>
                <w:rFonts w:cs="Times New Roman"/>
                <w:szCs w:val="24"/>
              </w:rPr>
              <w:t>、羊耳菊</w:t>
            </w:r>
            <w:r>
              <w:rPr>
                <w:rFonts w:cs="Times New Roman"/>
                <w:i/>
                <w:szCs w:val="24"/>
              </w:rPr>
              <w:t>Inula cappa</w:t>
            </w:r>
            <w:r>
              <w:rPr>
                <w:rFonts w:cs="Times New Roman"/>
                <w:szCs w:val="24"/>
              </w:rPr>
              <w:t>、姜花</w:t>
            </w:r>
            <w:r>
              <w:rPr>
                <w:rFonts w:cs="Times New Roman"/>
                <w:i/>
                <w:szCs w:val="24"/>
              </w:rPr>
              <w:t>Hedychium coronarium</w:t>
            </w:r>
            <w:r>
              <w:rPr>
                <w:rFonts w:cs="Times New Roman"/>
                <w:szCs w:val="24"/>
              </w:rPr>
              <w:t>、大芒萁</w:t>
            </w:r>
            <w:r>
              <w:rPr>
                <w:rFonts w:cs="Times New Roman"/>
                <w:i/>
                <w:szCs w:val="24"/>
              </w:rPr>
              <w:t>Dicranopteris ampla</w:t>
            </w:r>
            <w:r>
              <w:rPr>
                <w:rFonts w:cs="Times New Roman"/>
                <w:szCs w:val="24"/>
              </w:rPr>
              <w:t>、栗柄金粉蕨</w:t>
            </w:r>
            <w:r>
              <w:rPr>
                <w:rFonts w:cs="Times New Roman"/>
                <w:i/>
                <w:szCs w:val="24"/>
              </w:rPr>
              <w:t>Onychium contigum</w:t>
            </w:r>
            <w:r>
              <w:rPr>
                <w:rFonts w:cs="Times New Roman"/>
                <w:szCs w:val="24"/>
              </w:rPr>
              <w:t>等。</w:t>
            </w:r>
          </w:p>
          <w:p w14:paraId="3575B06C">
            <w:pPr>
              <w:ind w:firstLine="480"/>
              <w:jc w:val="both"/>
              <w:rPr>
                <w:rFonts w:cs="Times New Roman"/>
                <w:szCs w:val="28"/>
              </w:rPr>
            </w:pPr>
            <w:r>
              <w:rPr>
                <w:rFonts w:cs="Times New Roman"/>
                <w:szCs w:val="24"/>
              </w:rPr>
              <w:t>由于受人为破坏强度大，群落中缺少大型木质藤本植物和附生植物，仅有一种藤本植物，即蓝叶藤</w:t>
            </w:r>
            <w:r>
              <w:rPr>
                <w:rFonts w:cs="Times New Roman"/>
                <w:i/>
                <w:szCs w:val="24"/>
              </w:rPr>
              <w:t>Marsdenia tinctoria</w:t>
            </w:r>
            <w:r>
              <w:rPr>
                <w:rFonts w:cs="Times New Roman"/>
                <w:szCs w:val="24"/>
              </w:rPr>
              <w:t>。</w:t>
            </w:r>
          </w:p>
          <w:p w14:paraId="1EF666D5">
            <w:pPr>
              <w:ind w:firstLine="480"/>
              <w:jc w:val="both"/>
              <w:rPr>
                <w:rFonts w:cs="Times New Roman"/>
                <w:szCs w:val="28"/>
              </w:rPr>
            </w:pPr>
            <w:r>
              <w:rPr>
                <w:rFonts w:hint="eastAsia" w:ascii="宋体" w:hAnsi="宋体" w:cs="宋体"/>
                <w:szCs w:val="28"/>
              </w:rPr>
              <w:t>②</w:t>
            </w:r>
            <w:r>
              <w:rPr>
                <w:rFonts w:cs="Times New Roman"/>
                <w:szCs w:val="28"/>
              </w:rPr>
              <w:t>人工植被类型</w:t>
            </w:r>
          </w:p>
          <w:p w14:paraId="05F745F0">
            <w:pPr>
              <w:ind w:firstLine="480"/>
              <w:rPr>
                <w:rFonts w:cs="Times New Roman"/>
              </w:rPr>
            </w:pPr>
            <w:r>
              <w:rPr>
                <w:rFonts w:cs="Times New Roman"/>
              </w:rPr>
              <w:t>A、柏枝树林</w:t>
            </w:r>
          </w:p>
          <w:p w14:paraId="2C609E01">
            <w:pPr>
              <w:ind w:firstLine="480"/>
              <w:rPr>
                <w:rFonts w:cs="Times New Roman"/>
              </w:rPr>
            </w:pPr>
            <w:r>
              <w:rPr>
                <w:rFonts w:cs="Times New Roman"/>
              </w:rPr>
              <w:t>柏枝树主要为分布于评价区西部及南部，以柏枝树为优势种，树高10~15m，盖度25%。林下灌草以紫茎泽兰（</w:t>
            </w:r>
            <w:r>
              <w:rPr>
                <w:rFonts w:cs="Times New Roman"/>
                <w:i/>
              </w:rPr>
              <w:t>Crofton Weed</w:t>
            </w:r>
            <w:r>
              <w:rPr>
                <w:rFonts w:cs="Times New Roman"/>
              </w:rPr>
              <w:t>）、刺天茄（</w:t>
            </w:r>
            <w:r>
              <w:rPr>
                <w:rFonts w:cs="Times New Roman"/>
                <w:i/>
              </w:rPr>
              <w:t>Solanum indicum</w:t>
            </w:r>
            <w:r>
              <w:rPr>
                <w:rFonts w:cs="Times New Roman"/>
              </w:rPr>
              <w:t>）、三叶鬼针草（</w:t>
            </w:r>
            <w:r>
              <w:rPr>
                <w:rFonts w:cs="Times New Roman"/>
                <w:i/>
              </w:rPr>
              <w:t>Bidens pilosa</w:t>
            </w:r>
            <w:r>
              <w:rPr>
                <w:rFonts w:cs="Times New Roman"/>
              </w:rPr>
              <w:t>）等多见。</w:t>
            </w:r>
          </w:p>
          <w:p w14:paraId="24BC6721">
            <w:pPr>
              <w:ind w:firstLine="480"/>
              <w:rPr>
                <w:rFonts w:cs="Times New Roman"/>
              </w:rPr>
            </w:pPr>
            <w:r>
              <w:rPr>
                <w:rFonts w:cs="Times New Roman"/>
              </w:rPr>
              <w:t>B、苦竹林</w:t>
            </w:r>
          </w:p>
          <w:p w14:paraId="0D8C6829">
            <w:pPr>
              <w:ind w:firstLine="480"/>
              <w:rPr>
                <w:rFonts w:cs="Times New Roman"/>
              </w:rPr>
            </w:pPr>
            <w:r>
              <w:rPr>
                <w:rFonts w:cs="Times New Roman"/>
              </w:rPr>
              <w:t>苦竹林主要分布于办公生活区北侧，以苦竹（</w:t>
            </w:r>
            <w:r>
              <w:rPr>
                <w:rFonts w:cs="Times New Roman"/>
                <w:i/>
              </w:rPr>
              <w:t>Pleioblastus amarus</w:t>
            </w:r>
            <w:r>
              <w:rPr>
                <w:rFonts w:cs="Times New Roman"/>
              </w:rPr>
              <w:t>）为优势种，高15-20m林下灌草以紫茎泽兰（</w:t>
            </w:r>
            <w:r>
              <w:rPr>
                <w:rFonts w:cs="Times New Roman"/>
                <w:i/>
              </w:rPr>
              <w:t>Crofton Weed</w:t>
            </w:r>
            <w:r>
              <w:rPr>
                <w:rFonts w:cs="Times New Roman"/>
              </w:rPr>
              <w:t>）、飞机草（</w:t>
            </w:r>
            <w:r>
              <w:rPr>
                <w:rFonts w:cs="Times New Roman"/>
                <w:i/>
              </w:rPr>
              <w:t>Eupatorium odoratum</w:t>
            </w:r>
            <w:r>
              <w:rPr>
                <w:rFonts w:cs="Times New Roman"/>
              </w:rPr>
              <w:t>）、三叶鬼针草（</w:t>
            </w:r>
            <w:r>
              <w:rPr>
                <w:rFonts w:cs="Times New Roman"/>
                <w:i/>
              </w:rPr>
              <w:t>Bidens pilosa</w:t>
            </w:r>
            <w:r>
              <w:rPr>
                <w:rFonts w:cs="Times New Roman"/>
              </w:rPr>
              <w:t>）等多见。</w:t>
            </w:r>
          </w:p>
          <w:p w14:paraId="70A429F3">
            <w:pPr>
              <w:ind w:firstLine="480"/>
              <w:rPr>
                <w:rFonts w:cs="Times New Roman"/>
              </w:rPr>
            </w:pPr>
            <w:r>
              <w:rPr>
                <w:rFonts w:cs="Times New Roman"/>
              </w:rPr>
              <w:t>C、农田植被</w:t>
            </w:r>
          </w:p>
          <w:p w14:paraId="7FE276DD">
            <w:pPr>
              <w:ind w:firstLine="480"/>
              <w:rPr>
                <w:rFonts w:cs="Times New Roman"/>
              </w:rPr>
            </w:pPr>
            <w:r>
              <w:rPr>
                <w:rFonts w:cs="Times New Roman"/>
              </w:rPr>
              <w:t>评价区旱地基本分布于海拔高程1078~1185m，主要种植玉米、甘蔗等旱地作物。</w:t>
            </w:r>
          </w:p>
          <w:p w14:paraId="465282DB">
            <w:pPr>
              <w:ind w:firstLine="480"/>
              <w:jc w:val="both"/>
              <w:rPr>
                <w:rFonts w:cs="Times New Roman"/>
                <w:szCs w:val="28"/>
              </w:rPr>
            </w:pPr>
            <w:r>
              <w:rPr>
                <w:rFonts w:hint="eastAsia" w:ascii="宋体" w:hAnsi="宋体" w:cs="宋体"/>
                <w:szCs w:val="28"/>
              </w:rPr>
              <w:t>③</w:t>
            </w:r>
            <w:r>
              <w:rPr>
                <w:rFonts w:cs="Times New Roman"/>
                <w:szCs w:val="28"/>
              </w:rPr>
              <w:t>珍稀物种</w:t>
            </w:r>
          </w:p>
          <w:p w14:paraId="2693F3A4">
            <w:pPr>
              <w:ind w:firstLine="480"/>
              <w:jc w:val="both"/>
              <w:rPr>
                <w:rFonts w:cs="Times New Roman"/>
                <w:szCs w:val="28"/>
              </w:rPr>
            </w:pPr>
            <w:r>
              <w:rPr>
                <w:rFonts w:cs="Times New Roman"/>
                <w:szCs w:val="28"/>
              </w:rPr>
              <w:t>经调查，评价区范围内未发现野生的国家或省级珍稀保护植物物种。</w:t>
            </w:r>
          </w:p>
          <w:p w14:paraId="4054C000">
            <w:pPr>
              <w:ind w:firstLine="480"/>
              <w:jc w:val="both"/>
              <w:rPr>
                <w:rFonts w:cs="Times New Roman"/>
                <w:szCs w:val="28"/>
              </w:rPr>
            </w:pPr>
            <w:r>
              <w:rPr>
                <w:rFonts w:hint="eastAsia" w:ascii="宋体" w:hAnsi="宋体" w:cs="宋体"/>
                <w:szCs w:val="28"/>
              </w:rPr>
              <w:t>④</w:t>
            </w:r>
            <w:r>
              <w:rPr>
                <w:rFonts w:cs="Times New Roman"/>
                <w:szCs w:val="28"/>
              </w:rPr>
              <w:t>名木古树</w:t>
            </w:r>
          </w:p>
          <w:p w14:paraId="70665383">
            <w:pPr>
              <w:ind w:firstLine="480"/>
              <w:rPr>
                <w:rFonts w:cs="Times New Roman"/>
              </w:rPr>
            </w:pPr>
            <w:r>
              <w:rPr>
                <w:rFonts w:cs="Times New Roman"/>
              </w:rPr>
              <w:t>经调查，评价区范围内未发现名木古树。</w:t>
            </w:r>
          </w:p>
          <w:p w14:paraId="095DD6D5">
            <w:pPr>
              <w:ind w:firstLine="480"/>
              <w:jc w:val="both"/>
              <w:rPr>
                <w:rFonts w:cs="Times New Roman"/>
                <w:szCs w:val="28"/>
              </w:rPr>
            </w:pPr>
            <w:r>
              <w:rPr>
                <w:rFonts w:hint="eastAsia" w:ascii="宋体" w:hAnsi="宋体" w:cs="宋体"/>
                <w:szCs w:val="28"/>
              </w:rPr>
              <w:t>⑤</w:t>
            </w:r>
            <w:r>
              <w:rPr>
                <w:rFonts w:cs="Times New Roman"/>
                <w:szCs w:val="28"/>
              </w:rPr>
              <w:t>土地利用现状</w:t>
            </w:r>
          </w:p>
          <w:p w14:paraId="2400DB99">
            <w:pPr>
              <w:ind w:firstLine="480"/>
              <w:jc w:val="both"/>
              <w:rPr>
                <w:rFonts w:cs="Times New Roman"/>
              </w:rPr>
            </w:pPr>
            <w:r>
              <w:rPr>
                <w:rFonts w:cs="Times New Roman"/>
              </w:rPr>
              <w:t>评价区各土地利用评价类型情况如下表所示。</w:t>
            </w:r>
          </w:p>
          <w:p w14:paraId="69371AE7">
            <w:pPr>
              <w:pStyle w:val="31"/>
              <w:rPr>
                <w:rFonts w:cs="Times New Roman"/>
              </w:rPr>
            </w:pPr>
            <w:r>
              <w:rPr>
                <w:rFonts w:cs="Times New Roman"/>
              </w:rPr>
              <w:t>表3-1  项目评价区土地利用情况表</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8"/>
              <w:gridCol w:w="3386"/>
              <w:gridCol w:w="3283"/>
            </w:tblGrid>
            <w:tr w14:paraId="2FAF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028" w:type="dxa"/>
                  <w:vMerge w:val="restart"/>
                  <w:tcBorders>
                    <w:tl2br w:val="single" w:color="auto" w:sz="4" w:space="0"/>
                  </w:tcBorders>
                  <w:vAlign w:val="center"/>
                </w:tcPr>
                <w:p w14:paraId="3DA5224D">
                  <w:pPr>
                    <w:pStyle w:val="32"/>
                    <w:rPr>
                      <w:rFonts w:cs="Times New Roman"/>
                    </w:rPr>
                  </w:pPr>
                  <w:r>
                    <w:rPr>
                      <w:rFonts w:cs="Times New Roman"/>
                    </w:rPr>
                    <w:t xml:space="preserve">                  分区</w:t>
                  </w:r>
                </w:p>
                <w:p w14:paraId="337C4292">
                  <w:pPr>
                    <w:pStyle w:val="32"/>
                    <w:jc w:val="left"/>
                    <w:rPr>
                      <w:rFonts w:cs="Times New Roman"/>
                    </w:rPr>
                  </w:pPr>
                  <w:r>
                    <w:rPr>
                      <w:rFonts w:cs="Times New Roman"/>
                    </w:rPr>
                    <w:t>类型</w:t>
                  </w:r>
                </w:p>
              </w:tc>
              <w:tc>
                <w:tcPr>
                  <w:tcW w:w="6669" w:type="dxa"/>
                  <w:gridSpan w:val="2"/>
                  <w:vAlign w:val="center"/>
                </w:tcPr>
                <w:p w14:paraId="18A6A81C">
                  <w:pPr>
                    <w:pStyle w:val="32"/>
                    <w:rPr>
                      <w:rFonts w:cs="Times New Roman"/>
                    </w:rPr>
                  </w:pPr>
                  <w:r>
                    <w:rPr>
                      <w:rFonts w:cs="Times New Roman"/>
                    </w:rPr>
                    <w:t>评价区</w:t>
                  </w:r>
                </w:p>
              </w:tc>
            </w:tr>
            <w:tr w14:paraId="4025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028" w:type="dxa"/>
                  <w:vMerge w:val="continue"/>
                  <w:tcBorders>
                    <w:tl2br w:val="single" w:color="auto" w:sz="4" w:space="0"/>
                  </w:tcBorders>
                  <w:vAlign w:val="center"/>
                </w:tcPr>
                <w:p w14:paraId="7D9A30CE">
                  <w:pPr>
                    <w:pStyle w:val="32"/>
                    <w:rPr>
                      <w:rFonts w:cs="Times New Roman"/>
                    </w:rPr>
                  </w:pPr>
                </w:p>
              </w:tc>
              <w:tc>
                <w:tcPr>
                  <w:tcW w:w="3386" w:type="dxa"/>
                  <w:vAlign w:val="center"/>
                </w:tcPr>
                <w:p w14:paraId="1FC4847D">
                  <w:pPr>
                    <w:pStyle w:val="32"/>
                    <w:rPr>
                      <w:rFonts w:cs="Times New Roman"/>
                    </w:rPr>
                  </w:pPr>
                  <w:r>
                    <w:rPr>
                      <w:rFonts w:cs="Times New Roman"/>
                    </w:rPr>
                    <w:t>面积（hm</w:t>
                  </w:r>
                  <w:r>
                    <w:rPr>
                      <w:rFonts w:cs="Times New Roman"/>
                      <w:vertAlign w:val="superscript"/>
                    </w:rPr>
                    <w:t>2</w:t>
                  </w:r>
                  <w:r>
                    <w:rPr>
                      <w:rFonts w:cs="Times New Roman"/>
                    </w:rPr>
                    <w:t>）</w:t>
                  </w:r>
                </w:p>
              </w:tc>
              <w:tc>
                <w:tcPr>
                  <w:tcW w:w="3283" w:type="dxa"/>
                  <w:vAlign w:val="center"/>
                </w:tcPr>
                <w:p w14:paraId="06D34963">
                  <w:pPr>
                    <w:pStyle w:val="32"/>
                    <w:rPr>
                      <w:rFonts w:cs="Times New Roman"/>
                    </w:rPr>
                  </w:pPr>
                  <w:r>
                    <w:rPr>
                      <w:rFonts w:cs="Times New Roman"/>
                    </w:rPr>
                    <w:t>百分比（%）</w:t>
                  </w:r>
                </w:p>
              </w:tc>
            </w:tr>
            <w:tr w14:paraId="5C34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018FDBF1">
                  <w:pPr>
                    <w:pStyle w:val="32"/>
                    <w:rPr>
                      <w:rFonts w:cs="Times New Roman"/>
                    </w:rPr>
                  </w:pPr>
                  <w:r>
                    <w:rPr>
                      <w:rFonts w:cs="Times New Roman"/>
                    </w:rPr>
                    <w:t>有林地</w:t>
                  </w:r>
                </w:p>
              </w:tc>
              <w:tc>
                <w:tcPr>
                  <w:tcW w:w="3386" w:type="dxa"/>
                  <w:vAlign w:val="center"/>
                </w:tcPr>
                <w:p w14:paraId="7F9610AF">
                  <w:pPr>
                    <w:pStyle w:val="32"/>
                    <w:rPr>
                      <w:rFonts w:cs="Times New Roman"/>
                    </w:rPr>
                  </w:pPr>
                  <w:r>
                    <w:rPr>
                      <w:rFonts w:cs="Times New Roman"/>
                    </w:rPr>
                    <w:t>52.3</w:t>
                  </w:r>
                </w:p>
              </w:tc>
              <w:tc>
                <w:tcPr>
                  <w:tcW w:w="3283" w:type="dxa"/>
                  <w:vAlign w:val="center"/>
                </w:tcPr>
                <w:p w14:paraId="4FE49506">
                  <w:pPr>
                    <w:pStyle w:val="32"/>
                    <w:rPr>
                      <w:rFonts w:cs="Times New Roman"/>
                    </w:rPr>
                  </w:pPr>
                  <w:r>
                    <w:rPr>
                      <w:rFonts w:cs="Times New Roman"/>
                    </w:rPr>
                    <w:t>36.91</w:t>
                  </w:r>
                </w:p>
              </w:tc>
            </w:tr>
            <w:tr w14:paraId="058E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4BD735B7">
                  <w:pPr>
                    <w:pStyle w:val="32"/>
                    <w:rPr>
                      <w:rFonts w:cs="Times New Roman"/>
                    </w:rPr>
                  </w:pPr>
                  <w:r>
                    <w:rPr>
                      <w:rFonts w:cs="Times New Roman"/>
                    </w:rPr>
                    <w:t>灌木林地</w:t>
                  </w:r>
                </w:p>
              </w:tc>
              <w:tc>
                <w:tcPr>
                  <w:tcW w:w="3386" w:type="dxa"/>
                  <w:vAlign w:val="center"/>
                </w:tcPr>
                <w:p w14:paraId="2D62790C">
                  <w:pPr>
                    <w:pStyle w:val="32"/>
                    <w:rPr>
                      <w:rFonts w:cs="Times New Roman"/>
                    </w:rPr>
                  </w:pPr>
                  <w:r>
                    <w:rPr>
                      <w:rFonts w:cs="Times New Roman"/>
                    </w:rPr>
                    <w:t>70.78</w:t>
                  </w:r>
                </w:p>
              </w:tc>
              <w:tc>
                <w:tcPr>
                  <w:tcW w:w="3283" w:type="dxa"/>
                  <w:vAlign w:val="center"/>
                </w:tcPr>
                <w:p w14:paraId="1B014409">
                  <w:pPr>
                    <w:pStyle w:val="32"/>
                    <w:rPr>
                      <w:rFonts w:cs="Times New Roman"/>
                    </w:rPr>
                  </w:pPr>
                  <w:r>
                    <w:rPr>
                      <w:rFonts w:cs="Times New Roman"/>
                    </w:rPr>
                    <w:t>49.95</w:t>
                  </w:r>
                </w:p>
              </w:tc>
            </w:tr>
            <w:tr w14:paraId="43D5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00ACF072">
                  <w:pPr>
                    <w:pStyle w:val="32"/>
                    <w:rPr>
                      <w:rFonts w:cs="Times New Roman"/>
                    </w:rPr>
                  </w:pPr>
                  <w:r>
                    <w:rPr>
                      <w:rFonts w:cs="Times New Roman"/>
                    </w:rPr>
                    <w:t>旱地</w:t>
                  </w:r>
                </w:p>
              </w:tc>
              <w:tc>
                <w:tcPr>
                  <w:tcW w:w="3386" w:type="dxa"/>
                  <w:vAlign w:val="center"/>
                </w:tcPr>
                <w:p w14:paraId="230111AC">
                  <w:pPr>
                    <w:pStyle w:val="32"/>
                    <w:rPr>
                      <w:rFonts w:cs="Times New Roman"/>
                    </w:rPr>
                  </w:pPr>
                  <w:r>
                    <w:rPr>
                      <w:rFonts w:cs="Times New Roman"/>
                    </w:rPr>
                    <w:t>1.53</w:t>
                  </w:r>
                </w:p>
              </w:tc>
              <w:tc>
                <w:tcPr>
                  <w:tcW w:w="3283" w:type="dxa"/>
                  <w:vAlign w:val="center"/>
                </w:tcPr>
                <w:p w14:paraId="0C88281B">
                  <w:pPr>
                    <w:pStyle w:val="32"/>
                    <w:rPr>
                      <w:rFonts w:cs="Times New Roman"/>
                    </w:rPr>
                  </w:pPr>
                  <w:r>
                    <w:rPr>
                      <w:rFonts w:cs="Times New Roman"/>
                    </w:rPr>
                    <w:t>1.08</w:t>
                  </w:r>
                </w:p>
              </w:tc>
            </w:tr>
            <w:tr w14:paraId="6110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73E4642E">
                  <w:pPr>
                    <w:pStyle w:val="32"/>
                    <w:rPr>
                      <w:rFonts w:cs="Times New Roman"/>
                    </w:rPr>
                  </w:pPr>
                  <w:r>
                    <w:rPr>
                      <w:rFonts w:cs="Times New Roman"/>
                    </w:rPr>
                    <w:t>裸地</w:t>
                  </w:r>
                </w:p>
              </w:tc>
              <w:tc>
                <w:tcPr>
                  <w:tcW w:w="3386" w:type="dxa"/>
                  <w:vAlign w:val="center"/>
                </w:tcPr>
                <w:p w14:paraId="4862D972">
                  <w:pPr>
                    <w:pStyle w:val="32"/>
                    <w:rPr>
                      <w:rFonts w:cs="Times New Roman"/>
                    </w:rPr>
                  </w:pPr>
                  <w:r>
                    <w:rPr>
                      <w:rFonts w:cs="Times New Roman"/>
                    </w:rPr>
                    <w:t>0.86</w:t>
                  </w:r>
                </w:p>
              </w:tc>
              <w:tc>
                <w:tcPr>
                  <w:tcW w:w="3283" w:type="dxa"/>
                  <w:vAlign w:val="center"/>
                </w:tcPr>
                <w:p w14:paraId="4AAD05A1">
                  <w:pPr>
                    <w:pStyle w:val="32"/>
                    <w:rPr>
                      <w:rFonts w:cs="Times New Roman"/>
                    </w:rPr>
                  </w:pPr>
                  <w:r>
                    <w:rPr>
                      <w:rFonts w:cs="Times New Roman"/>
                    </w:rPr>
                    <w:t>0.61</w:t>
                  </w:r>
                </w:p>
              </w:tc>
            </w:tr>
            <w:tr w14:paraId="2714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4E7D524E">
                  <w:pPr>
                    <w:pStyle w:val="32"/>
                    <w:rPr>
                      <w:rFonts w:cs="Times New Roman"/>
                    </w:rPr>
                  </w:pPr>
                  <w:r>
                    <w:rPr>
                      <w:rFonts w:cs="Times New Roman"/>
                    </w:rPr>
                    <w:t>工况用地</w:t>
                  </w:r>
                </w:p>
              </w:tc>
              <w:tc>
                <w:tcPr>
                  <w:tcW w:w="3386" w:type="dxa"/>
                  <w:vAlign w:val="center"/>
                </w:tcPr>
                <w:p w14:paraId="779C87F7">
                  <w:pPr>
                    <w:pStyle w:val="32"/>
                    <w:rPr>
                      <w:rFonts w:cs="Times New Roman"/>
                    </w:rPr>
                  </w:pPr>
                  <w:r>
                    <w:rPr>
                      <w:rFonts w:cs="Times New Roman"/>
                    </w:rPr>
                    <w:t>9.98</w:t>
                  </w:r>
                </w:p>
              </w:tc>
              <w:tc>
                <w:tcPr>
                  <w:tcW w:w="3283" w:type="dxa"/>
                  <w:vAlign w:val="center"/>
                </w:tcPr>
                <w:p w14:paraId="6CCF38FD">
                  <w:pPr>
                    <w:pStyle w:val="32"/>
                    <w:rPr>
                      <w:rFonts w:cs="Times New Roman"/>
                    </w:rPr>
                  </w:pPr>
                  <w:r>
                    <w:rPr>
                      <w:rFonts w:cs="Times New Roman"/>
                    </w:rPr>
                    <w:t>7.04</w:t>
                  </w:r>
                </w:p>
              </w:tc>
            </w:tr>
            <w:tr w14:paraId="01BF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05D0AE98">
                  <w:pPr>
                    <w:pStyle w:val="32"/>
                    <w:rPr>
                      <w:rFonts w:cs="Times New Roman"/>
                    </w:rPr>
                  </w:pPr>
                  <w:r>
                    <w:rPr>
                      <w:rFonts w:cs="Times New Roman"/>
                    </w:rPr>
                    <w:t>道路等其它用地</w:t>
                  </w:r>
                </w:p>
              </w:tc>
              <w:tc>
                <w:tcPr>
                  <w:tcW w:w="3386" w:type="dxa"/>
                  <w:vAlign w:val="center"/>
                </w:tcPr>
                <w:p w14:paraId="45B1C487">
                  <w:pPr>
                    <w:pStyle w:val="32"/>
                    <w:rPr>
                      <w:rFonts w:cs="Times New Roman"/>
                    </w:rPr>
                  </w:pPr>
                  <w:r>
                    <w:rPr>
                      <w:rFonts w:cs="Times New Roman"/>
                    </w:rPr>
                    <w:t>6.25</w:t>
                  </w:r>
                </w:p>
              </w:tc>
              <w:tc>
                <w:tcPr>
                  <w:tcW w:w="3283" w:type="dxa"/>
                  <w:vAlign w:val="center"/>
                </w:tcPr>
                <w:p w14:paraId="61734178">
                  <w:pPr>
                    <w:pStyle w:val="32"/>
                    <w:rPr>
                      <w:rFonts w:cs="Times New Roman"/>
                    </w:rPr>
                  </w:pPr>
                  <w:r>
                    <w:rPr>
                      <w:rFonts w:cs="Times New Roman"/>
                    </w:rPr>
                    <w:t>4.41</w:t>
                  </w:r>
                </w:p>
              </w:tc>
            </w:tr>
            <w:tr w14:paraId="225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7E2EF2BC">
                  <w:pPr>
                    <w:pStyle w:val="32"/>
                    <w:rPr>
                      <w:rFonts w:cs="Times New Roman"/>
                    </w:rPr>
                  </w:pPr>
                  <w:r>
                    <w:rPr>
                      <w:rFonts w:cs="Times New Roman"/>
                    </w:rPr>
                    <w:t>总计</w:t>
                  </w:r>
                </w:p>
              </w:tc>
              <w:tc>
                <w:tcPr>
                  <w:tcW w:w="3386" w:type="dxa"/>
                  <w:vAlign w:val="center"/>
                </w:tcPr>
                <w:p w14:paraId="37B5792B">
                  <w:pPr>
                    <w:pStyle w:val="32"/>
                    <w:rPr>
                      <w:rFonts w:cs="Times New Roman"/>
                    </w:rPr>
                  </w:pPr>
                  <w:r>
                    <w:rPr>
                      <w:rFonts w:cs="Times New Roman"/>
                    </w:rPr>
                    <w:t>141.7</w:t>
                  </w:r>
                </w:p>
              </w:tc>
              <w:tc>
                <w:tcPr>
                  <w:tcW w:w="3283" w:type="dxa"/>
                  <w:vAlign w:val="center"/>
                </w:tcPr>
                <w:p w14:paraId="5BA73D51">
                  <w:pPr>
                    <w:pStyle w:val="32"/>
                    <w:rPr>
                      <w:rFonts w:cs="Times New Roman"/>
                    </w:rPr>
                  </w:pPr>
                  <w:r>
                    <w:rPr>
                      <w:rFonts w:cs="Times New Roman"/>
                    </w:rPr>
                    <w:t>100</w:t>
                  </w:r>
                </w:p>
              </w:tc>
            </w:tr>
          </w:tbl>
          <w:p w14:paraId="6227CD18">
            <w:pPr>
              <w:ind w:firstLine="480"/>
              <w:rPr>
                <w:rFonts w:cs="Times New Roman"/>
              </w:rPr>
            </w:pPr>
            <w:r>
              <w:rPr>
                <w:rFonts w:cs="Times New Roman"/>
              </w:rPr>
              <w:t>由上表可知，本项目评价区总面积为141.7hm</w:t>
            </w:r>
            <w:r>
              <w:rPr>
                <w:rFonts w:cs="Times New Roman"/>
                <w:vertAlign w:val="superscript"/>
              </w:rPr>
              <w:t>2</w:t>
            </w:r>
            <w:r>
              <w:rPr>
                <w:rFonts w:cs="Times New Roman"/>
              </w:rPr>
              <w:t>，其中灌木林地占评价区总面积的49.95%，其次为有林地，占评价区总面积的36.91%，旱地、工况用地、道路等其它用地分布面积较小，分别占评价区总面积的1.08%、7.04%、4.41%。</w:t>
            </w:r>
          </w:p>
          <w:p w14:paraId="74B9C5E3">
            <w:pPr>
              <w:pStyle w:val="90"/>
              <w:numPr>
                <w:ilvl w:val="0"/>
                <w:numId w:val="2"/>
              </w:numPr>
              <w:ind w:firstLineChars="0"/>
              <w:jc w:val="both"/>
              <w:rPr>
                <w:rFonts w:cs="Times New Roman"/>
                <w:szCs w:val="28"/>
              </w:rPr>
            </w:pPr>
            <w:r>
              <w:rPr>
                <w:rFonts w:cs="Times New Roman"/>
                <w:szCs w:val="28"/>
              </w:rPr>
              <w:t>态公益林</w:t>
            </w:r>
          </w:p>
          <w:p w14:paraId="4648D75C">
            <w:pPr>
              <w:ind w:firstLine="480"/>
              <w:jc w:val="both"/>
              <w:rPr>
                <w:rFonts w:cs="Times New Roman"/>
                <w:szCs w:val="28"/>
              </w:rPr>
            </w:pPr>
            <w:r>
              <w:rPr>
                <w:rFonts w:cs="Times New Roman"/>
                <w:szCs w:val="28"/>
              </w:rPr>
              <w:t>根据《矿山生态环境综合评估意见》中芒市林业局的意见，本项目占地范围内不涉及林地。</w:t>
            </w:r>
          </w:p>
          <w:p w14:paraId="6206FBD9">
            <w:pPr>
              <w:pStyle w:val="90"/>
              <w:numPr>
                <w:ilvl w:val="0"/>
                <w:numId w:val="2"/>
              </w:numPr>
              <w:ind w:firstLineChars="0"/>
              <w:jc w:val="both"/>
              <w:rPr>
                <w:rFonts w:cs="Times New Roman"/>
                <w:szCs w:val="28"/>
              </w:rPr>
            </w:pPr>
            <w:r>
              <w:rPr>
                <w:rFonts w:cs="Times New Roman"/>
                <w:szCs w:val="28"/>
              </w:rPr>
              <w:t>本农田</w:t>
            </w:r>
          </w:p>
          <w:p w14:paraId="0A2EA8F8">
            <w:pPr>
              <w:ind w:firstLine="480"/>
              <w:jc w:val="both"/>
              <w:rPr>
                <w:rFonts w:cs="Times New Roman"/>
                <w:szCs w:val="28"/>
              </w:rPr>
            </w:pPr>
            <w:r>
              <w:rPr>
                <w:rFonts w:cs="Times New Roman"/>
                <w:szCs w:val="28"/>
              </w:rPr>
              <w:t>根据《矿山生态环境综合评估意见》中芒市自然资源局的意见（详见附件），本项目占地范围内不涉及基本农田。</w:t>
            </w:r>
          </w:p>
          <w:p w14:paraId="0F760465">
            <w:pPr>
              <w:ind w:firstLine="482"/>
              <w:jc w:val="both"/>
              <w:rPr>
                <w:rFonts w:cs="Times New Roman"/>
                <w:b/>
                <w:szCs w:val="28"/>
              </w:rPr>
            </w:pPr>
            <w:r>
              <w:rPr>
                <w:rFonts w:cs="Times New Roman"/>
                <w:b/>
                <w:szCs w:val="28"/>
              </w:rPr>
              <w:t>（3）评价区野生动物现状</w:t>
            </w:r>
          </w:p>
          <w:p w14:paraId="3EBBE194">
            <w:pPr>
              <w:ind w:firstLine="480"/>
              <w:jc w:val="both"/>
              <w:rPr>
                <w:rFonts w:cs="Times New Roman"/>
                <w:szCs w:val="28"/>
              </w:rPr>
            </w:pPr>
            <w:r>
              <w:rPr>
                <w:rFonts w:cs="Times New Roman"/>
                <w:szCs w:val="28"/>
              </w:rPr>
              <w:t>矿区所处地理位置在中国动物地理二级区划中属于东洋界、西南区、西南山地亚区，在云南陆栖脊椎动物地理三级区划中属于云南高原地区的滇南、滇西南小区，同时评价区紧靠滇西，滇西北横断山小区。沿线森林植被覆盖率较高，但矿区沿线长期人为活动干扰影响，评价区不是大型哺乳动物活动区域，区域内种群数量相对较多的是较适应人类的物种。</w:t>
            </w:r>
          </w:p>
          <w:p w14:paraId="779E044A">
            <w:pPr>
              <w:ind w:firstLine="480"/>
              <w:jc w:val="both"/>
              <w:rPr>
                <w:rFonts w:cs="Times New Roman"/>
                <w:szCs w:val="28"/>
              </w:rPr>
            </w:pPr>
            <w:r>
              <w:rPr>
                <w:rFonts w:cs="Times New Roman"/>
                <w:szCs w:val="28"/>
              </w:rPr>
              <w:t>根据调查，兽类主要有云南兔、松鼠、田鼠、家鼠、蝙蝠等啮齿类小型动物；鸟类主要有杜鹃、喜鹊、家燕、麻雀、黄鹂、乌鸦等；爬行类主要有壁虎、四脚蛇、菜花蛇等；两栖类主要有林蛙、青蛙、蟾蜍等。经调查，区内野生动物的种类和数量均不丰富，均为常见种，评价区范围内未发现珍稀濒危保护动物和地方特有种。</w:t>
            </w:r>
          </w:p>
        </w:tc>
      </w:tr>
      <w:tr w14:paraId="085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52DC00C0">
            <w:pPr>
              <w:ind w:firstLine="0" w:firstLineChars="0"/>
              <w:rPr>
                <w:rFonts w:cs="Times New Roman"/>
                <w:b/>
              </w:rPr>
            </w:pPr>
            <w:r>
              <w:rPr>
                <w:rFonts w:cs="Times New Roman"/>
                <w:b/>
              </w:rPr>
              <w:t>主要环境保护目标</w:t>
            </w:r>
          </w:p>
          <w:p w14:paraId="1130EBBF">
            <w:pPr>
              <w:ind w:firstLine="480"/>
              <w:rPr>
                <w:rFonts w:cs="Times New Roman"/>
              </w:rPr>
            </w:pPr>
            <w:r>
              <w:rPr>
                <w:rFonts w:cs="Times New Roman"/>
              </w:rPr>
              <w:t>项目主要环境保护目标及保护级别见表3-2</w:t>
            </w:r>
          </w:p>
          <w:p w14:paraId="15D5BCE0">
            <w:pPr>
              <w:pStyle w:val="31"/>
              <w:tabs>
                <w:tab w:val="left" w:pos="1982"/>
                <w:tab w:val="center" w:pos="4853"/>
              </w:tabs>
              <w:jc w:val="left"/>
              <w:rPr>
                <w:rFonts w:cs="Times New Roman"/>
              </w:rPr>
            </w:pPr>
            <w:r>
              <w:rPr>
                <w:rFonts w:cs="Times New Roman"/>
              </w:rPr>
              <w:tab/>
            </w:r>
            <w:r>
              <w:rPr>
                <w:rFonts w:cs="Times New Roman"/>
              </w:rPr>
              <w:tab/>
            </w:r>
            <w:r>
              <w:rPr>
                <w:rFonts w:cs="Times New Roman"/>
              </w:rPr>
              <w:t>表3-2  项目环境保护目标表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780"/>
              <w:gridCol w:w="1276"/>
              <w:gridCol w:w="1276"/>
              <w:gridCol w:w="1276"/>
              <w:gridCol w:w="1418"/>
              <w:gridCol w:w="2863"/>
            </w:tblGrid>
            <w:tr w14:paraId="69B2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17" w:type="pct"/>
                  <w:tcBorders>
                    <w:bottom w:val="single" w:color="auto" w:sz="4" w:space="0"/>
                    <w:right w:val="single" w:color="auto" w:sz="4" w:space="0"/>
                  </w:tcBorders>
                  <w:vAlign w:val="center"/>
                </w:tcPr>
                <w:p w14:paraId="05E2038B">
                  <w:pPr>
                    <w:pStyle w:val="52"/>
                    <w:rPr>
                      <w:color w:val="auto"/>
                    </w:rPr>
                  </w:pPr>
                  <w:r>
                    <w:rPr>
                      <w:color w:val="auto"/>
                    </w:rPr>
                    <w:t>环境要素</w:t>
                  </w:r>
                </w:p>
              </w:tc>
              <w:tc>
                <w:tcPr>
                  <w:tcW w:w="402" w:type="pct"/>
                  <w:tcBorders>
                    <w:left w:val="single" w:color="auto" w:sz="4" w:space="0"/>
                    <w:bottom w:val="single" w:color="auto" w:sz="4" w:space="0"/>
                    <w:right w:val="single" w:color="auto" w:sz="4" w:space="0"/>
                  </w:tcBorders>
                  <w:vAlign w:val="center"/>
                </w:tcPr>
                <w:p w14:paraId="773CF3E9">
                  <w:pPr>
                    <w:pStyle w:val="52"/>
                    <w:rPr>
                      <w:color w:val="auto"/>
                    </w:rPr>
                  </w:pPr>
                  <w:r>
                    <w:rPr>
                      <w:color w:val="auto"/>
                    </w:rPr>
                    <w:t>环保目标</w:t>
                  </w:r>
                </w:p>
              </w:tc>
              <w:tc>
                <w:tcPr>
                  <w:tcW w:w="658" w:type="pct"/>
                  <w:tcBorders>
                    <w:left w:val="single" w:color="auto" w:sz="4" w:space="0"/>
                    <w:bottom w:val="single" w:color="auto" w:sz="4" w:space="0"/>
                    <w:right w:val="single" w:color="auto" w:sz="4" w:space="0"/>
                  </w:tcBorders>
                  <w:vAlign w:val="center"/>
                </w:tcPr>
                <w:p w14:paraId="495166C0">
                  <w:pPr>
                    <w:pStyle w:val="52"/>
                    <w:rPr>
                      <w:color w:val="auto"/>
                    </w:rPr>
                  </w:pPr>
                  <w:r>
                    <w:rPr>
                      <w:color w:val="auto"/>
                    </w:rPr>
                    <w:t>基本情况</w:t>
                  </w:r>
                </w:p>
              </w:tc>
              <w:tc>
                <w:tcPr>
                  <w:tcW w:w="658" w:type="pct"/>
                  <w:tcBorders>
                    <w:left w:val="single" w:color="auto" w:sz="4" w:space="0"/>
                    <w:bottom w:val="single" w:color="auto" w:sz="4" w:space="0"/>
                    <w:right w:val="single" w:color="auto" w:sz="4" w:space="0"/>
                  </w:tcBorders>
                  <w:vAlign w:val="center"/>
                </w:tcPr>
                <w:p w14:paraId="0D548797">
                  <w:pPr>
                    <w:pStyle w:val="52"/>
                    <w:rPr>
                      <w:color w:val="auto"/>
                    </w:rPr>
                  </w:pPr>
                  <w:r>
                    <w:rPr>
                      <w:color w:val="auto"/>
                    </w:rPr>
                    <w:t>矿区位置关系</w:t>
                  </w:r>
                </w:p>
              </w:tc>
              <w:tc>
                <w:tcPr>
                  <w:tcW w:w="658" w:type="pct"/>
                  <w:tcBorders>
                    <w:left w:val="single" w:color="auto" w:sz="4" w:space="0"/>
                    <w:bottom w:val="single" w:color="auto" w:sz="4" w:space="0"/>
                    <w:right w:val="single" w:color="auto" w:sz="4" w:space="0"/>
                  </w:tcBorders>
                  <w:vAlign w:val="center"/>
                </w:tcPr>
                <w:p w14:paraId="09F5EAA5">
                  <w:pPr>
                    <w:pStyle w:val="52"/>
                    <w:rPr>
                      <w:color w:val="auto"/>
                    </w:rPr>
                  </w:pPr>
                  <w:r>
                    <w:rPr>
                      <w:color w:val="auto"/>
                    </w:rPr>
                    <w:t>与采场位置关系</w:t>
                  </w:r>
                </w:p>
              </w:tc>
              <w:tc>
                <w:tcPr>
                  <w:tcW w:w="731" w:type="pct"/>
                  <w:tcBorders>
                    <w:left w:val="single" w:color="auto" w:sz="4" w:space="0"/>
                    <w:bottom w:val="single" w:color="auto" w:sz="4" w:space="0"/>
                    <w:right w:val="single" w:color="auto" w:sz="4" w:space="0"/>
                  </w:tcBorders>
                  <w:vAlign w:val="center"/>
                </w:tcPr>
                <w:p w14:paraId="783E456D">
                  <w:pPr>
                    <w:pStyle w:val="52"/>
                    <w:rPr>
                      <w:color w:val="auto"/>
                    </w:rPr>
                  </w:pPr>
                  <w:r>
                    <w:rPr>
                      <w:color w:val="auto"/>
                    </w:rPr>
                    <w:t>与弃渣场位置关系</w:t>
                  </w:r>
                </w:p>
              </w:tc>
              <w:tc>
                <w:tcPr>
                  <w:tcW w:w="1476" w:type="pct"/>
                  <w:tcBorders>
                    <w:left w:val="single" w:color="auto" w:sz="4" w:space="0"/>
                    <w:bottom w:val="single" w:color="auto" w:sz="4" w:space="0"/>
                    <w:right w:val="single" w:color="auto" w:sz="4" w:space="0"/>
                  </w:tcBorders>
                  <w:vAlign w:val="center"/>
                </w:tcPr>
                <w:p w14:paraId="2ABBF4DF">
                  <w:pPr>
                    <w:pStyle w:val="52"/>
                    <w:rPr>
                      <w:color w:val="auto"/>
                    </w:rPr>
                  </w:pPr>
                  <w:r>
                    <w:rPr>
                      <w:color w:val="auto"/>
                    </w:rPr>
                    <w:t>保护级别</w:t>
                  </w:r>
                </w:p>
              </w:tc>
            </w:tr>
            <w:tr w14:paraId="386C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17" w:type="pct"/>
                  <w:vMerge w:val="restart"/>
                  <w:tcBorders>
                    <w:right w:val="single" w:color="auto" w:sz="4" w:space="0"/>
                  </w:tcBorders>
                  <w:vAlign w:val="center"/>
                </w:tcPr>
                <w:p w14:paraId="5019785E">
                  <w:pPr>
                    <w:pStyle w:val="52"/>
                    <w:rPr>
                      <w:color w:val="auto"/>
                    </w:rPr>
                  </w:pPr>
                  <w:r>
                    <w:rPr>
                      <w:color w:val="auto"/>
                    </w:rPr>
                    <w:t>大气环境</w:t>
                  </w:r>
                </w:p>
              </w:tc>
              <w:tc>
                <w:tcPr>
                  <w:tcW w:w="402" w:type="pct"/>
                  <w:tcBorders>
                    <w:left w:val="single" w:color="auto" w:sz="4" w:space="0"/>
                    <w:bottom w:val="single" w:color="auto" w:sz="4" w:space="0"/>
                    <w:right w:val="single" w:color="auto" w:sz="4" w:space="0"/>
                  </w:tcBorders>
                  <w:vAlign w:val="center"/>
                </w:tcPr>
                <w:p w14:paraId="04125EB5">
                  <w:pPr>
                    <w:pStyle w:val="52"/>
                    <w:rPr>
                      <w:color w:val="FF0000"/>
                    </w:rPr>
                  </w:pPr>
                  <w:r>
                    <w:rPr>
                      <w:color w:val="FF0000"/>
                    </w:rPr>
                    <w:t>芦姐萨村</w:t>
                  </w:r>
                </w:p>
              </w:tc>
              <w:tc>
                <w:tcPr>
                  <w:tcW w:w="658" w:type="pct"/>
                  <w:tcBorders>
                    <w:left w:val="single" w:color="auto" w:sz="4" w:space="0"/>
                    <w:right w:val="single" w:color="auto" w:sz="4" w:space="0"/>
                  </w:tcBorders>
                  <w:vAlign w:val="center"/>
                </w:tcPr>
                <w:p w14:paraId="1FDA8E56">
                  <w:pPr>
                    <w:pStyle w:val="52"/>
                    <w:rPr>
                      <w:color w:val="FF0000"/>
                    </w:rPr>
                  </w:pPr>
                  <w:r>
                    <w:rPr>
                      <w:color w:val="FF0000"/>
                    </w:rPr>
                    <w:t>55户170人</w:t>
                  </w:r>
                </w:p>
              </w:tc>
              <w:tc>
                <w:tcPr>
                  <w:tcW w:w="658" w:type="pct"/>
                  <w:tcBorders>
                    <w:left w:val="single" w:color="auto" w:sz="4" w:space="0"/>
                    <w:right w:val="single" w:color="auto" w:sz="4" w:space="0"/>
                  </w:tcBorders>
                  <w:vAlign w:val="center"/>
                </w:tcPr>
                <w:p w14:paraId="5CF554CE">
                  <w:pPr>
                    <w:pStyle w:val="52"/>
                    <w:rPr>
                      <w:color w:val="FF0000"/>
                    </w:rPr>
                  </w:pPr>
                  <w:r>
                    <w:rPr>
                      <w:color w:val="FF0000"/>
                    </w:rPr>
                    <w:t>西南侧、300m</w:t>
                  </w:r>
                </w:p>
              </w:tc>
              <w:tc>
                <w:tcPr>
                  <w:tcW w:w="658" w:type="pct"/>
                  <w:tcBorders>
                    <w:left w:val="single" w:color="auto" w:sz="4" w:space="0"/>
                    <w:right w:val="single" w:color="auto" w:sz="4" w:space="0"/>
                  </w:tcBorders>
                  <w:vAlign w:val="center"/>
                </w:tcPr>
                <w:p w14:paraId="33986711">
                  <w:pPr>
                    <w:pStyle w:val="52"/>
                    <w:rPr>
                      <w:color w:val="FF0000"/>
                    </w:rPr>
                  </w:pPr>
                  <w:r>
                    <w:rPr>
                      <w:color w:val="FF0000"/>
                    </w:rPr>
                    <w:t>西南侧、800m</w:t>
                  </w:r>
                </w:p>
              </w:tc>
              <w:tc>
                <w:tcPr>
                  <w:tcW w:w="731" w:type="pct"/>
                  <w:tcBorders>
                    <w:left w:val="single" w:color="auto" w:sz="4" w:space="0"/>
                    <w:right w:val="single" w:color="auto" w:sz="4" w:space="0"/>
                  </w:tcBorders>
                  <w:vAlign w:val="center"/>
                </w:tcPr>
                <w:p w14:paraId="2B0A680A">
                  <w:pPr>
                    <w:pStyle w:val="52"/>
                    <w:rPr>
                      <w:color w:val="FF0000"/>
                    </w:rPr>
                  </w:pPr>
                  <w:r>
                    <w:rPr>
                      <w:color w:val="FF0000"/>
                    </w:rPr>
                    <w:t>西南侧、1100m</w:t>
                  </w:r>
                </w:p>
              </w:tc>
              <w:tc>
                <w:tcPr>
                  <w:tcW w:w="1476" w:type="pct"/>
                  <w:vMerge w:val="restart"/>
                  <w:tcBorders>
                    <w:left w:val="single" w:color="auto" w:sz="4" w:space="0"/>
                    <w:right w:val="single" w:color="auto" w:sz="4" w:space="0"/>
                  </w:tcBorders>
                  <w:vAlign w:val="center"/>
                </w:tcPr>
                <w:p w14:paraId="2545AB5A">
                  <w:pPr>
                    <w:pStyle w:val="52"/>
                    <w:rPr>
                      <w:color w:val="auto"/>
                    </w:rPr>
                  </w:pPr>
                  <w:r>
                    <w:rPr>
                      <w:color w:val="auto"/>
                    </w:rPr>
                    <w:t>《环境空气质量标准》（GB3095-2012）二级标准</w:t>
                  </w:r>
                </w:p>
              </w:tc>
            </w:tr>
            <w:tr w14:paraId="26C2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17" w:type="pct"/>
                  <w:vMerge w:val="continue"/>
                  <w:tcBorders>
                    <w:right w:val="single" w:color="auto" w:sz="4" w:space="0"/>
                  </w:tcBorders>
                  <w:vAlign w:val="center"/>
                </w:tcPr>
                <w:p w14:paraId="749F4F1B">
                  <w:pPr>
                    <w:pStyle w:val="52"/>
                    <w:rPr>
                      <w:color w:val="auto"/>
                    </w:rPr>
                  </w:pPr>
                </w:p>
              </w:tc>
              <w:tc>
                <w:tcPr>
                  <w:tcW w:w="402" w:type="pct"/>
                  <w:tcBorders>
                    <w:left w:val="single" w:color="auto" w:sz="4" w:space="0"/>
                    <w:bottom w:val="single" w:color="auto" w:sz="4" w:space="0"/>
                    <w:right w:val="single" w:color="auto" w:sz="4" w:space="0"/>
                  </w:tcBorders>
                  <w:vAlign w:val="center"/>
                </w:tcPr>
                <w:p w14:paraId="47728269">
                  <w:pPr>
                    <w:pStyle w:val="52"/>
                    <w:rPr>
                      <w:color w:val="FF0000"/>
                    </w:rPr>
                  </w:pPr>
                  <w:r>
                    <w:rPr>
                      <w:color w:val="FF0000"/>
                    </w:rPr>
                    <w:t>户育村</w:t>
                  </w:r>
                </w:p>
              </w:tc>
              <w:tc>
                <w:tcPr>
                  <w:tcW w:w="658" w:type="pct"/>
                  <w:tcBorders>
                    <w:left w:val="single" w:color="auto" w:sz="4" w:space="0"/>
                    <w:right w:val="single" w:color="auto" w:sz="4" w:space="0"/>
                  </w:tcBorders>
                  <w:vAlign w:val="center"/>
                </w:tcPr>
                <w:p w14:paraId="175EEE92">
                  <w:pPr>
                    <w:pStyle w:val="52"/>
                    <w:rPr>
                      <w:color w:val="FF0000"/>
                    </w:rPr>
                  </w:pPr>
                  <w:r>
                    <w:rPr>
                      <w:color w:val="FF0000"/>
                    </w:rPr>
                    <w:t>185户650人</w:t>
                  </w:r>
                </w:p>
              </w:tc>
              <w:tc>
                <w:tcPr>
                  <w:tcW w:w="658" w:type="pct"/>
                  <w:tcBorders>
                    <w:left w:val="single" w:color="auto" w:sz="4" w:space="0"/>
                    <w:right w:val="single" w:color="auto" w:sz="4" w:space="0"/>
                  </w:tcBorders>
                  <w:vAlign w:val="center"/>
                </w:tcPr>
                <w:p w14:paraId="0A7BD57B">
                  <w:pPr>
                    <w:pStyle w:val="52"/>
                    <w:rPr>
                      <w:color w:val="FF0000"/>
                    </w:rPr>
                  </w:pPr>
                  <w:r>
                    <w:rPr>
                      <w:color w:val="FF0000"/>
                    </w:rPr>
                    <w:t>东北侧、1350m</w:t>
                  </w:r>
                </w:p>
              </w:tc>
              <w:tc>
                <w:tcPr>
                  <w:tcW w:w="658" w:type="pct"/>
                  <w:tcBorders>
                    <w:left w:val="single" w:color="auto" w:sz="4" w:space="0"/>
                    <w:right w:val="single" w:color="auto" w:sz="4" w:space="0"/>
                  </w:tcBorders>
                  <w:vAlign w:val="center"/>
                </w:tcPr>
                <w:p w14:paraId="231CE249">
                  <w:pPr>
                    <w:pStyle w:val="52"/>
                    <w:rPr>
                      <w:color w:val="FF0000"/>
                    </w:rPr>
                  </w:pPr>
                  <w:r>
                    <w:rPr>
                      <w:color w:val="FF0000"/>
                    </w:rPr>
                    <w:t>东北侧、1520m</w:t>
                  </w:r>
                </w:p>
              </w:tc>
              <w:tc>
                <w:tcPr>
                  <w:tcW w:w="731" w:type="pct"/>
                  <w:tcBorders>
                    <w:left w:val="single" w:color="auto" w:sz="4" w:space="0"/>
                    <w:right w:val="single" w:color="auto" w:sz="4" w:space="0"/>
                  </w:tcBorders>
                  <w:vAlign w:val="center"/>
                </w:tcPr>
                <w:p w14:paraId="0A5BB1EC">
                  <w:pPr>
                    <w:pStyle w:val="52"/>
                    <w:rPr>
                      <w:color w:val="FF0000"/>
                    </w:rPr>
                  </w:pPr>
                  <w:r>
                    <w:rPr>
                      <w:color w:val="FF0000"/>
                    </w:rPr>
                    <w:t>东北侧、1442m</w:t>
                  </w:r>
                </w:p>
              </w:tc>
              <w:tc>
                <w:tcPr>
                  <w:tcW w:w="1476" w:type="pct"/>
                  <w:vMerge w:val="continue"/>
                  <w:tcBorders>
                    <w:left w:val="single" w:color="auto" w:sz="4" w:space="0"/>
                    <w:right w:val="single" w:color="auto" w:sz="4" w:space="0"/>
                  </w:tcBorders>
                  <w:vAlign w:val="center"/>
                </w:tcPr>
                <w:p w14:paraId="6AD1D857">
                  <w:pPr>
                    <w:pStyle w:val="52"/>
                    <w:rPr>
                      <w:color w:val="auto"/>
                    </w:rPr>
                  </w:pPr>
                </w:p>
              </w:tc>
            </w:tr>
            <w:tr w14:paraId="6520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17" w:type="pct"/>
                  <w:tcBorders>
                    <w:right w:val="single" w:color="auto" w:sz="4" w:space="0"/>
                  </w:tcBorders>
                  <w:vAlign w:val="center"/>
                </w:tcPr>
                <w:p w14:paraId="41F63359">
                  <w:pPr>
                    <w:pStyle w:val="52"/>
                    <w:rPr>
                      <w:color w:val="auto"/>
                    </w:rPr>
                  </w:pPr>
                  <w:r>
                    <w:rPr>
                      <w:color w:val="auto"/>
                    </w:rPr>
                    <w:t>声环境</w:t>
                  </w:r>
                </w:p>
              </w:tc>
              <w:tc>
                <w:tcPr>
                  <w:tcW w:w="3107" w:type="pct"/>
                  <w:gridSpan w:val="5"/>
                  <w:tcBorders>
                    <w:right w:val="single" w:color="auto" w:sz="4" w:space="0"/>
                  </w:tcBorders>
                  <w:vAlign w:val="center"/>
                </w:tcPr>
                <w:p w14:paraId="0991882D">
                  <w:pPr>
                    <w:pStyle w:val="52"/>
                    <w:rPr>
                      <w:color w:val="auto"/>
                    </w:rPr>
                  </w:pPr>
                  <w:r>
                    <w:rPr>
                      <w:color w:val="auto"/>
                    </w:rPr>
                    <w:t>评价区域300m范围内无声环境保护目标</w:t>
                  </w:r>
                </w:p>
              </w:tc>
              <w:tc>
                <w:tcPr>
                  <w:tcW w:w="1476" w:type="pct"/>
                  <w:tcBorders>
                    <w:left w:val="single" w:color="auto" w:sz="4" w:space="0"/>
                    <w:right w:val="single" w:color="auto" w:sz="4" w:space="0"/>
                  </w:tcBorders>
                  <w:vAlign w:val="center"/>
                </w:tcPr>
                <w:p w14:paraId="2F0C3B5E">
                  <w:pPr>
                    <w:pStyle w:val="52"/>
                    <w:rPr>
                      <w:color w:val="auto"/>
                    </w:rPr>
                  </w:pPr>
                  <w:r>
                    <w:rPr>
                      <w:color w:val="auto"/>
                    </w:rPr>
                    <w:t>《声环境质量标准》（GB3096-2008）2类标准</w:t>
                  </w:r>
                </w:p>
              </w:tc>
            </w:tr>
            <w:tr w14:paraId="3C90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17" w:type="pct"/>
                  <w:tcBorders>
                    <w:right w:val="single" w:color="auto" w:sz="4" w:space="0"/>
                  </w:tcBorders>
                  <w:vAlign w:val="center"/>
                </w:tcPr>
                <w:p w14:paraId="7E54150D">
                  <w:pPr>
                    <w:pStyle w:val="52"/>
                    <w:rPr>
                      <w:color w:val="auto"/>
                    </w:rPr>
                  </w:pPr>
                  <w:r>
                    <w:rPr>
                      <w:color w:val="auto"/>
                    </w:rPr>
                    <w:t>水环境</w:t>
                  </w:r>
                </w:p>
              </w:tc>
              <w:tc>
                <w:tcPr>
                  <w:tcW w:w="402" w:type="pct"/>
                  <w:tcBorders>
                    <w:left w:val="single" w:color="auto" w:sz="4" w:space="0"/>
                    <w:right w:val="single" w:color="auto" w:sz="4" w:space="0"/>
                  </w:tcBorders>
                  <w:vAlign w:val="center"/>
                </w:tcPr>
                <w:p w14:paraId="2CEA03CC">
                  <w:pPr>
                    <w:pStyle w:val="52"/>
                    <w:rPr>
                      <w:color w:val="FF0000"/>
                    </w:rPr>
                  </w:pPr>
                  <w:r>
                    <w:rPr>
                      <w:color w:val="FF0000"/>
                    </w:rPr>
                    <w:t>南相章河</w:t>
                  </w:r>
                </w:p>
              </w:tc>
              <w:tc>
                <w:tcPr>
                  <w:tcW w:w="658" w:type="pct"/>
                  <w:tcBorders>
                    <w:left w:val="single" w:color="auto" w:sz="4" w:space="0"/>
                    <w:right w:val="single" w:color="auto" w:sz="4" w:space="0"/>
                  </w:tcBorders>
                  <w:vAlign w:val="center"/>
                </w:tcPr>
                <w:p w14:paraId="17C8AA88">
                  <w:pPr>
                    <w:pStyle w:val="52"/>
                    <w:rPr>
                      <w:color w:val="FF0000"/>
                    </w:rPr>
                  </w:pPr>
                  <w:r>
                    <w:rPr>
                      <w:rFonts w:hint="eastAsia" w:ascii="宋体" w:hAnsi="宋体" w:cs="宋体"/>
                      <w:bCs/>
                      <w:color w:val="FF0000"/>
                    </w:rPr>
                    <w:t>Ⅲ</w:t>
                  </w:r>
                  <w:r>
                    <w:rPr>
                      <w:color w:val="FF0000"/>
                    </w:rPr>
                    <w:t>类</w:t>
                  </w:r>
                </w:p>
              </w:tc>
              <w:tc>
                <w:tcPr>
                  <w:tcW w:w="658" w:type="pct"/>
                  <w:tcBorders>
                    <w:left w:val="single" w:color="auto" w:sz="4" w:space="0"/>
                    <w:right w:val="single" w:color="auto" w:sz="4" w:space="0"/>
                  </w:tcBorders>
                  <w:vAlign w:val="center"/>
                </w:tcPr>
                <w:p w14:paraId="51250599">
                  <w:pPr>
                    <w:pStyle w:val="52"/>
                    <w:rPr>
                      <w:bCs/>
                      <w:color w:val="FF0000"/>
                    </w:rPr>
                  </w:pPr>
                  <w:r>
                    <w:rPr>
                      <w:bCs/>
                      <w:color w:val="FF0000"/>
                    </w:rPr>
                    <w:t>东侧650m</w:t>
                  </w:r>
                </w:p>
              </w:tc>
              <w:tc>
                <w:tcPr>
                  <w:tcW w:w="658" w:type="pct"/>
                  <w:tcBorders>
                    <w:left w:val="single" w:color="auto" w:sz="4" w:space="0"/>
                    <w:right w:val="single" w:color="auto" w:sz="4" w:space="0"/>
                  </w:tcBorders>
                  <w:vAlign w:val="center"/>
                </w:tcPr>
                <w:p w14:paraId="51AFE93D">
                  <w:pPr>
                    <w:pStyle w:val="52"/>
                    <w:rPr>
                      <w:bCs/>
                      <w:color w:val="FF0000"/>
                    </w:rPr>
                  </w:pPr>
                  <w:r>
                    <w:rPr>
                      <w:bCs/>
                      <w:color w:val="FF0000"/>
                    </w:rPr>
                    <w:t>东侧800m</w:t>
                  </w:r>
                </w:p>
              </w:tc>
              <w:tc>
                <w:tcPr>
                  <w:tcW w:w="731" w:type="pct"/>
                  <w:tcBorders>
                    <w:left w:val="single" w:color="auto" w:sz="4" w:space="0"/>
                    <w:right w:val="single" w:color="auto" w:sz="4" w:space="0"/>
                  </w:tcBorders>
                  <w:vAlign w:val="center"/>
                </w:tcPr>
                <w:p w14:paraId="585782B9">
                  <w:pPr>
                    <w:pStyle w:val="52"/>
                    <w:rPr>
                      <w:color w:val="FF0000"/>
                    </w:rPr>
                  </w:pPr>
                  <w:r>
                    <w:rPr>
                      <w:color w:val="FF0000"/>
                    </w:rPr>
                    <w:t>东侧1000m</w:t>
                  </w:r>
                </w:p>
              </w:tc>
              <w:tc>
                <w:tcPr>
                  <w:tcW w:w="1476" w:type="pct"/>
                  <w:tcBorders>
                    <w:left w:val="single" w:color="auto" w:sz="4" w:space="0"/>
                    <w:right w:val="single" w:color="auto" w:sz="4" w:space="0"/>
                  </w:tcBorders>
                  <w:vAlign w:val="center"/>
                </w:tcPr>
                <w:p w14:paraId="681F6A86">
                  <w:pPr>
                    <w:pStyle w:val="52"/>
                    <w:rPr>
                      <w:color w:val="auto"/>
                    </w:rPr>
                  </w:pPr>
                  <w:r>
                    <w:rPr>
                      <w:color w:val="auto"/>
                    </w:rPr>
                    <w:t>《地表水环境质量标准》（GB3838-2002）</w:t>
                  </w:r>
                  <w:r>
                    <w:rPr>
                      <w:rFonts w:hint="eastAsia" w:ascii="宋体" w:hAnsi="宋体" w:cs="宋体"/>
                      <w:color w:val="auto"/>
                    </w:rPr>
                    <w:t>Ⅲ</w:t>
                  </w:r>
                  <w:r>
                    <w:rPr>
                      <w:color w:val="auto"/>
                    </w:rPr>
                    <w:t>类标准</w:t>
                  </w:r>
                </w:p>
              </w:tc>
            </w:tr>
            <w:tr w14:paraId="0DF8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17" w:type="pct"/>
                  <w:tcBorders>
                    <w:right w:val="single" w:color="auto" w:sz="4" w:space="0"/>
                  </w:tcBorders>
                  <w:vAlign w:val="center"/>
                </w:tcPr>
                <w:p w14:paraId="3D2906D2">
                  <w:pPr>
                    <w:pStyle w:val="52"/>
                    <w:rPr>
                      <w:color w:val="auto"/>
                    </w:rPr>
                  </w:pPr>
                  <w:r>
                    <w:rPr>
                      <w:color w:val="auto"/>
                    </w:rPr>
                    <w:t>生态环境</w:t>
                  </w:r>
                </w:p>
              </w:tc>
              <w:tc>
                <w:tcPr>
                  <w:tcW w:w="2376" w:type="pct"/>
                  <w:gridSpan w:val="4"/>
                  <w:tcBorders>
                    <w:left w:val="single" w:color="auto" w:sz="4" w:space="0"/>
                    <w:right w:val="single" w:color="auto" w:sz="4" w:space="0"/>
                  </w:tcBorders>
                  <w:vAlign w:val="center"/>
                </w:tcPr>
                <w:p w14:paraId="3C64521C">
                  <w:pPr>
                    <w:pStyle w:val="52"/>
                    <w:rPr>
                      <w:color w:val="auto"/>
                      <w:szCs w:val="21"/>
                    </w:rPr>
                  </w:pPr>
                  <w:r>
                    <w:rPr>
                      <w:color w:val="auto"/>
                      <w:szCs w:val="21"/>
                    </w:rPr>
                    <w:t>露天采场、水土流失以及周围的植被、耕地</w:t>
                  </w:r>
                </w:p>
              </w:tc>
              <w:tc>
                <w:tcPr>
                  <w:tcW w:w="731" w:type="pct"/>
                  <w:tcBorders>
                    <w:left w:val="single" w:color="auto" w:sz="4" w:space="0"/>
                    <w:right w:val="single" w:color="auto" w:sz="4" w:space="0"/>
                  </w:tcBorders>
                  <w:vAlign w:val="center"/>
                </w:tcPr>
                <w:p w14:paraId="40BA15C3">
                  <w:pPr>
                    <w:pStyle w:val="52"/>
                    <w:rPr>
                      <w:color w:val="auto"/>
                    </w:rPr>
                  </w:pPr>
                  <w:r>
                    <w:rPr>
                      <w:color w:val="auto"/>
                      <w:szCs w:val="21"/>
                    </w:rPr>
                    <w:t>评价范围内</w:t>
                  </w:r>
                </w:p>
              </w:tc>
              <w:tc>
                <w:tcPr>
                  <w:tcW w:w="1476" w:type="pct"/>
                  <w:tcBorders>
                    <w:left w:val="single" w:color="auto" w:sz="4" w:space="0"/>
                    <w:right w:val="single" w:color="auto" w:sz="4" w:space="0"/>
                  </w:tcBorders>
                  <w:vAlign w:val="center"/>
                </w:tcPr>
                <w:p w14:paraId="3511490E">
                  <w:pPr>
                    <w:pStyle w:val="52"/>
                    <w:rPr>
                      <w:color w:val="auto"/>
                    </w:rPr>
                  </w:pPr>
                  <w:r>
                    <w:rPr>
                      <w:color w:val="auto"/>
                    </w:rPr>
                    <w:t>保护现有的耕地、植被、动物，保持水土</w:t>
                  </w:r>
                </w:p>
              </w:tc>
            </w:tr>
          </w:tbl>
          <w:p w14:paraId="72597451">
            <w:pPr>
              <w:ind w:firstLine="480"/>
              <w:rPr>
                <w:rFonts w:cs="Times New Roman"/>
              </w:rPr>
            </w:pPr>
          </w:p>
          <w:p w14:paraId="7B306B0B">
            <w:pPr>
              <w:ind w:firstLine="480"/>
              <w:rPr>
                <w:rFonts w:cs="Times New Roman"/>
              </w:rPr>
            </w:pPr>
          </w:p>
          <w:p w14:paraId="34A8D07F">
            <w:pPr>
              <w:ind w:firstLine="480"/>
              <w:rPr>
                <w:rFonts w:cs="Times New Roman"/>
              </w:rPr>
            </w:pPr>
          </w:p>
          <w:p w14:paraId="1715306B">
            <w:pPr>
              <w:ind w:firstLine="480"/>
              <w:rPr>
                <w:rFonts w:cs="Times New Roman"/>
              </w:rPr>
            </w:pPr>
          </w:p>
          <w:p w14:paraId="6B9326C7">
            <w:pPr>
              <w:ind w:firstLine="480"/>
              <w:rPr>
                <w:rFonts w:cs="Times New Roman"/>
              </w:rPr>
            </w:pPr>
          </w:p>
          <w:p w14:paraId="48E1A131">
            <w:pPr>
              <w:ind w:firstLine="480"/>
              <w:rPr>
                <w:rFonts w:cs="Times New Roman"/>
              </w:rPr>
            </w:pPr>
          </w:p>
          <w:p w14:paraId="7A37678C">
            <w:pPr>
              <w:ind w:firstLine="480"/>
              <w:rPr>
                <w:rFonts w:cs="Times New Roman"/>
              </w:rPr>
            </w:pPr>
          </w:p>
          <w:p w14:paraId="570DF0A6">
            <w:pPr>
              <w:ind w:firstLine="480"/>
              <w:rPr>
                <w:rFonts w:cs="Times New Roman"/>
              </w:rPr>
            </w:pPr>
          </w:p>
          <w:p w14:paraId="53B5E1CE">
            <w:pPr>
              <w:ind w:firstLine="480"/>
              <w:rPr>
                <w:rFonts w:cs="Times New Roman"/>
              </w:rPr>
            </w:pPr>
          </w:p>
          <w:p w14:paraId="739466B7">
            <w:pPr>
              <w:ind w:firstLine="0" w:firstLineChars="0"/>
              <w:rPr>
                <w:rFonts w:cs="Times New Roman"/>
              </w:rPr>
            </w:pPr>
          </w:p>
        </w:tc>
      </w:tr>
    </w:tbl>
    <w:p w14:paraId="7EA0C26C">
      <w:pPr>
        <w:pStyle w:val="3"/>
        <w:rPr>
          <w:rFonts w:cs="Times New Roman"/>
        </w:rPr>
      </w:pPr>
      <w:bookmarkStart w:id="17" w:name="_Toc480991554"/>
      <w:bookmarkStart w:id="18" w:name="_Toc509498033"/>
      <w:bookmarkStart w:id="19" w:name="_Toc509498234"/>
      <w:bookmarkStart w:id="20" w:name="_Toc480990434"/>
      <w:r>
        <w:rPr>
          <w:rFonts w:cs="Times New Roman"/>
        </w:rPr>
        <w:t>表四、评价适用标准</w:t>
      </w:r>
      <w:bookmarkEnd w:id="17"/>
      <w:bookmarkEnd w:id="18"/>
      <w:bookmarkEnd w:id="19"/>
      <w:bookmarkEnd w:id="20"/>
    </w:p>
    <w:tbl>
      <w:tblPr>
        <w:tblStyle w:val="22"/>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67"/>
      </w:tblGrid>
      <w:tr w14:paraId="554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4C203C5">
            <w:pPr>
              <w:ind w:firstLine="0" w:firstLineChars="0"/>
              <w:jc w:val="center"/>
              <w:rPr>
                <w:rFonts w:cs="Times New Roman"/>
              </w:rPr>
            </w:pPr>
            <w:r>
              <w:rPr>
                <w:rFonts w:cs="Times New Roman"/>
              </w:rPr>
              <w:t>环境质量标准</w:t>
            </w:r>
          </w:p>
        </w:tc>
        <w:tc>
          <w:tcPr>
            <w:tcW w:w="9467" w:type="dxa"/>
            <w:vAlign w:val="center"/>
          </w:tcPr>
          <w:p w14:paraId="4902FCDE">
            <w:pPr>
              <w:ind w:firstLine="0" w:firstLineChars="0"/>
              <w:rPr>
                <w:rFonts w:cs="Times New Roman"/>
                <w:b/>
              </w:rPr>
            </w:pPr>
            <w:r>
              <w:rPr>
                <w:rFonts w:cs="Times New Roman"/>
                <w:b/>
              </w:rPr>
              <w:t>1、环境空气</w:t>
            </w:r>
          </w:p>
          <w:p w14:paraId="380139D0">
            <w:pPr>
              <w:ind w:firstLine="480"/>
              <w:rPr>
                <w:rFonts w:cs="Times New Roman"/>
              </w:rPr>
            </w:pPr>
            <w:r>
              <w:rPr>
                <w:rFonts w:cs="Times New Roman"/>
              </w:rPr>
              <w:t>本项目位于</w:t>
            </w:r>
            <w:r>
              <w:rPr>
                <w:rFonts w:cs="Times New Roman"/>
                <w:bCs/>
                <w:szCs w:val="24"/>
              </w:rPr>
              <w:t>芒市风平镇户育村</w:t>
            </w:r>
            <w:r>
              <w:rPr>
                <w:rFonts w:cs="Times New Roman"/>
              </w:rPr>
              <w:t>，属于环境空气质量二类区，执行《环境空气质量标准》（GB3095-2012）中二级标准，标准限值详见表4-1。</w:t>
            </w:r>
          </w:p>
          <w:p w14:paraId="0EC87F04">
            <w:pPr>
              <w:pStyle w:val="31"/>
              <w:rPr>
                <w:rFonts w:cs="Times New Roman"/>
              </w:rPr>
            </w:pPr>
            <w:r>
              <w:rPr>
                <w:rFonts w:cs="Times New Roman"/>
              </w:rPr>
              <w:t>表4-1  环境空气质量标准（单位：μg/m</w:t>
            </w:r>
            <w:r>
              <w:rPr>
                <w:rFonts w:cs="Times New Roman"/>
                <w:vertAlign w:val="superscript"/>
              </w:rPr>
              <w:t>3</w:t>
            </w:r>
            <w:r>
              <w:rPr>
                <w:rFonts w:cs="Times New Roman"/>
              </w:rPr>
              <w:t>）</w:t>
            </w:r>
          </w:p>
          <w:tbl>
            <w:tblPr>
              <w:tblStyle w:val="21"/>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73"/>
              <w:gridCol w:w="2070"/>
              <w:gridCol w:w="2704"/>
              <w:gridCol w:w="1904"/>
            </w:tblGrid>
            <w:tr w14:paraId="69D7F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90" w:hRule="atLeast"/>
                <w:jc w:val="center"/>
              </w:trPr>
              <w:tc>
                <w:tcPr>
                  <w:tcW w:w="2563" w:type="dxa"/>
                  <w:gridSpan w:val="2"/>
                  <w:tcBorders>
                    <w:top w:val="single" w:color="auto" w:sz="4" w:space="0"/>
                    <w:left w:val="single" w:color="auto" w:sz="4" w:space="0"/>
                    <w:bottom w:val="single" w:color="auto" w:sz="4" w:space="0"/>
                    <w:tl2br w:val="single" w:color="auto" w:sz="4" w:space="0"/>
                  </w:tcBorders>
                  <w:vAlign w:val="center"/>
                </w:tcPr>
                <w:p w14:paraId="4CC87635">
                  <w:pPr>
                    <w:pStyle w:val="52"/>
                    <w:rPr>
                      <w:color w:val="auto"/>
                    </w:rPr>
                  </w:pPr>
                  <w:r>
                    <w:rPr>
                      <w:color w:val="auto"/>
                    </w:rPr>
                    <w:t xml:space="preserve">                标准</w:t>
                  </w:r>
                </w:p>
                <w:p w14:paraId="4B5E1DC1">
                  <w:pPr>
                    <w:pStyle w:val="52"/>
                    <w:jc w:val="both"/>
                    <w:rPr>
                      <w:color w:val="auto"/>
                    </w:rPr>
                  </w:pPr>
                  <w:r>
                    <w:rPr>
                      <w:color w:val="auto"/>
                    </w:rPr>
                    <w:t>污染物</w:t>
                  </w:r>
                </w:p>
              </w:tc>
              <w:tc>
                <w:tcPr>
                  <w:tcW w:w="2070" w:type="dxa"/>
                  <w:tcBorders>
                    <w:top w:val="single" w:color="auto" w:sz="4" w:space="0"/>
                  </w:tcBorders>
                  <w:vAlign w:val="center"/>
                </w:tcPr>
                <w:p w14:paraId="1CDBCE70">
                  <w:pPr>
                    <w:pStyle w:val="52"/>
                    <w:rPr>
                      <w:color w:val="auto"/>
                    </w:rPr>
                  </w:pPr>
                  <w:r>
                    <w:rPr>
                      <w:color w:val="auto"/>
                    </w:rPr>
                    <w:t>1小时</w:t>
                  </w:r>
                </w:p>
              </w:tc>
              <w:tc>
                <w:tcPr>
                  <w:tcW w:w="2704" w:type="dxa"/>
                  <w:tcBorders>
                    <w:top w:val="single" w:color="auto" w:sz="4" w:space="0"/>
                    <w:right w:val="single" w:color="auto" w:sz="4" w:space="0"/>
                  </w:tcBorders>
                  <w:vAlign w:val="center"/>
                </w:tcPr>
                <w:p w14:paraId="06C63C1D">
                  <w:pPr>
                    <w:pStyle w:val="52"/>
                    <w:rPr>
                      <w:color w:val="auto"/>
                    </w:rPr>
                  </w:pPr>
                  <w:r>
                    <w:rPr>
                      <w:color w:val="auto"/>
                    </w:rPr>
                    <w:t>24小时平均</w:t>
                  </w:r>
                </w:p>
              </w:tc>
              <w:tc>
                <w:tcPr>
                  <w:tcW w:w="1904" w:type="dxa"/>
                  <w:tcBorders>
                    <w:top w:val="single" w:color="auto" w:sz="4" w:space="0"/>
                    <w:left w:val="single" w:color="auto" w:sz="4" w:space="0"/>
                    <w:bottom w:val="single" w:color="auto" w:sz="4" w:space="0"/>
                    <w:right w:val="single" w:color="auto" w:sz="4" w:space="0"/>
                  </w:tcBorders>
                  <w:vAlign w:val="center"/>
                </w:tcPr>
                <w:p w14:paraId="6A745FF4">
                  <w:pPr>
                    <w:pStyle w:val="52"/>
                    <w:rPr>
                      <w:color w:val="auto"/>
                    </w:rPr>
                  </w:pPr>
                  <w:r>
                    <w:rPr>
                      <w:color w:val="auto"/>
                    </w:rPr>
                    <w:t>年平均</w:t>
                  </w:r>
                </w:p>
              </w:tc>
            </w:tr>
            <w:tr w14:paraId="2FE75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restart"/>
                  <w:tcBorders>
                    <w:top w:val="single" w:color="auto" w:sz="4" w:space="0"/>
                    <w:left w:val="single" w:color="auto" w:sz="4" w:space="0"/>
                  </w:tcBorders>
                  <w:vAlign w:val="center"/>
                </w:tcPr>
                <w:p w14:paraId="5E193FB4">
                  <w:pPr>
                    <w:pStyle w:val="52"/>
                    <w:rPr>
                      <w:color w:val="auto"/>
                    </w:rPr>
                  </w:pPr>
                  <w:r>
                    <w:rPr>
                      <w:color w:val="auto"/>
                    </w:rPr>
                    <w:t>二级标准</w:t>
                  </w:r>
                </w:p>
              </w:tc>
              <w:tc>
                <w:tcPr>
                  <w:tcW w:w="1273" w:type="dxa"/>
                  <w:tcBorders>
                    <w:top w:val="single" w:color="auto" w:sz="4" w:space="0"/>
                    <w:left w:val="single" w:color="auto" w:sz="4" w:space="0"/>
                  </w:tcBorders>
                  <w:vAlign w:val="center"/>
                </w:tcPr>
                <w:p w14:paraId="683328EB">
                  <w:pPr>
                    <w:pStyle w:val="52"/>
                    <w:rPr>
                      <w:color w:val="auto"/>
                    </w:rPr>
                  </w:pPr>
                  <w:r>
                    <w:rPr>
                      <w:color w:val="auto"/>
                    </w:rPr>
                    <w:t>SO</w:t>
                  </w:r>
                  <w:r>
                    <w:rPr>
                      <w:color w:val="auto"/>
                      <w:vertAlign w:val="subscript"/>
                    </w:rPr>
                    <w:t>2</w:t>
                  </w:r>
                </w:p>
              </w:tc>
              <w:tc>
                <w:tcPr>
                  <w:tcW w:w="2070" w:type="dxa"/>
                  <w:vAlign w:val="center"/>
                </w:tcPr>
                <w:p w14:paraId="16079752">
                  <w:pPr>
                    <w:pStyle w:val="52"/>
                    <w:rPr>
                      <w:color w:val="auto"/>
                    </w:rPr>
                  </w:pPr>
                  <w:r>
                    <w:rPr>
                      <w:color w:val="auto"/>
                    </w:rPr>
                    <w:t>500</w:t>
                  </w:r>
                </w:p>
              </w:tc>
              <w:tc>
                <w:tcPr>
                  <w:tcW w:w="2704" w:type="dxa"/>
                  <w:tcBorders>
                    <w:right w:val="single" w:color="auto" w:sz="4" w:space="0"/>
                  </w:tcBorders>
                  <w:vAlign w:val="center"/>
                </w:tcPr>
                <w:p w14:paraId="3E3A599D">
                  <w:pPr>
                    <w:pStyle w:val="52"/>
                    <w:rPr>
                      <w:color w:val="auto"/>
                    </w:rPr>
                  </w:pPr>
                  <w:r>
                    <w:rPr>
                      <w:color w:val="auto"/>
                    </w:rPr>
                    <w:t>150</w:t>
                  </w:r>
                </w:p>
              </w:tc>
              <w:tc>
                <w:tcPr>
                  <w:tcW w:w="1904" w:type="dxa"/>
                  <w:tcBorders>
                    <w:top w:val="single" w:color="auto" w:sz="4" w:space="0"/>
                    <w:left w:val="single" w:color="auto" w:sz="4" w:space="0"/>
                    <w:bottom w:val="single" w:color="auto" w:sz="4" w:space="0"/>
                    <w:right w:val="single" w:color="auto" w:sz="4" w:space="0"/>
                  </w:tcBorders>
                  <w:vAlign w:val="center"/>
                </w:tcPr>
                <w:p w14:paraId="1DE27087">
                  <w:pPr>
                    <w:pStyle w:val="52"/>
                    <w:rPr>
                      <w:color w:val="auto"/>
                    </w:rPr>
                  </w:pPr>
                  <w:r>
                    <w:rPr>
                      <w:color w:val="auto"/>
                    </w:rPr>
                    <w:t>60</w:t>
                  </w:r>
                </w:p>
              </w:tc>
            </w:tr>
            <w:tr w14:paraId="4ED85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6C94FA54">
                  <w:pPr>
                    <w:pStyle w:val="52"/>
                    <w:rPr>
                      <w:color w:val="auto"/>
                    </w:rPr>
                  </w:pPr>
                </w:p>
              </w:tc>
              <w:tc>
                <w:tcPr>
                  <w:tcW w:w="1273" w:type="dxa"/>
                  <w:tcBorders>
                    <w:left w:val="single" w:color="auto" w:sz="4" w:space="0"/>
                  </w:tcBorders>
                  <w:vAlign w:val="center"/>
                </w:tcPr>
                <w:p w14:paraId="08E07009">
                  <w:pPr>
                    <w:pStyle w:val="52"/>
                    <w:rPr>
                      <w:color w:val="auto"/>
                    </w:rPr>
                  </w:pPr>
                  <w:r>
                    <w:rPr>
                      <w:color w:val="auto"/>
                    </w:rPr>
                    <w:t>NO</w:t>
                  </w:r>
                  <w:r>
                    <w:rPr>
                      <w:color w:val="auto"/>
                      <w:vertAlign w:val="subscript"/>
                    </w:rPr>
                    <w:t>2</w:t>
                  </w:r>
                </w:p>
              </w:tc>
              <w:tc>
                <w:tcPr>
                  <w:tcW w:w="2070" w:type="dxa"/>
                  <w:tcBorders>
                    <w:bottom w:val="single" w:color="auto" w:sz="4" w:space="0"/>
                  </w:tcBorders>
                  <w:vAlign w:val="center"/>
                </w:tcPr>
                <w:p w14:paraId="69C04C47">
                  <w:pPr>
                    <w:pStyle w:val="52"/>
                    <w:rPr>
                      <w:color w:val="auto"/>
                    </w:rPr>
                  </w:pPr>
                  <w:r>
                    <w:rPr>
                      <w:color w:val="auto"/>
                    </w:rPr>
                    <w:t>20</w:t>
                  </w:r>
                </w:p>
              </w:tc>
              <w:tc>
                <w:tcPr>
                  <w:tcW w:w="2704" w:type="dxa"/>
                  <w:tcBorders>
                    <w:bottom w:val="single" w:color="auto" w:sz="4" w:space="0"/>
                    <w:right w:val="single" w:color="auto" w:sz="4" w:space="0"/>
                  </w:tcBorders>
                  <w:vAlign w:val="center"/>
                </w:tcPr>
                <w:p w14:paraId="58D9635F">
                  <w:pPr>
                    <w:pStyle w:val="52"/>
                    <w:rPr>
                      <w:color w:val="auto"/>
                    </w:rPr>
                  </w:pPr>
                  <w:r>
                    <w:rPr>
                      <w:color w:val="auto"/>
                    </w:rPr>
                    <w:t>80</w:t>
                  </w:r>
                </w:p>
              </w:tc>
              <w:tc>
                <w:tcPr>
                  <w:tcW w:w="1904" w:type="dxa"/>
                  <w:tcBorders>
                    <w:top w:val="single" w:color="auto" w:sz="4" w:space="0"/>
                    <w:left w:val="single" w:color="auto" w:sz="4" w:space="0"/>
                    <w:bottom w:val="single" w:color="auto" w:sz="4" w:space="0"/>
                    <w:right w:val="single" w:color="auto" w:sz="4" w:space="0"/>
                  </w:tcBorders>
                  <w:vAlign w:val="center"/>
                </w:tcPr>
                <w:p w14:paraId="5DF31F2C">
                  <w:pPr>
                    <w:pStyle w:val="52"/>
                    <w:rPr>
                      <w:color w:val="auto"/>
                    </w:rPr>
                  </w:pPr>
                  <w:r>
                    <w:rPr>
                      <w:color w:val="auto"/>
                    </w:rPr>
                    <w:t>40</w:t>
                  </w:r>
                </w:p>
              </w:tc>
            </w:tr>
            <w:tr w14:paraId="6E45D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291AF852">
                  <w:pPr>
                    <w:pStyle w:val="52"/>
                    <w:rPr>
                      <w:color w:val="auto"/>
                    </w:rPr>
                  </w:pPr>
                </w:p>
              </w:tc>
              <w:tc>
                <w:tcPr>
                  <w:tcW w:w="1273" w:type="dxa"/>
                  <w:tcBorders>
                    <w:left w:val="single" w:color="auto" w:sz="4" w:space="0"/>
                  </w:tcBorders>
                  <w:vAlign w:val="center"/>
                </w:tcPr>
                <w:p w14:paraId="39C97F1F">
                  <w:pPr>
                    <w:pStyle w:val="52"/>
                    <w:rPr>
                      <w:color w:val="auto"/>
                    </w:rPr>
                  </w:pPr>
                  <w:r>
                    <w:rPr>
                      <w:color w:val="auto"/>
                    </w:rPr>
                    <w:t>PM</w:t>
                  </w:r>
                  <w:r>
                    <w:rPr>
                      <w:color w:val="auto"/>
                      <w:vertAlign w:val="subscript"/>
                    </w:rPr>
                    <w:t>10</w:t>
                  </w:r>
                </w:p>
              </w:tc>
              <w:tc>
                <w:tcPr>
                  <w:tcW w:w="2070" w:type="dxa"/>
                  <w:tcBorders>
                    <w:bottom w:val="single" w:color="auto" w:sz="4" w:space="0"/>
                  </w:tcBorders>
                  <w:vAlign w:val="center"/>
                </w:tcPr>
                <w:p w14:paraId="1FC50C7F">
                  <w:pPr>
                    <w:pStyle w:val="52"/>
                    <w:rPr>
                      <w:color w:val="auto"/>
                    </w:rPr>
                  </w:pPr>
                  <w:r>
                    <w:rPr>
                      <w:color w:val="auto"/>
                    </w:rPr>
                    <w:t>-</w:t>
                  </w:r>
                </w:p>
              </w:tc>
              <w:tc>
                <w:tcPr>
                  <w:tcW w:w="2704" w:type="dxa"/>
                  <w:tcBorders>
                    <w:bottom w:val="single" w:color="auto" w:sz="4" w:space="0"/>
                    <w:right w:val="single" w:color="auto" w:sz="4" w:space="0"/>
                  </w:tcBorders>
                  <w:vAlign w:val="center"/>
                </w:tcPr>
                <w:p w14:paraId="2BE1CEE9">
                  <w:pPr>
                    <w:pStyle w:val="52"/>
                    <w:rPr>
                      <w:color w:val="auto"/>
                    </w:rPr>
                  </w:pPr>
                  <w:r>
                    <w:rPr>
                      <w:color w:val="auto"/>
                    </w:rPr>
                    <w:t>150</w:t>
                  </w:r>
                </w:p>
              </w:tc>
              <w:tc>
                <w:tcPr>
                  <w:tcW w:w="1904" w:type="dxa"/>
                  <w:tcBorders>
                    <w:top w:val="single" w:color="auto" w:sz="4" w:space="0"/>
                    <w:left w:val="single" w:color="auto" w:sz="4" w:space="0"/>
                    <w:bottom w:val="single" w:color="auto" w:sz="4" w:space="0"/>
                    <w:right w:val="single" w:color="auto" w:sz="4" w:space="0"/>
                  </w:tcBorders>
                  <w:vAlign w:val="center"/>
                </w:tcPr>
                <w:p w14:paraId="51702B28">
                  <w:pPr>
                    <w:pStyle w:val="52"/>
                    <w:rPr>
                      <w:color w:val="auto"/>
                    </w:rPr>
                  </w:pPr>
                  <w:r>
                    <w:rPr>
                      <w:color w:val="auto"/>
                    </w:rPr>
                    <w:t>70</w:t>
                  </w:r>
                </w:p>
              </w:tc>
            </w:tr>
            <w:tr w14:paraId="7CC8A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7D332310">
                  <w:pPr>
                    <w:pStyle w:val="52"/>
                    <w:rPr>
                      <w:color w:val="auto"/>
                    </w:rPr>
                  </w:pPr>
                </w:p>
              </w:tc>
              <w:tc>
                <w:tcPr>
                  <w:tcW w:w="1273" w:type="dxa"/>
                  <w:tcBorders>
                    <w:left w:val="single" w:color="auto" w:sz="4" w:space="0"/>
                  </w:tcBorders>
                  <w:vAlign w:val="center"/>
                </w:tcPr>
                <w:p w14:paraId="4A13BB10">
                  <w:pPr>
                    <w:pStyle w:val="52"/>
                    <w:rPr>
                      <w:color w:val="auto"/>
                    </w:rPr>
                  </w:pPr>
                  <w:r>
                    <w:rPr>
                      <w:color w:val="auto"/>
                    </w:rPr>
                    <w:t>PM</w:t>
                  </w:r>
                  <w:r>
                    <w:rPr>
                      <w:color w:val="auto"/>
                      <w:vertAlign w:val="subscript"/>
                    </w:rPr>
                    <w:t>2.5</w:t>
                  </w:r>
                </w:p>
              </w:tc>
              <w:tc>
                <w:tcPr>
                  <w:tcW w:w="2070" w:type="dxa"/>
                  <w:tcBorders>
                    <w:top w:val="single" w:color="auto" w:sz="4" w:space="0"/>
                    <w:bottom w:val="single" w:color="auto" w:sz="4" w:space="0"/>
                  </w:tcBorders>
                  <w:vAlign w:val="center"/>
                </w:tcPr>
                <w:p w14:paraId="0BCB3B46">
                  <w:pPr>
                    <w:pStyle w:val="52"/>
                    <w:rPr>
                      <w:color w:val="auto"/>
                    </w:rPr>
                  </w:pPr>
                  <w:r>
                    <w:rPr>
                      <w:color w:val="auto"/>
                    </w:rPr>
                    <w:t>-</w:t>
                  </w:r>
                </w:p>
              </w:tc>
              <w:tc>
                <w:tcPr>
                  <w:tcW w:w="2704" w:type="dxa"/>
                  <w:tcBorders>
                    <w:top w:val="single" w:color="auto" w:sz="4" w:space="0"/>
                    <w:bottom w:val="single" w:color="auto" w:sz="4" w:space="0"/>
                    <w:right w:val="single" w:color="auto" w:sz="4" w:space="0"/>
                  </w:tcBorders>
                  <w:vAlign w:val="center"/>
                </w:tcPr>
                <w:p w14:paraId="1ED0E949">
                  <w:pPr>
                    <w:pStyle w:val="52"/>
                    <w:rPr>
                      <w:color w:val="auto"/>
                    </w:rPr>
                  </w:pPr>
                  <w:r>
                    <w:rPr>
                      <w:color w:val="auto"/>
                    </w:rPr>
                    <w:t>75</w:t>
                  </w:r>
                </w:p>
              </w:tc>
              <w:tc>
                <w:tcPr>
                  <w:tcW w:w="1904" w:type="dxa"/>
                  <w:tcBorders>
                    <w:top w:val="single" w:color="auto" w:sz="4" w:space="0"/>
                    <w:left w:val="single" w:color="auto" w:sz="4" w:space="0"/>
                    <w:bottom w:val="single" w:color="auto" w:sz="4" w:space="0"/>
                    <w:right w:val="single" w:color="auto" w:sz="4" w:space="0"/>
                  </w:tcBorders>
                  <w:vAlign w:val="center"/>
                </w:tcPr>
                <w:p w14:paraId="5D46B904">
                  <w:pPr>
                    <w:pStyle w:val="52"/>
                    <w:rPr>
                      <w:color w:val="auto"/>
                    </w:rPr>
                  </w:pPr>
                  <w:r>
                    <w:rPr>
                      <w:color w:val="auto"/>
                    </w:rPr>
                    <w:t>35</w:t>
                  </w:r>
                </w:p>
              </w:tc>
            </w:tr>
            <w:tr w14:paraId="6056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bottom w:val="single" w:color="auto" w:sz="4" w:space="0"/>
                  </w:tcBorders>
                  <w:vAlign w:val="center"/>
                </w:tcPr>
                <w:p w14:paraId="006BBCC5">
                  <w:pPr>
                    <w:pStyle w:val="52"/>
                    <w:rPr>
                      <w:color w:val="auto"/>
                    </w:rPr>
                  </w:pPr>
                </w:p>
              </w:tc>
              <w:tc>
                <w:tcPr>
                  <w:tcW w:w="1273" w:type="dxa"/>
                  <w:tcBorders>
                    <w:left w:val="single" w:color="auto" w:sz="4" w:space="0"/>
                    <w:bottom w:val="single" w:color="auto" w:sz="4" w:space="0"/>
                  </w:tcBorders>
                  <w:vAlign w:val="center"/>
                </w:tcPr>
                <w:p w14:paraId="6391C068">
                  <w:pPr>
                    <w:pStyle w:val="52"/>
                    <w:rPr>
                      <w:color w:val="auto"/>
                    </w:rPr>
                  </w:pPr>
                  <w:r>
                    <w:rPr>
                      <w:color w:val="auto"/>
                    </w:rPr>
                    <w:t>TSP</w:t>
                  </w:r>
                </w:p>
              </w:tc>
              <w:tc>
                <w:tcPr>
                  <w:tcW w:w="2070" w:type="dxa"/>
                  <w:tcBorders>
                    <w:top w:val="single" w:color="auto" w:sz="4" w:space="0"/>
                    <w:bottom w:val="single" w:color="auto" w:sz="4" w:space="0"/>
                  </w:tcBorders>
                  <w:vAlign w:val="center"/>
                </w:tcPr>
                <w:p w14:paraId="23B85674">
                  <w:pPr>
                    <w:pStyle w:val="52"/>
                    <w:rPr>
                      <w:color w:val="auto"/>
                    </w:rPr>
                  </w:pPr>
                  <w:r>
                    <w:rPr>
                      <w:color w:val="auto"/>
                    </w:rPr>
                    <w:t>-</w:t>
                  </w:r>
                </w:p>
              </w:tc>
              <w:tc>
                <w:tcPr>
                  <w:tcW w:w="2704" w:type="dxa"/>
                  <w:tcBorders>
                    <w:top w:val="single" w:color="auto" w:sz="4" w:space="0"/>
                    <w:bottom w:val="single" w:color="auto" w:sz="4" w:space="0"/>
                    <w:right w:val="single" w:color="auto" w:sz="4" w:space="0"/>
                  </w:tcBorders>
                  <w:vAlign w:val="center"/>
                </w:tcPr>
                <w:p w14:paraId="3849D95C">
                  <w:pPr>
                    <w:pStyle w:val="52"/>
                    <w:rPr>
                      <w:color w:val="auto"/>
                    </w:rPr>
                  </w:pPr>
                  <w:r>
                    <w:rPr>
                      <w:color w:val="auto"/>
                    </w:rPr>
                    <w:t>300</w:t>
                  </w:r>
                </w:p>
              </w:tc>
              <w:tc>
                <w:tcPr>
                  <w:tcW w:w="1904" w:type="dxa"/>
                  <w:tcBorders>
                    <w:top w:val="single" w:color="auto" w:sz="4" w:space="0"/>
                    <w:left w:val="single" w:color="auto" w:sz="4" w:space="0"/>
                    <w:bottom w:val="single" w:color="auto" w:sz="4" w:space="0"/>
                    <w:right w:val="single" w:color="auto" w:sz="4" w:space="0"/>
                  </w:tcBorders>
                  <w:vAlign w:val="center"/>
                </w:tcPr>
                <w:p w14:paraId="79E0B918">
                  <w:pPr>
                    <w:pStyle w:val="52"/>
                    <w:rPr>
                      <w:color w:val="auto"/>
                    </w:rPr>
                  </w:pPr>
                  <w:r>
                    <w:rPr>
                      <w:color w:val="auto"/>
                    </w:rPr>
                    <w:t>200</w:t>
                  </w:r>
                </w:p>
              </w:tc>
            </w:tr>
          </w:tbl>
          <w:p w14:paraId="0827667B">
            <w:pPr>
              <w:ind w:firstLine="0" w:firstLineChars="0"/>
              <w:rPr>
                <w:rFonts w:cs="Times New Roman"/>
                <w:b/>
              </w:rPr>
            </w:pPr>
            <w:r>
              <w:rPr>
                <w:rFonts w:cs="Times New Roman"/>
                <w:b/>
              </w:rPr>
              <w:t>2、地表水环境质量标准</w:t>
            </w:r>
          </w:p>
          <w:p w14:paraId="15DDCDF0">
            <w:pPr>
              <w:ind w:firstLine="480"/>
              <w:rPr>
                <w:rFonts w:cs="Times New Roman"/>
              </w:rPr>
            </w:pPr>
            <w:r>
              <w:rPr>
                <w:rFonts w:cs="Times New Roman"/>
                <w:bCs/>
              </w:rPr>
              <w:t>本项目纳污水体为项目矿界东侧650m的南相章河，</w:t>
            </w:r>
            <w:r>
              <w:rPr>
                <w:rFonts w:cs="Times New Roman"/>
                <w:bCs/>
                <w:lang w:val="zh-CN"/>
              </w:rPr>
              <w:t>南相章河属于戈朗河的左岸支流，戈朗河</w:t>
            </w:r>
            <w:r>
              <w:rPr>
                <w:rFonts w:cs="Times New Roman"/>
              </w:rPr>
              <w:t>属于芒市大河的左岸支流，芒市大河为瑞丽江左岸一级支流，属伊洛瓦底江水系。</w:t>
            </w:r>
            <w:r>
              <w:rPr>
                <w:rFonts w:cs="Times New Roman"/>
                <w:bCs/>
              </w:rPr>
              <w:t>根据《云南省地表水水环境功能区划（2010~2020）》，芒市大河“木康断面-入瑞丽江口”水环境功能为农业用水、工业用水，水质类别为</w:t>
            </w:r>
            <w:r>
              <w:rPr>
                <w:rFonts w:hint="eastAsia" w:ascii="宋体" w:hAnsi="宋体" w:cs="宋体"/>
                <w:bCs/>
              </w:rPr>
              <w:t>Ⅲ</w:t>
            </w:r>
            <w:r>
              <w:rPr>
                <w:rFonts w:cs="Times New Roman"/>
                <w:bCs/>
              </w:rPr>
              <w:t>类，故南相章河参照执行《地表水环境质量标准》（GB3838-2002）</w:t>
            </w:r>
            <w:r>
              <w:rPr>
                <w:rFonts w:hint="eastAsia" w:ascii="宋体" w:hAnsi="宋体" w:cs="宋体"/>
                <w:bCs/>
              </w:rPr>
              <w:t>Ⅲ</w:t>
            </w:r>
            <w:r>
              <w:rPr>
                <w:rFonts w:cs="Times New Roman"/>
                <w:bCs/>
              </w:rPr>
              <w:t>类标准，</w:t>
            </w:r>
            <w:r>
              <w:rPr>
                <w:rFonts w:cs="Times New Roman"/>
              </w:rPr>
              <w:t>标准限值详见表4-2。</w:t>
            </w:r>
          </w:p>
          <w:p w14:paraId="69F51052">
            <w:pPr>
              <w:pStyle w:val="31"/>
              <w:rPr>
                <w:rFonts w:cs="Times New Roman"/>
              </w:rPr>
            </w:pPr>
            <w:r>
              <w:rPr>
                <w:rFonts w:cs="Times New Roman"/>
              </w:rPr>
              <w:t>表4-2  地表水环境质量标准</w:t>
            </w:r>
            <w:r>
              <w:rPr>
                <w:rFonts w:hint="eastAsia" w:ascii="宋体" w:hAnsi="宋体" w:cs="宋体"/>
                <w:bCs/>
              </w:rPr>
              <w:t>Ⅲ</w:t>
            </w:r>
            <w:r>
              <w:rPr>
                <w:rFonts w:cs="Times New Roman"/>
              </w:rPr>
              <w:t>类  单位：除pH外，均为mg/L</w:t>
            </w:r>
          </w:p>
          <w:tbl>
            <w:tblPr>
              <w:tblStyle w:val="2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1"/>
              <w:gridCol w:w="1255"/>
              <w:gridCol w:w="1255"/>
              <w:gridCol w:w="1255"/>
              <w:gridCol w:w="1255"/>
              <w:gridCol w:w="1255"/>
              <w:gridCol w:w="1255"/>
            </w:tblGrid>
            <w:tr w14:paraId="3EFA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11" w:type="dxa"/>
                  <w:vAlign w:val="center"/>
                </w:tcPr>
                <w:p w14:paraId="26F52151">
                  <w:pPr>
                    <w:pStyle w:val="52"/>
                    <w:rPr>
                      <w:color w:val="auto"/>
                    </w:rPr>
                  </w:pPr>
                  <w:r>
                    <w:rPr>
                      <w:color w:val="auto"/>
                    </w:rPr>
                    <w:t>项目</w:t>
                  </w:r>
                </w:p>
              </w:tc>
              <w:tc>
                <w:tcPr>
                  <w:tcW w:w="1255" w:type="dxa"/>
                  <w:vAlign w:val="center"/>
                </w:tcPr>
                <w:p w14:paraId="074F68A5">
                  <w:pPr>
                    <w:pStyle w:val="52"/>
                    <w:rPr>
                      <w:color w:val="auto"/>
                    </w:rPr>
                  </w:pPr>
                  <w:r>
                    <w:rPr>
                      <w:color w:val="auto"/>
                    </w:rPr>
                    <w:t>pH值</w:t>
                  </w:r>
                </w:p>
                <w:p w14:paraId="6A3C3EF0">
                  <w:pPr>
                    <w:pStyle w:val="52"/>
                    <w:rPr>
                      <w:color w:val="auto"/>
                    </w:rPr>
                  </w:pPr>
                  <w:r>
                    <w:rPr>
                      <w:color w:val="auto"/>
                    </w:rPr>
                    <w:t>（无量纲）</w:t>
                  </w:r>
                </w:p>
              </w:tc>
              <w:tc>
                <w:tcPr>
                  <w:tcW w:w="1255" w:type="dxa"/>
                  <w:vAlign w:val="center"/>
                </w:tcPr>
                <w:p w14:paraId="6FEA5583">
                  <w:pPr>
                    <w:pStyle w:val="52"/>
                    <w:rPr>
                      <w:color w:val="auto"/>
                    </w:rPr>
                  </w:pPr>
                  <w:r>
                    <w:rPr>
                      <w:color w:val="auto"/>
                    </w:rPr>
                    <w:t>COD</w:t>
                  </w:r>
                </w:p>
              </w:tc>
              <w:tc>
                <w:tcPr>
                  <w:tcW w:w="1255" w:type="dxa"/>
                  <w:vAlign w:val="center"/>
                </w:tcPr>
                <w:p w14:paraId="7C01ACEC">
                  <w:pPr>
                    <w:pStyle w:val="52"/>
                    <w:rPr>
                      <w:color w:val="auto"/>
                    </w:rPr>
                  </w:pPr>
                  <w:r>
                    <w:rPr>
                      <w:color w:val="auto"/>
                    </w:rPr>
                    <w:t>BOD</w:t>
                  </w:r>
                  <w:r>
                    <w:rPr>
                      <w:color w:val="auto"/>
                      <w:vertAlign w:val="subscript"/>
                    </w:rPr>
                    <w:t>5</w:t>
                  </w:r>
                </w:p>
              </w:tc>
              <w:tc>
                <w:tcPr>
                  <w:tcW w:w="1255" w:type="dxa"/>
                  <w:vAlign w:val="center"/>
                </w:tcPr>
                <w:p w14:paraId="186E8429">
                  <w:pPr>
                    <w:pStyle w:val="52"/>
                    <w:rPr>
                      <w:color w:val="auto"/>
                    </w:rPr>
                  </w:pPr>
                  <w:r>
                    <w:rPr>
                      <w:color w:val="auto"/>
                    </w:rPr>
                    <w:t>NH</w:t>
                  </w:r>
                  <w:r>
                    <w:rPr>
                      <w:color w:val="auto"/>
                      <w:vertAlign w:val="subscript"/>
                    </w:rPr>
                    <w:t>3</w:t>
                  </w:r>
                  <w:r>
                    <w:rPr>
                      <w:color w:val="auto"/>
                    </w:rPr>
                    <w:t>-N</w:t>
                  </w:r>
                </w:p>
              </w:tc>
              <w:tc>
                <w:tcPr>
                  <w:tcW w:w="1255" w:type="dxa"/>
                  <w:vAlign w:val="center"/>
                </w:tcPr>
                <w:p w14:paraId="55755890">
                  <w:pPr>
                    <w:pStyle w:val="52"/>
                    <w:rPr>
                      <w:color w:val="auto"/>
                    </w:rPr>
                  </w:pPr>
                  <w:r>
                    <w:rPr>
                      <w:color w:val="auto"/>
                    </w:rPr>
                    <w:t>TP</w:t>
                  </w:r>
                </w:p>
              </w:tc>
              <w:tc>
                <w:tcPr>
                  <w:tcW w:w="1255" w:type="dxa"/>
                  <w:vAlign w:val="center"/>
                </w:tcPr>
                <w:p w14:paraId="5B26964B">
                  <w:pPr>
                    <w:pStyle w:val="52"/>
                    <w:rPr>
                      <w:color w:val="auto"/>
                    </w:rPr>
                  </w:pPr>
                  <w:r>
                    <w:rPr>
                      <w:color w:val="auto"/>
                    </w:rPr>
                    <w:t>TN</w:t>
                  </w:r>
                </w:p>
              </w:tc>
            </w:tr>
            <w:tr w14:paraId="3510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11" w:type="dxa"/>
                  <w:vAlign w:val="center"/>
                </w:tcPr>
                <w:p w14:paraId="1A28764E">
                  <w:pPr>
                    <w:pStyle w:val="52"/>
                    <w:rPr>
                      <w:color w:val="auto"/>
                    </w:rPr>
                  </w:pPr>
                  <w:r>
                    <w:rPr>
                      <w:rFonts w:hint="eastAsia" w:ascii="宋体" w:hAnsi="宋体" w:cs="宋体"/>
                      <w:color w:val="auto"/>
                    </w:rPr>
                    <w:t>Ⅲ</w:t>
                  </w:r>
                  <w:r>
                    <w:rPr>
                      <w:snapToGrid w:val="0"/>
                      <w:color w:val="auto"/>
                    </w:rPr>
                    <w:t>类</w:t>
                  </w:r>
                </w:p>
              </w:tc>
              <w:tc>
                <w:tcPr>
                  <w:tcW w:w="1255" w:type="dxa"/>
                  <w:vAlign w:val="center"/>
                </w:tcPr>
                <w:p w14:paraId="6B869ECD">
                  <w:pPr>
                    <w:pStyle w:val="52"/>
                    <w:rPr>
                      <w:color w:val="auto"/>
                    </w:rPr>
                  </w:pPr>
                  <w:r>
                    <w:rPr>
                      <w:color w:val="auto"/>
                    </w:rPr>
                    <w:t>6～9</w:t>
                  </w:r>
                </w:p>
              </w:tc>
              <w:tc>
                <w:tcPr>
                  <w:tcW w:w="1255" w:type="dxa"/>
                  <w:vAlign w:val="center"/>
                </w:tcPr>
                <w:p w14:paraId="1A14A715">
                  <w:pPr>
                    <w:pStyle w:val="52"/>
                    <w:rPr>
                      <w:color w:val="auto"/>
                    </w:rPr>
                  </w:pPr>
                  <w:r>
                    <w:rPr>
                      <w:snapToGrid w:val="0"/>
                      <w:color w:val="auto"/>
                    </w:rPr>
                    <w:t>≤</w:t>
                  </w:r>
                  <w:r>
                    <w:rPr>
                      <w:color w:val="auto"/>
                    </w:rPr>
                    <w:t>20</w:t>
                  </w:r>
                </w:p>
              </w:tc>
              <w:tc>
                <w:tcPr>
                  <w:tcW w:w="1255" w:type="dxa"/>
                  <w:vAlign w:val="center"/>
                </w:tcPr>
                <w:p w14:paraId="289FA249">
                  <w:pPr>
                    <w:pStyle w:val="52"/>
                    <w:rPr>
                      <w:color w:val="auto"/>
                    </w:rPr>
                  </w:pPr>
                  <w:r>
                    <w:rPr>
                      <w:snapToGrid w:val="0"/>
                      <w:color w:val="auto"/>
                    </w:rPr>
                    <w:t>≤</w:t>
                  </w:r>
                  <w:r>
                    <w:rPr>
                      <w:color w:val="auto"/>
                    </w:rPr>
                    <w:t>4</w:t>
                  </w:r>
                </w:p>
              </w:tc>
              <w:tc>
                <w:tcPr>
                  <w:tcW w:w="1255" w:type="dxa"/>
                  <w:vAlign w:val="center"/>
                </w:tcPr>
                <w:p w14:paraId="2D960F44">
                  <w:pPr>
                    <w:pStyle w:val="52"/>
                    <w:rPr>
                      <w:color w:val="auto"/>
                    </w:rPr>
                  </w:pPr>
                  <w:r>
                    <w:rPr>
                      <w:snapToGrid w:val="0"/>
                      <w:color w:val="auto"/>
                    </w:rPr>
                    <w:t>≤</w:t>
                  </w:r>
                  <w:r>
                    <w:rPr>
                      <w:color w:val="auto"/>
                    </w:rPr>
                    <w:t>1.0</w:t>
                  </w:r>
                </w:p>
              </w:tc>
              <w:tc>
                <w:tcPr>
                  <w:tcW w:w="1255" w:type="dxa"/>
                  <w:vAlign w:val="center"/>
                </w:tcPr>
                <w:p w14:paraId="4DB1E663">
                  <w:pPr>
                    <w:pStyle w:val="52"/>
                    <w:rPr>
                      <w:color w:val="auto"/>
                    </w:rPr>
                  </w:pPr>
                  <w:r>
                    <w:rPr>
                      <w:snapToGrid w:val="0"/>
                      <w:color w:val="auto"/>
                    </w:rPr>
                    <w:t>≤</w:t>
                  </w:r>
                  <w:r>
                    <w:rPr>
                      <w:color w:val="auto"/>
                    </w:rPr>
                    <w:t>0.2</w:t>
                  </w:r>
                </w:p>
              </w:tc>
              <w:tc>
                <w:tcPr>
                  <w:tcW w:w="1255" w:type="dxa"/>
                  <w:vAlign w:val="center"/>
                </w:tcPr>
                <w:p w14:paraId="262FA7E3">
                  <w:pPr>
                    <w:pStyle w:val="52"/>
                    <w:rPr>
                      <w:color w:val="auto"/>
                    </w:rPr>
                  </w:pPr>
                  <w:r>
                    <w:rPr>
                      <w:snapToGrid w:val="0"/>
                      <w:color w:val="auto"/>
                    </w:rPr>
                    <w:t>≤</w:t>
                  </w:r>
                  <w:r>
                    <w:rPr>
                      <w:color w:val="auto"/>
                    </w:rPr>
                    <w:t>1.0</w:t>
                  </w:r>
                </w:p>
              </w:tc>
            </w:tr>
          </w:tbl>
          <w:p w14:paraId="4C4F5CF8">
            <w:pPr>
              <w:ind w:firstLine="0" w:firstLineChars="0"/>
              <w:rPr>
                <w:rFonts w:cs="Times New Roman"/>
                <w:b/>
              </w:rPr>
            </w:pPr>
            <w:r>
              <w:rPr>
                <w:rFonts w:cs="Times New Roman"/>
                <w:b/>
              </w:rPr>
              <w:t>3、声环境质量标准</w:t>
            </w:r>
          </w:p>
          <w:p w14:paraId="1CF44A5B">
            <w:pPr>
              <w:ind w:firstLine="480"/>
              <w:rPr>
                <w:rFonts w:cs="Times New Roman"/>
              </w:rPr>
            </w:pPr>
            <w:r>
              <w:rPr>
                <w:rFonts w:cs="Times New Roman"/>
              </w:rPr>
              <w:t>区域声环境质量执行《声环境质量标准》（GB3096-2008）中的2类标准。标准值见表4-3。</w:t>
            </w:r>
          </w:p>
          <w:p w14:paraId="35E80D70">
            <w:pPr>
              <w:pStyle w:val="31"/>
              <w:rPr>
                <w:rFonts w:cs="Times New Roman"/>
              </w:rPr>
            </w:pPr>
            <w:r>
              <w:rPr>
                <w:rFonts w:cs="Times New Roman"/>
              </w:rPr>
              <w:t>表4-3  声环境质量标准（单位：dB（A））</w:t>
            </w:r>
          </w:p>
          <w:tbl>
            <w:tblPr>
              <w:tblStyle w:val="2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3800"/>
              <w:gridCol w:w="3500"/>
            </w:tblGrid>
            <w:tr w14:paraId="705C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Merge w:val="restart"/>
                  <w:vAlign w:val="center"/>
                </w:tcPr>
                <w:p w14:paraId="152500E3">
                  <w:pPr>
                    <w:pStyle w:val="52"/>
                    <w:rPr>
                      <w:color w:val="auto"/>
                    </w:rPr>
                  </w:pPr>
                  <w:r>
                    <w:rPr>
                      <w:color w:val="auto"/>
                    </w:rPr>
                    <w:t>类别</w:t>
                  </w:r>
                </w:p>
              </w:tc>
              <w:tc>
                <w:tcPr>
                  <w:tcW w:w="7300" w:type="dxa"/>
                  <w:gridSpan w:val="2"/>
                  <w:vAlign w:val="center"/>
                </w:tcPr>
                <w:p w14:paraId="3ECF8AA4">
                  <w:pPr>
                    <w:pStyle w:val="52"/>
                    <w:rPr>
                      <w:color w:val="auto"/>
                    </w:rPr>
                  </w:pPr>
                  <w:r>
                    <w:rPr>
                      <w:color w:val="auto"/>
                    </w:rPr>
                    <w:t>等效声级</w:t>
                  </w:r>
                </w:p>
              </w:tc>
            </w:tr>
            <w:tr w14:paraId="2872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Merge w:val="continue"/>
                  <w:vAlign w:val="center"/>
                </w:tcPr>
                <w:p w14:paraId="4B9665B3">
                  <w:pPr>
                    <w:pStyle w:val="52"/>
                    <w:rPr>
                      <w:color w:val="auto"/>
                    </w:rPr>
                  </w:pPr>
                </w:p>
              </w:tc>
              <w:tc>
                <w:tcPr>
                  <w:tcW w:w="3800" w:type="dxa"/>
                  <w:vAlign w:val="center"/>
                </w:tcPr>
                <w:p w14:paraId="7EC0D1E3">
                  <w:pPr>
                    <w:pStyle w:val="52"/>
                    <w:rPr>
                      <w:color w:val="auto"/>
                    </w:rPr>
                  </w:pPr>
                  <w:r>
                    <w:rPr>
                      <w:color w:val="auto"/>
                    </w:rPr>
                    <w:t>昼间</w:t>
                  </w:r>
                </w:p>
              </w:tc>
              <w:tc>
                <w:tcPr>
                  <w:tcW w:w="3500" w:type="dxa"/>
                  <w:vAlign w:val="center"/>
                </w:tcPr>
                <w:p w14:paraId="0D483D83">
                  <w:pPr>
                    <w:pStyle w:val="52"/>
                    <w:rPr>
                      <w:color w:val="auto"/>
                    </w:rPr>
                  </w:pPr>
                  <w:r>
                    <w:rPr>
                      <w:color w:val="auto"/>
                    </w:rPr>
                    <w:t>夜间</w:t>
                  </w:r>
                </w:p>
              </w:tc>
            </w:tr>
            <w:tr w14:paraId="0F1B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Align w:val="center"/>
                </w:tcPr>
                <w:p w14:paraId="7948B1E3">
                  <w:pPr>
                    <w:pStyle w:val="52"/>
                    <w:rPr>
                      <w:color w:val="auto"/>
                    </w:rPr>
                  </w:pPr>
                  <w:r>
                    <w:rPr>
                      <w:color w:val="auto"/>
                    </w:rPr>
                    <w:t>2类</w:t>
                  </w:r>
                </w:p>
              </w:tc>
              <w:tc>
                <w:tcPr>
                  <w:tcW w:w="3800" w:type="dxa"/>
                  <w:vAlign w:val="center"/>
                </w:tcPr>
                <w:p w14:paraId="1E93108E">
                  <w:pPr>
                    <w:pStyle w:val="52"/>
                    <w:rPr>
                      <w:color w:val="auto"/>
                    </w:rPr>
                  </w:pPr>
                  <w:r>
                    <w:rPr>
                      <w:color w:val="auto"/>
                    </w:rPr>
                    <w:t>60</w:t>
                  </w:r>
                </w:p>
              </w:tc>
              <w:tc>
                <w:tcPr>
                  <w:tcW w:w="3500" w:type="dxa"/>
                  <w:vAlign w:val="center"/>
                </w:tcPr>
                <w:p w14:paraId="442F6E61">
                  <w:pPr>
                    <w:pStyle w:val="52"/>
                    <w:rPr>
                      <w:color w:val="auto"/>
                    </w:rPr>
                  </w:pPr>
                  <w:r>
                    <w:rPr>
                      <w:color w:val="auto"/>
                    </w:rPr>
                    <w:t>50</w:t>
                  </w:r>
                </w:p>
              </w:tc>
            </w:tr>
          </w:tbl>
          <w:p w14:paraId="4B8E8BCC">
            <w:pPr>
              <w:ind w:firstLine="0" w:firstLineChars="0"/>
              <w:jc w:val="both"/>
              <w:rPr>
                <w:rFonts w:cs="Times New Roman"/>
                <w:snapToGrid w:val="0"/>
                <w:szCs w:val="24"/>
              </w:rPr>
            </w:pPr>
          </w:p>
        </w:tc>
      </w:tr>
      <w:tr w14:paraId="0FF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14:paraId="699FEEEE">
            <w:pPr>
              <w:ind w:firstLine="0" w:firstLineChars="0"/>
              <w:jc w:val="center"/>
              <w:rPr>
                <w:rFonts w:cs="Times New Roman"/>
              </w:rPr>
            </w:pPr>
            <w:r>
              <w:rPr>
                <w:rFonts w:cs="Times New Roman"/>
              </w:rPr>
              <w:t>污染物排放标准</w:t>
            </w:r>
          </w:p>
        </w:tc>
        <w:tc>
          <w:tcPr>
            <w:tcW w:w="9467" w:type="dxa"/>
            <w:vAlign w:val="center"/>
          </w:tcPr>
          <w:p w14:paraId="3A1BCC61">
            <w:pPr>
              <w:ind w:firstLine="0" w:firstLineChars="0"/>
              <w:rPr>
                <w:rFonts w:cs="Times New Roman"/>
                <w:b/>
              </w:rPr>
            </w:pPr>
            <w:r>
              <w:rPr>
                <w:rFonts w:cs="Times New Roman"/>
                <w:b/>
              </w:rPr>
              <w:t>1、大气污染物排放标准</w:t>
            </w:r>
          </w:p>
          <w:p w14:paraId="33B6AF02">
            <w:pPr>
              <w:ind w:firstLine="480"/>
              <w:rPr>
                <w:rFonts w:cs="Times New Roman"/>
              </w:rPr>
            </w:pPr>
            <w:r>
              <w:rPr>
                <w:rFonts w:cs="Times New Roman"/>
              </w:rPr>
              <w:t>（1）施工期大气污染物排放标准</w:t>
            </w:r>
          </w:p>
          <w:p w14:paraId="2C6A6DC0">
            <w:pPr>
              <w:ind w:firstLine="480"/>
              <w:rPr>
                <w:rFonts w:cs="Times New Roman"/>
              </w:rPr>
            </w:pPr>
            <w:r>
              <w:rPr>
                <w:rFonts w:cs="Times New Roman"/>
              </w:rPr>
              <w:t>施工期废气污染源主要为施工扬尘，废气无组织排放执行《大气污染物综合排放标准》（GB16297-1996）表2中的无组织排放标准。标准限值详见表4-4。</w:t>
            </w:r>
          </w:p>
          <w:p w14:paraId="2FAFDABF">
            <w:pPr>
              <w:pStyle w:val="31"/>
              <w:rPr>
                <w:rFonts w:cs="Times New Roman"/>
              </w:rPr>
            </w:pPr>
            <w:r>
              <w:rPr>
                <w:rFonts w:cs="Times New Roman"/>
              </w:rPr>
              <w:t>表4-4  大气污染物综合排放标准</w:t>
            </w:r>
          </w:p>
          <w:tbl>
            <w:tblPr>
              <w:tblStyle w:val="2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2652"/>
              <w:gridCol w:w="3218"/>
            </w:tblGrid>
            <w:tr w14:paraId="0564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371" w:type="dxa"/>
                  <w:vMerge w:val="restart"/>
                  <w:tcBorders>
                    <w:top w:val="single" w:color="auto" w:sz="4" w:space="0"/>
                    <w:left w:val="single" w:color="auto" w:sz="4" w:space="0"/>
                    <w:bottom w:val="single" w:color="auto" w:sz="4" w:space="0"/>
                    <w:right w:val="single" w:color="auto" w:sz="4" w:space="0"/>
                  </w:tcBorders>
                  <w:vAlign w:val="center"/>
                </w:tcPr>
                <w:p w14:paraId="23CD0218">
                  <w:pPr>
                    <w:pStyle w:val="52"/>
                    <w:rPr>
                      <w:color w:val="auto"/>
                    </w:rPr>
                  </w:pPr>
                  <w:r>
                    <w:rPr>
                      <w:color w:val="auto"/>
                    </w:rPr>
                    <w:t>污染物</w:t>
                  </w:r>
                </w:p>
              </w:tc>
              <w:tc>
                <w:tcPr>
                  <w:tcW w:w="5870" w:type="dxa"/>
                  <w:gridSpan w:val="2"/>
                  <w:tcBorders>
                    <w:top w:val="single" w:color="auto" w:sz="4" w:space="0"/>
                    <w:left w:val="single" w:color="auto" w:sz="4" w:space="0"/>
                    <w:bottom w:val="single" w:color="auto" w:sz="4" w:space="0"/>
                    <w:right w:val="single" w:color="auto" w:sz="4" w:space="0"/>
                  </w:tcBorders>
                  <w:vAlign w:val="center"/>
                </w:tcPr>
                <w:p w14:paraId="0238461F">
                  <w:pPr>
                    <w:pStyle w:val="52"/>
                    <w:rPr>
                      <w:color w:val="auto"/>
                    </w:rPr>
                  </w:pPr>
                  <w:r>
                    <w:rPr>
                      <w:color w:val="auto"/>
                    </w:rPr>
                    <w:t>无组织排放监控浓度限值</w:t>
                  </w:r>
                </w:p>
              </w:tc>
            </w:tr>
            <w:tr w14:paraId="6441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371" w:type="dxa"/>
                  <w:vMerge w:val="continue"/>
                  <w:tcBorders>
                    <w:top w:val="single" w:color="auto" w:sz="4" w:space="0"/>
                    <w:left w:val="single" w:color="auto" w:sz="4" w:space="0"/>
                    <w:bottom w:val="single" w:color="auto" w:sz="4" w:space="0"/>
                    <w:right w:val="single" w:color="auto" w:sz="4" w:space="0"/>
                  </w:tcBorders>
                  <w:vAlign w:val="center"/>
                </w:tcPr>
                <w:p w14:paraId="36F8F8AC">
                  <w:pPr>
                    <w:pStyle w:val="52"/>
                    <w:rPr>
                      <w:color w:val="auto"/>
                    </w:rPr>
                  </w:pPr>
                </w:p>
              </w:tc>
              <w:tc>
                <w:tcPr>
                  <w:tcW w:w="2652" w:type="dxa"/>
                  <w:tcBorders>
                    <w:top w:val="single" w:color="auto" w:sz="4" w:space="0"/>
                    <w:left w:val="single" w:color="auto" w:sz="4" w:space="0"/>
                    <w:bottom w:val="single" w:color="auto" w:sz="4" w:space="0"/>
                    <w:right w:val="single" w:color="auto" w:sz="4" w:space="0"/>
                  </w:tcBorders>
                  <w:vAlign w:val="center"/>
                </w:tcPr>
                <w:p w14:paraId="5E3E0345">
                  <w:pPr>
                    <w:pStyle w:val="52"/>
                    <w:rPr>
                      <w:color w:val="auto"/>
                    </w:rPr>
                  </w:pPr>
                  <w:r>
                    <w:rPr>
                      <w:color w:val="auto"/>
                    </w:rPr>
                    <w:t>监控点</w:t>
                  </w:r>
                </w:p>
              </w:tc>
              <w:tc>
                <w:tcPr>
                  <w:tcW w:w="3218" w:type="dxa"/>
                  <w:tcBorders>
                    <w:top w:val="single" w:color="auto" w:sz="4" w:space="0"/>
                    <w:left w:val="single" w:color="auto" w:sz="4" w:space="0"/>
                    <w:bottom w:val="single" w:color="auto" w:sz="4" w:space="0"/>
                    <w:right w:val="single" w:color="auto" w:sz="4" w:space="0"/>
                  </w:tcBorders>
                  <w:vAlign w:val="center"/>
                </w:tcPr>
                <w:p w14:paraId="4DAC4577">
                  <w:pPr>
                    <w:pStyle w:val="52"/>
                    <w:rPr>
                      <w:color w:val="auto"/>
                    </w:rPr>
                  </w:pPr>
                  <w:r>
                    <w:rPr>
                      <w:color w:val="auto"/>
                    </w:rPr>
                    <w:t>浓度（mg/m</w:t>
                  </w:r>
                  <w:r>
                    <w:rPr>
                      <w:color w:val="auto"/>
                      <w:vertAlign w:val="superscript"/>
                    </w:rPr>
                    <w:t>3</w:t>
                  </w:r>
                  <w:r>
                    <w:rPr>
                      <w:color w:val="auto"/>
                    </w:rPr>
                    <w:t>）</w:t>
                  </w:r>
                </w:p>
              </w:tc>
            </w:tr>
            <w:tr w14:paraId="33D2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371" w:type="dxa"/>
                  <w:tcBorders>
                    <w:top w:val="single" w:color="auto" w:sz="4" w:space="0"/>
                    <w:left w:val="single" w:color="auto" w:sz="4" w:space="0"/>
                    <w:bottom w:val="single" w:color="auto" w:sz="4" w:space="0"/>
                    <w:right w:val="single" w:color="auto" w:sz="4" w:space="0"/>
                  </w:tcBorders>
                  <w:vAlign w:val="center"/>
                </w:tcPr>
                <w:p w14:paraId="06839478">
                  <w:pPr>
                    <w:pStyle w:val="52"/>
                    <w:rPr>
                      <w:color w:val="auto"/>
                    </w:rPr>
                  </w:pPr>
                  <w:r>
                    <w:rPr>
                      <w:color w:val="auto"/>
                    </w:rPr>
                    <w:t>颗粒物</w:t>
                  </w:r>
                </w:p>
              </w:tc>
              <w:tc>
                <w:tcPr>
                  <w:tcW w:w="2652" w:type="dxa"/>
                  <w:tcBorders>
                    <w:top w:val="single" w:color="auto" w:sz="4" w:space="0"/>
                    <w:left w:val="single" w:color="auto" w:sz="4" w:space="0"/>
                    <w:bottom w:val="single" w:color="auto" w:sz="4" w:space="0"/>
                    <w:right w:val="single" w:color="auto" w:sz="4" w:space="0"/>
                  </w:tcBorders>
                  <w:vAlign w:val="center"/>
                </w:tcPr>
                <w:p w14:paraId="638CE356">
                  <w:pPr>
                    <w:pStyle w:val="52"/>
                    <w:rPr>
                      <w:color w:val="auto"/>
                    </w:rPr>
                  </w:pPr>
                  <w:r>
                    <w:rPr>
                      <w:color w:val="auto"/>
                    </w:rPr>
                    <w:t>周界外浓度最高点</w:t>
                  </w:r>
                </w:p>
              </w:tc>
              <w:tc>
                <w:tcPr>
                  <w:tcW w:w="3218" w:type="dxa"/>
                  <w:tcBorders>
                    <w:top w:val="single" w:color="auto" w:sz="4" w:space="0"/>
                    <w:left w:val="single" w:color="auto" w:sz="4" w:space="0"/>
                    <w:bottom w:val="single" w:color="auto" w:sz="4" w:space="0"/>
                    <w:right w:val="single" w:color="auto" w:sz="4" w:space="0"/>
                  </w:tcBorders>
                  <w:vAlign w:val="center"/>
                </w:tcPr>
                <w:p w14:paraId="7B76E99A">
                  <w:pPr>
                    <w:pStyle w:val="52"/>
                    <w:rPr>
                      <w:color w:val="auto"/>
                    </w:rPr>
                  </w:pPr>
                  <w:r>
                    <w:rPr>
                      <w:color w:val="auto"/>
                    </w:rPr>
                    <w:t>1.0</w:t>
                  </w:r>
                </w:p>
              </w:tc>
            </w:tr>
          </w:tbl>
          <w:p w14:paraId="2303BE58">
            <w:pPr>
              <w:ind w:firstLine="480"/>
              <w:rPr>
                <w:rFonts w:cs="Times New Roman"/>
              </w:rPr>
            </w:pPr>
            <w:r>
              <w:rPr>
                <w:rFonts w:cs="Times New Roman"/>
              </w:rPr>
              <w:t>（2）运营期大气污染物排放标准</w:t>
            </w:r>
          </w:p>
          <w:p w14:paraId="7CF773DE">
            <w:pPr>
              <w:ind w:firstLine="480"/>
              <w:rPr>
                <w:rFonts w:cs="Times New Roman"/>
              </w:rPr>
            </w:pPr>
            <w:r>
              <w:rPr>
                <w:rFonts w:cs="Times New Roman"/>
              </w:rPr>
              <w:t>运营期大气污染物排放执行《大气污染物综合排放标准》（GB16297-1996）表2无组织排放监控浓度限值，标准限值详见表4-5。</w:t>
            </w:r>
          </w:p>
          <w:p w14:paraId="0179BDC2">
            <w:pPr>
              <w:pStyle w:val="31"/>
              <w:rPr>
                <w:rFonts w:cs="Times New Roman"/>
              </w:rPr>
            </w:pPr>
            <w:r>
              <w:rPr>
                <w:rFonts w:cs="Times New Roman"/>
                <w:bCs/>
              </w:rPr>
              <w:t xml:space="preserve">表4-5  </w:t>
            </w:r>
            <w:r>
              <w:rPr>
                <w:rFonts w:cs="Times New Roman"/>
              </w:rPr>
              <w:t>大气污染物综合排放标准  单位：mg/m</w:t>
            </w:r>
            <w:r>
              <w:rPr>
                <w:rFonts w:cs="Times New Roman"/>
                <w:vertAlign w:val="superscript"/>
              </w:rPr>
              <w:t>3</w:t>
            </w:r>
          </w:p>
          <w:tbl>
            <w:tblPr>
              <w:tblStyle w:val="2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3079"/>
              <w:gridCol w:w="3083"/>
            </w:tblGrid>
            <w:tr w14:paraId="6D23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Merge w:val="restart"/>
                  <w:vAlign w:val="center"/>
                </w:tcPr>
                <w:p w14:paraId="748219B9">
                  <w:pPr>
                    <w:pStyle w:val="52"/>
                    <w:rPr>
                      <w:color w:val="auto"/>
                    </w:rPr>
                  </w:pPr>
                  <w:r>
                    <w:rPr>
                      <w:color w:val="auto"/>
                    </w:rPr>
                    <w:t>污染物</w:t>
                  </w:r>
                </w:p>
              </w:tc>
              <w:tc>
                <w:tcPr>
                  <w:tcW w:w="6162" w:type="dxa"/>
                  <w:gridSpan w:val="2"/>
                  <w:vAlign w:val="center"/>
                </w:tcPr>
                <w:p w14:paraId="2C2350C4">
                  <w:pPr>
                    <w:pStyle w:val="52"/>
                    <w:rPr>
                      <w:color w:val="auto"/>
                    </w:rPr>
                  </w:pPr>
                  <w:r>
                    <w:rPr>
                      <w:color w:val="auto"/>
                    </w:rPr>
                    <w:t>无组织排放监控浓度</w:t>
                  </w:r>
                </w:p>
              </w:tc>
            </w:tr>
            <w:tr w14:paraId="6884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Merge w:val="continue"/>
                  <w:vAlign w:val="center"/>
                </w:tcPr>
                <w:p w14:paraId="0480D64B">
                  <w:pPr>
                    <w:pStyle w:val="52"/>
                    <w:rPr>
                      <w:color w:val="auto"/>
                    </w:rPr>
                  </w:pPr>
                </w:p>
              </w:tc>
              <w:tc>
                <w:tcPr>
                  <w:tcW w:w="3079" w:type="dxa"/>
                  <w:vAlign w:val="center"/>
                </w:tcPr>
                <w:p w14:paraId="1E8BC48F">
                  <w:pPr>
                    <w:pStyle w:val="52"/>
                    <w:rPr>
                      <w:color w:val="auto"/>
                      <w:lang w:val="zh-CN"/>
                    </w:rPr>
                  </w:pPr>
                  <w:r>
                    <w:rPr>
                      <w:color w:val="auto"/>
                      <w:lang w:val="zh-CN"/>
                    </w:rPr>
                    <w:t>监控点</w:t>
                  </w:r>
                </w:p>
              </w:tc>
              <w:tc>
                <w:tcPr>
                  <w:tcW w:w="3083" w:type="dxa"/>
                  <w:vAlign w:val="center"/>
                </w:tcPr>
                <w:p w14:paraId="0C6C18C9">
                  <w:pPr>
                    <w:pStyle w:val="52"/>
                    <w:rPr>
                      <w:color w:val="auto"/>
                      <w:lang w:val="zh-CN"/>
                    </w:rPr>
                  </w:pPr>
                  <w:r>
                    <w:rPr>
                      <w:color w:val="auto"/>
                      <w:lang w:val="zh-CN"/>
                    </w:rPr>
                    <w:t>浓度</w:t>
                  </w:r>
                </w:p>
              </w:tc>
            </w:tr>
            <w:tr w14:paraId="07D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Align w:val="center"/>
                </w:tcPr>
                <w:p w14:paraId="7BEF67E8">
                  <w:pPr>
                    <w:pStyle w:val="52"/>
                    <w:rPr>
                      <w:color w:val="auto"/>
                    </w:rPr>
                  </w:pPr>
                  <w:r>
                    <w:rPr>
                      <w:color w:val="auto"/>
                    </w:rPr>
                    <w:t>颗粒物</w:t>
                  </w:r>
                </w:p>
              </w:tc>
              <w:tc>
                <w:tcPr>
                  <w:tcW w:w="3079" w:type="dxa"/>
                  <w:vAlign w:val="center"/>
                </w:tcPr>
                <w:p w14:paraId="01AF5531">
                  <w:pPr>
                    <w:pStyle w:val="52"/>
                    <w:rPr>
                      <w:color w:val="auto"/>
                      <w:lang w:val="zh-CN"/>
                    </w:rPr>
                  </w:pPr>
                  <w:r>
                    <w:rPr>
                      <w:color w:val="auto"/>
                      <w:lang w:val="zh-CN"/>
                    </w:rPr>
                    <w:t>周界外浓度最高点</w:t>
                  </w:r>
                </w:p>
              </w:tc>
              <w:tc>
                <w:tcPr>
                  <w:tcW w:w="3083" w:type="dxa"/>
                  <w:vAlign w:val="center"/>
                </w:tcPr>
                <w:p w14:paraId="0AD3A755">
                  <w:pPr>
                    <w:pStyle w:val="52"/>
                    <w:rPr>
                      <w:color w:val="auto"/>
                      <w:lang w:val="zh-CN"/>
                    </w:rPr>
                  </w:pPr>
                  <w:r>
                    <w:rPr>
                      <w:color w:val="auto"/>
                      <w:lang w:val="zh-CN"/>
                    </w:rPr>
                    <w:t>1.0</w:t>
                  </w:r>
                </w:p>
              </w:tc>
            </w:tr>
          </w:tbl>
          <w:p w14:paraId="7230585B">
            <w:pPr>
              <w:ind w:firstLine="480"/>
              <w:rPr>
                <w:rFonts w:cs="Times New Roman"/>
                <w:bCs/>
              </w:rPr>
            </w:pPr>
            <w:r>
              <w:rPr>
                <w:rFonts w:cs="Times New Roman"/>
                <w:bCs/>
              </w:rPr>
              <w:t>本项目厨房设有1个灶头，属小型规模，</w:t>
            </w:r>
            <w:r>
              <w:rPr>
                <w:rFonts w:cs="Times New Roman"/>
              </w:rPr>
              <w:t>厨房油烟排放执行《饮食业油烟排放标准》（GB18483-2001）小型规模的相关限值，具体标准限值见表4-6。</w:t>
            </w:r>
          </w:p>
          <w:p w14:paraId="3799EEC8">
            <w:pPr>
              <w:pStyle w:val="31"/>
              <w:rPr>
                <w:rFonts w:cs="Times New Roman"/>
              </w:rPr>
            </w:pPr>
            <w:r>
              <w:rPr>
                <w:rFonts w:cs="Times New Roman"/>
              </w:rPr>
              <w:t>表4-6  油烟最高允许排放浓度和油烟净化设施最低去除效率</w:t>
            </w:r>
          </w:p>
          <w:tbl>
            <w:tblPr>
              <w:tblStyle w:val="2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4"/>
              <w:gridCol w:w="4007"/>
            </w:tblGrid>
            <w:tr w14:paraId="7363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234" w:type="dxa"/>
                  <w:vAlign w:val="center"/>
                </w:tcPr>
                <w:p w14:paraId="48921E24">
                  <w:pPr>
                    <w:pStyle w:val="32"/>
                    <w:rPr>
                      <w:rFonts w:cs="Times New Roman"/>
                    </w:rPr>
                  </w:pPr>
                  <w:r>
                    <w:rPr>
                      <w:rFonts w:cs="Times New Roman"/>
                    </w:rPr>
                    <w:t>规模</w:t>
                  </w:r>
                </w:p>
              </w:tc>
              <w:tc>
                <w:tcPr>
                  <w:tcW w:w="4007" w:type="dxa"/>
                  <w:vAlign w:val="center"/>
                </w:tcPr>
                <w:p w14:paraId="7F066869">
                  <w:pPr>
                    <w:pStyle w:val="32"/>
                    <w:rPr>
                      <w:rFonts w:cs="Times New Roman"/>
                    </w:rPr>
                  </w:pPr>
                  <w:r>
                    <w:rPr>
                      <w:rFonts w:cs="Times New Roman"/>
                    </w:rPr>
                    <w:t>小型</w:t>
                  </w:r>
                </w:p>
              </w:tc>
            </w:tr>
            <w:tr w14:paraId="08E3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68DC5B15">
                  <w:pPr>
                    <w:pStyle w:val="32"/>
                    <w:rPr>
                      <w:rFonts w:cs="Times New Roman"/>
                    </w:rPr>
                  </w:pPr>
                  <w:r>
                    <w:rPr>
                      <w:rFonts w:cs="Times New Roman"/>
                    </w:rPr>
                    <w:t>最高允许排放浓度（mg/m</w:t>
                  </w:r>
                  <w:r>
                    <w:rPr>
                      <w:rFonts w:cs="Times New Roman"/>
                      <w:vertAlign w:val="superscript"/>
                    </w:rPr>
                    <w:t>3</w:t>
                  </w:r>
                  <w:r>
                    <w:rPr>
                      <w:rFonts w:cs="Times New Roman"/>
                    </w:rPr>
                    <w:t>）</w:t>
                  </w:r>
                </w:p>
              </w:tc>
              <w:tc>
                <w:tcPr>
                  <w:tcW w:w="4007" w:type="dxa"/>
                  <w:vAlign w:val="center"/>
                </w:tcPr>
                <w:p w14:paraId="6C1E470D">
                  <w:pPr>
                    <w:pStyle w:val="32"/>
                    <w:rPr>
                      <w:rFonts w:cs="Times New Roman"/>
                    </w:rPr>
                  </w:pPr>
                  <w:r>
                    <w:rPr>
                      <w:rFonts w:cs="Times New Roman"/>
                    </w:rPr>
                    <w:t>2.0</w:t>
                  </w:r>
                </w:p>
              </w:tc>
            </w:tr>
            <w:tr w14:paraId="5AC8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467FD194">
                  <w:pPr>
                    <w:pStyle w:val="32"/>
                    <w:rPr>
                      <w:rFonts w:cs="Times New Roman"/>
                    </w:rPr>
                  </w:pPr>
                  <w:r>
                    <w:rPr>
                      <w:rFonts w:cs="Times New Roman"/>
                    </w:rPr>
                    <w:t>净化设备最低去除效率（%）</w:t>
                  </w:r>
                </w:p>
              </w:tc>
              <w:tc>
                <w:tcPr>
                  <w:tcW w:w="4007" w:type="dxa"/>
                  <w:vAlign w:val="center"/>
                </w:tcPr>
                <w:p w14:paraId="1557AB62">
                  <w:pPr>
                    <w:pStyle w:val="32"/>
                    <w:rPr>
                      <w:rFonts w:cs="Times New Roman"/>
                    </w:rPr>
                  </w:pPr>
                  <w:r>
                    <w:rPr>
                      <w:rFonts w:cs="Times New Roman"/>
                    </w:rPr>
                    <w:t>60</w:t>
                  </w:r>
                </w:p>
              </w:tc>
            </w:tr>
          </w:tbl>
          <w:p w14:paraId="5B6CE9FE">
            <w:pPr>
              <w:ind w:firstLine="0" w:firstLineChars="0"/>
              <w:rPr>
                <w:rFonts w:cs="Times New Roman"/>
                <w:b/>
              </w:rPr>
            </w:pPr>
            <w:r>
              <w:rPr>
                <w:rFonts w:cs="Times New Roman"/>
                <w:b/>
              </w:rPr>
              <w:t>2、废水排放标准</w:t>
            </w:r>
          </w:p>
          <w:p w14:paraId="5343DB46">
            <w:pPr>
              <w:ind w:firstLine="480"/>
              <w:rPr>
                <w:rFonts w:cs="Times New Roman"/>
              </w:rPr>
            </w:pPr>
            <w:r>
              <w:rPr>
                <w:rFonts w:cs="Times New Roman"/>
              </w:rPr>
              <w:t>施工期间产生废水经沉淀处理后回用于施工或洒水降尘，不外排。</w:t>
            </w:r>
          </w:p>
          <w:p w14:paraId="16608542">
            <w:pPr>
              <w:ind w:firstLine="480"/>
              <w:rPr>
                <w:rFonts w:cs="Times New Roman"/>
              </w:rPr>
            </w:pPr>
            <w:r>
              <w:rPr>
                <w:rFonts w:cs="Times New Roman"/>
              </w:rPr>
              <w:t>营运期管理人员少量生活废水经化粪池沉淀处理后回用于绿化底肥，不外排；弃渣场及露天采场</w:t>
            </w:r>
            <w:r>
              <w:rPr>
                <w:rFonts w:hint="eastAsia" w:cs="Times New Roman"/>
                <w:color w:val="FF0000"/>
              </w:rPr>
              <w:t>初期</w:t>
            </w:r>
            <w:r>
              <w:rPr>
                <w:rFonts w:cs="Times New Roman"/>
              </w:rPr>
              <w:t>雨水经雨水沉淀池沉淀后外排。</w:t>
            </w:r>
          </w:p>
          <w:p w14:paraId="0F4B7042">
            <w:pPr>
              <w:ind w:firstLine="480"/>
              <w:rPr>
                <w:rFonts w:cs="Times New Roman"/>
              </w:rPr>
            </w:pPr>
            <w:r>
              <w:rPr>
                <w:rFonts w:cs="Times New Roman"/>
              </w:rPr>
              <w:t>本项目不设废水排放标准。</w:t>
            </w:r>
          </w:p>
          <w:p w14:paraId="62B0478E">
            <w:pPr>
              <w:ind w:firstLine="0" w:firstLineChars="0"/>
              <w:rPr>
                <w:rFonts w:cs="Times New Roman"/>
                <w:b/>
              </w:rPr>
            </w:pPr>
            <w:r>
              <w:rPr>
                <w:rFonts w:cs="Times New Roman"/>
                <w:b/>
              </w:rPr>
              <w:t>3、噪声排放标准</w:t>
            </w:r>
          </w:p>
          <w:p w14:paraId="648D7A23">
            <w:pPr>
              <w:ind w:firstLine="480"/>
              <w:rPr>
                <w:rFonts w:cs="Times New Roman"/>
              </w:rPr>
            </w:pPr>
            <w:r>
              <w:rPr>
                <w:rFonts w:cs="Times New Roman"/>
              </w:rPr>
              <w:t>（1）施工期</w:t>
            </w:r>
          </w:p>
          <w:p w14:paraId="714C8993">
            <w:pPr>
              <w:ind w:firstLine="480"/>
              <w:rPr>
                <w:rFonts w:cs="Times New Roman"/>
              </w:rPr>
            </w:pPr>
            <w:r>
              <w:rPr>
                <w:rFonts w:cs="Times New Roman"/>
              </w:rPr>
              <w:t>项目施工期厂界噪声排放执行《建筑施工场界环境噪声排放标准》（GB12523-2011），标准限值如下表4-7所示。</w:t>
            </w:r>
          </w:p>
          <w:p w14:paraId="6C1AFB55">
            <w:pPr>
              <w:pStyle w:val="31"/>
              <w:rPr>
                <w:rFonts w:cs="Times New Roman"/>
              </w:rPr>
            </w:pPr>
            <w:r>
              <w:rPr>
                <w:rFonts w:cs="Times New Roman"/>
              </w:rPr>
              <w:t xml:space="preserve">表4-7  建筑施工场界环境噪声排放限值 </w:t>
            </w:r>
          </w:p>
          <w:tbl>
            <w:tblPr>
              <w:tblStyle w:val="21"/>
              <w:tblW w:w="9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0"/>
              <w:gridCol w:w="4621"/>
            </w:tblGrid>
            <w:tr w14:paraId="1D8E5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20" w:type="dxa"/>
                  <w:shd w:val="clear" w:color="auto" w:fill="auto"/>
                  <w:vAlign w:val="center"/>
                </w:tcPr>
                <w:p w14:paraId="296A02AC">
                  <w:pPr>
                    <w:spacing w:line="240" w:lineRule="auto"/>
                    <w:ind w:firstLine="0" w:firstLineChars="0"/>
                    <w:jc w:val="center"/>
                    <w:rPr>
                      <w:rFonts w:cs="Times New Roman"/>
                      <w:sz w:val="21"/>
                      <w:szCs w:val="21"/>
                    </w:rPr>
                  </w:pPr>
                  <w:r>
                    <w:rPr>
                      <w:rFonts w:cs="Times New Roman"/>
                      <w:sz w:val="21"/>
                      <w:szCs w:val="21"/>
                    </w:rPr>
                    <w:t>昼间</w:t>
                  </w:r>
                </w:p>
              </w:tc>
              <w:tc>
                <w:tcPr>
                  <w:tcW w:w="4621" w:type="dxa"/>
                  <w:shd w:val="clear" w:color="auto" w:fill="auto"/>
                  <w:vAlign w:val="center"/>
                </w:tcPr>
                <w:p w14:paraId="5F970277">
                  <w:pPr>
                    <w:spacing w:line="240" w:lineRule="auto"/>
                    <w:ind w:firstLine="0" w:firstLineChars="0"/>
                    <w:jc w:val="center"/>
                    <w:rPr>
                      <w:rFonts w:cs="Times New Roman"/>
                      <w:sz w:val="21"/>
                      <w:szCs w:val="21"/>
                    </w:rPr>
                  </w:pPr>
                  <w:r>
                    <w:rPr>
                      <w:rFonts w:cs="Times New Roman"/>
                      <w:sz w:val="21"/>
                      <w:szCs w:val="21"/>
                    </w:rPr>
                    <w:t>夜间</w:t>
                  </w:r>
                </w:p>
              </w:tc>
            </w:tr>
            <w:tr w14:paraId="263AD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20" w:type="dxa"/>
                  <w:vAlign w:val="center"/>
                </w:tcPr>
                <w:p w14:paraId="2A691DFA">
                  <w:pPr>
                    <w:spacing w:line="240" w:lineRule="auto"/>
                    <w:ind w:firstLine="0" w:firstLineChars="0"/>
                    <w:jc w:val="center"/>
                    <w:rPr>
                      <w:rFonts w:cs="Times New Roman"/>
                      <w:sz w:val="21"/>
                      <w:szCs w:val="21"/>
                    </w:rPr>
                  </w:pPr>
                  <w:r>
                    <w:rPr>
                      <w:rFonts w:cs="Times New Roman"/>
                      <w:sz w:val="21"/>
                      <w:szCs w:val="21"/>
                    </w:rPr>
                    <w:t>≤70dB（A）</w:t>
                  </w:r>
                </w:p>
              </w:tc>
              <w:tc>
                <w:tcPr>
                  <w:tcW w:w="4621" w:type="dxa"/>
                  <w:vAlign w:val="center"/>
                </w:tcPr>
                <w:p w14:paraId="74EF14D3">
                  <w:pPr>
                    <w:spacing w:line="240" w:lineRule="auto"/>
                    <w:ind w:firstLine="0" w:firstLineChars="0"/>
                    <w:jc w:val="center"/>
                    <w:rPr>
                      <w:rFonts w:cs="Times New Roman"/>
                      <w:sz w:val="21"/>
                      <w:szCs w:val="21"/>
                    </w:rPr>
                  </w:pPr>
                  <w:r>
                    <w:rPr>
                      <w:rFonts w:cs="Times New Roman"/>
                      <w:sz w:val="21"/>
                      <w:szCs w:val="21"/>
                    </w:rPr>
                    <w:t>≤55dB（A）</w:t>
                  </w:r>
                </w:p>
              </w:tc>
            </w:tr>
          </w:tbl>
          <w:p w14:paraId="7507187E">
            <w:pPr>
              <w:ind w:firstLine="480"/>
              <w:rPr>
                <w:rFonts w:cs="Times New Roman"/>
              </w:rPr>
            </w:pPr>
            <w:r>
              <w:rPr>
                <w:rFonts w:cs="Times New Roman"/>
              </w:rPr>
              <w:t>（2）运营期</w:t>
            </w:r>
          </w:p>
          <w:p w14:paraId="299A6A25">
            <w:pPr>
              <w:ind w:firstLine="480"/>
              <w:rPr>
                <w:rFonts w:cs="Times New Roman"/>
              </w:rPr>
            </w:pPr>
            <w:r>
              <w:rPr>
                <w:rFonts w:cs="Times New Roman"/>
                <w:kern w:val="0"/>
              </w:rPr>
              <w:t>项目运行期噪声执行</w:t>
            </w:r>
            <w:r>
              <w:rPr>
                <w:rFonts w:cs="Times New Roman"/>
              </w:rPr>
              <w:t>《工业企业厂界环境噪声排放标准》（GB12348-2008）中2类区标准，见表4-8。</w:t>
            </w:r>
          </w:p>
          <w:p w14:paraId="4A49AE64">
            <w:pPr>
              <w:pStyle w:val="31"/>
              <w:rPr>
                <w:rFonts w:cs="Times New Roman"/>
              </w:rPr>
            </w:pPr>
            <w:r>
              <w:rPr>
                <w:rFonts w:cs="Times New Roman"/>
              </w:rPr>
              <w:t>表4-8  工业企业厂界环境噪声排放标准</w:t>
            </w:r>
          </w:p>
          <w:tbl>
            <w:tblPr>
              <w:tblStyle w:val="2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975"/>
              <w:gridCol w:w="1998"/>
              <w:gridCol w:w="1593"/>
            </w:tblGrid>
            <w:tr w14:paraId="65C6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675" w:type="dxa"/>
                  <w:vMerge w:val="restart"/>
                  <w:vAlign w:val="center"/>
                </w:tcPr>
                <w:p w14:paraId="2C09ADDA">
                  <w:pPr>
                    <w:pStyle w:val="32"/>
                    <w:ind w:firstLine="480"/>
                    <w:rPr>
                      <w:rFonts w:cs="Times New Roman"/>
                    </w:rPr>
                  </w:pPr>
                  <w:r>
                    <w:rPr>
                      <w:rFonts w:cs="Times New Roman"/>
                    </w:rPr>
                    <w:t>类别</w:t>
                  </w:r>
                </w:p>
              </w:tc>
              <w:tc>
                <w:tcPr>
                  <w:tcW w:w="3975" w:type="dxa"/>
                  <w:vMerge w:val="restart"/>
                  <w:vAlign w:val="center"/>
                </w:tcPr>
                <w:p w14:paraId="473F9ABE">
                  <w:pPr>
                    <w:pStyle w:val="32"/>
                    <w:ind w:firstLine="480"/>
                    <w:rPr>
                      <w:rFonts w:cs="Times New Roman"/>
                    </w:rPr>
                  </w:pPr>
                  <w:r>
                    <w:rPr>
                      <w:rFonts w:cs="Times New Roman"/>
                    </w:rPr>
                    <w:t>适用区域</w:t>
                  </w:r>
                </w:p>
              </w:tc>
              <w:tc>
                <w:tcPr>
                  <w:tcW w:w="3591" w:type="dxa"/>
                  <w:gridSpan w:val="2"/>
                </w:tcPr>
                <w:p w14:paraId="5525A212">
                  <w:pPr>
                    <w:pStyle w:val="32"/>
                    <w:ind w:firstLine="480"/>
                    <w:rPr>
                      <w:rFonts w:cs="Times New Roman"/>
                    </w:rPr>
                  </w:pPr>
                  <w:r>
                    <w:rPr>
                      <w:rFonts w:cs="Times New Roman"/>
                    </w:rPr>
                    <w:t>等效声级[dB（A）]</w:t>
                  </w:r>
                </w:p>
              </w:tc>
            </w:tr>
            <w:tr w14:paraId="4DC0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75" w:type="dxa"/>
                  <w:vMerge w:val="continue"/>
                  <w:tcBorders>
                    <w:bottom w:val="single" w:color="auto" w:sz="4" w:space="0"/>
                  </w:tcBorders>
                  <w:vAlign w:val="center"/>
                </w:tcPr>
                <w:p w14:paraId="46E83C61">
                  <w:pPr>
                    <w:pStyle w:val="32"/>
                    <w:ind w:firstLine="480"/>
                    <w:rPr>
                      <w:rFonts w:cs="Times New Roman"/>
                    </w:rPr>
                  </w:pPr>
                </w:p>
              </w:tc>
              <w:tc>
                <w:tcPr>
                  <w:tcW w:w="3975" w:type="dxa"/>
                  <w:vMerge w:val="continue"/>
                  <w:tcBorders>
                    <w:bottom w:val="single" w:color="auto" w:sz="4" w:space="0"/>
                  </w:tcBorders>
                  <w:vAlign w:val="center"/>
                </w:tcPr>
                <w:p w14:paraId="3876C330">
                  <w:pPr>
                    <w:pStyle w:val="32"/>
                    <w:ind w:firstLine="480"/>
                    <w:rPr>
                      <w:rFonts w:cs="Times New Roman"/>
                    </w:rPr>
                  </w:pPr>
                </w:p>
              </w:tc>
              <w:tc>
                <w:tcPr>
                  <w:tcW w:w="1998" w:type="dxa"/>
                  <w:tcBorders>
                    <w:bottom w:val="single" w:color="auto" w:sz="4" w:space="0"/>
                  </w:tcBorders>
                  <w:vAlign w:val="center"/>
                </w:tcPr>
                <w:p w14:paraId="539C960E">
                  <w:pPr>
                    <w:pStyle w:val="32"/>
                    <w:ind w:firstLine="480"/>
                    <w:rPr>
                      <w:rFonts w:cs="Times New Roman"/>
                    </w:rPr>
                  </w:pPr>
                  <w:r>
                    <w:rPr>
                      <w:rFonts w:cs="Times New Roman"/>
                    </w:rPr>
                    <w:t>昼间</w:t>
                  </w:r>
                </w:p>
              </w:tc>
              <w:tc>
                <w:tcPr>
                  <w:tcW w:w="1593" w:type="dxa"/>
                  <w:tcBorders>
                    <w:bottom w:val="single" w:color="auto" w:sz="4" w:space="0"/>
                  </w:tcBorders>
                  <w:vAlign w:val="center"/>
                </w:tcPr>
                <w:p w14:paraId="6D236C80">
                  <w:pPr>
                    <w:pStyle w:val="32"/>
                    <w:ind w:firstLine="480"/>
                    <w:rPr>
                      <w:rFonts w:cs="Times New Roman"/>
                    </w:rPr>
                  </w:pPr>
                  <w:r>
                    <w:rPr>
                      <w:rFonts w:cs="Times New Roman"/>
                    </w:rPr>
                    <w:t>夜间</w:t>
                  </w:r>
                </w:p>
              </w:tc>
            </w:tr>
            <w:tr w14:paraId="4241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675" w:type="dxa"/>
                  <w:tcBorders>
                    <w:bottom w:val="single" w:color="auto" w:sz="4" w:space="0"/>
                  </w:tcBorders>
                </w:tcPr>
                <w:p w14:paraId="0105B6AB">
                  <w:pPr>
                    <w:pStyle w:val="32"/>
                    <w:ind w:firstLine="480"/>
                    <w:rPr>
                      <w:rFonts w:cs="Times New Roman"/>
                    </w:rPr>
                  </w:pPr>
                  <w:r>
                    <w:rPr>
                      <w:rFonts w:cs="Times New Roman"/>
                    </w:rPr>
                    <w:t>2类</w:t>
                  </w:r>
                </w:p>
              </w:tc>
              <w:tc>
                <w:tcPr>
                  <w:tcW w:w="3975" w:type="dxa"/>
                  <w:tcBorders>
                    <w:bottom w:val="single" w:color="auto" w:sz="4" w:space="0"/>
                  </w:tcBorders>
                </w:tcPr>
                <w:p w14:paraId="0BD5C835">
                  <w:pPr>
                    <w:pStyle w:val="32"/>
                    <w:ind w:firstLine="480"/>
                    <w:jc w:val="left"/>
                    <w:rPr>
                      <w:rFonts w:cs="Times New Roman"/>
                    </w:rPr>
                  </w:pPr>
                  <w:r>
                    <w:rPr>
                      <w:rFonts w:cs="Times New Roman"/>
                    </w:rPr>
                    <w:t>适用于居住、商业、工业混杂区</w:t>
                  </w:r>
                </w:p>
              </w:tc>
              <w:tc>
                <w:tcPr>
                  <w:tcW w:w="1998" w:type="dxa"/>
                  <w:tcBorders>
                    <w:bottom w:val="single" w:color="auto" w:sz="4" w:space="0"/>
                  </w:tcBorders>
                </w:tcPr>
                <w:p w14:paraId="6EAD3B04">
                  <w:pPr>
                    <w:pStyle w:val="32"/>
                    <w:ind w:firstLine="480"/>
                    <w:rPr>
                      <w:rFonts w:cs="Times New Roman"/>
                    </w:rPr>
                  </w:pPr>
                  <w:r>
                    <w:rPr>
                      <w:rFonts w:cs="Times New Roman"/>
                    </w:rPr>
                    <w:t>60</w:t>
                  </w:r>
                </w:p>
              </w:tc>
              <w:tc>
                <w:tcPr>
                  <w:tcW w:w="1593" w:type="dxa"/>
                  <w:tcBorders>
                    <w:bottom w:val="single" w:color="auto" w:sz="4" w:space="0"/>
                  </w:tcBorders>
                </w:tcPr>
                <w:p w14:paraId="45A93D38">
                  <w:pPr>
                    <w:pStyle w:val="32"/>
                    <w:ind w:firstLine="480"/>
                    <w:rPr>
                      <w:rFonts w:cs="Times New Roman"/>
                    </w:rPr>
                  </w:pPr>
                  <w:r>
                    <w:rPr>
                      <w:rFonts w:cs="Times New Roman"/>
                    </w:rPr>
                    <w:t>50</w:t>
                  </w:r>
                </w:p>
              </w:tc>
            </w:tr>
          </w:tbl>
          <w:p w14:paraId="51EA5D11">
            <w:pPr>
              <w:tabs>
                <w:tab w:val="left" w:pos="4404"/>
              </w:tabs>
              <w:snapToGrid w:val="0"/>
              <w:ind w:firstLine="0" w:firstLineChars="0"/>
              <w:rPr>
                <w:rFonts w:cs="Times New Roman"/>
                <w:b/>
                <w:kern w:val="0"/>
              </w:rPr>
            </w:pPr>
            <w:r>
              <w:rPr>
                <w:rFonts w:cs="Times New Roman"/>
                <w:b/>
                <w:kern w:val="0"/>
              </w:rPr>
              <w:t>4、固废</w:t>
            </w:r>
          </w:p>
          <w:p w14:paraId="1C9EEFD8">
            <w:pPr>
              <w:ind w:firstLine="480"/>
              <w:rPr>
                <w:rFonts w:cs="Times New Roman"/>
              </w:rPr>
            </w:pPr>
            <w:r>
              <w:rPr>
                <w:rFonts w:cs="Times New Roman"/>
              </w:rPr>
              <w:t>项目生活垃圾、废土石等一般固废执行《一般工业固体废物贮存、处置场污染控制标准》（GB 18599-2001）及2013年6月修改单中相关要求。</w:t>
            </w:r>
          </w:p>
          <w:p w14:paraId="06E27AD9">
            <w:pPr>
              <w:ind w:firstLine="480"/>
              <w:jc w:val="both"/>
              <w:rPr>
                <w:rFonts w:cs="Times New Roman"/>
              </w:rPr>
            </w:pPr>
            <w:r>
              <w:rPr>
                <w:rFonts w:cs="Times New Roman"/>
              </w:rPr>
              <w:t>项目产生废机油属于危险废物，暂存执行《危险废物贮存污染控制标准》（GB18597-2001）及2013年6月修改单中相关要求。</w:t>
            </w:r>
          </w:p>
        </w:tc>
      </w:tr>
      <w:tr w14:paraId="203B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38DE42A">
            <w:pPr>
              <w:ind w:firstLine="0" w:firstLineChars="0"/>
              <w:jc w:val="center"/>
              <w:rPr>
                <w:rFonts w:cs="Times New Roman"/>
              </w:rPr>
            </w:pPr>
            <w:r>
              <w:rPr>
                <w:rFonts w:cs="Times New Roman"/>
              </w:rPr>
              <w:t>总量控制指标</w:t>
            </w:r>
          </w:p>
        </w:tc>
        <w:tc>
          <w:tcPr>
            <w:tcW w:w="9467" w:type="dxa"/>
            <w:vAlign w:val="center"/>
          </w:tcPr>
          <w:p w14:paraId="6FF98D68">
            <w:pPr>
              <w:ind w:firstLine="0" w:firstLineChars="0"/>
              <w:rPr>
                <w:rFonts w:cs="Times New Roman"/>
              </w:rPr>
            </w:pPr>
            <w:r>
              <w:rPr>
                <w:rFonts w:cs="Times New Roman"/>
              </w:rPr>
              <w:t>本项目建议总量控制指标如下：</w:t>
            </w:r>
          </w:p>
          <w:p w14:paraId="183E0129">
            <w:pPr>
              <w:ind w:firstLine="480"/>
              <w:rPr>
                <w:rFonts w:cs="Times New Roman"/>
              </w:rPr>
            </w:pPr>
            <w:r>
              <w:rPr>
                <w:rFonts w:cs="Times New Roman"/>
              </w:rPr>
              <w:t>废气：项目运行过程中产生粉尘无组织排放，不设总量控制指标；</w:t>
            </w:r>
          </w:p>
          <w:p w14:paraId="7E5248CB">
            <w:pPr>
              <w:ind w:firstLine="480"/>
              <w:rPr>
                <w:rFonts w:cs="Times New Roman"/>
              </w:rPr>
            </w:pPr>
            <w:r>
              <w:rPr>
                <w:rFonts w:cs="Times New Roman"/>
              </w:rPr>
              <w:t>固废：固废处置率达100%；</w:t>
            </w:r>
          </w:p>
          <w:p w14:paraId="6E26CB33">
            <w:pPr>
              <w:ind w:firstLine="480"/>
              <w:rPr>
                <w:rFonts w:cs="Times New Roman"/>
              </w:rPr>
            </w:pPr>
            <w:r>
              <w:rPr>
                <w:rFonts w:cs="Times New Roman"/>
              </w:rPr>
              <w:t>废水：营运期管理人员产生少量生活污水经化粪池处理后回用于绿化底肥，不外排；弃渣场及露天采场产生</w:t>
            </w:r>
            <w:r>
              <w:rPr>
                <w:rFonts w:hint="eastAsia" w:cs="Times New Roman"/>
                <w:bCs/>
                <w:color w:val="FF0000"/>
              </w:rPr>
              <w:t>初期雨水</w:t>
            </w:r>
            <w:r>
              <w:rPr>
                <w:rFonts w:cs="Times New Roman"/>
              </w:rPr>
              <w:t>经雨水沉淀池沉淀处理后外排，不设总量控制指标。</w:t>
            </w:r>
          </w:p>
          <w:p w14:paraId="514BAE6C">
            <w:pPr>
              <w:ind w:firstLine="480"/>
              <w:rPr>
                <w:rFonts w:cs="Times New Roman"/>
              </w:rPr>
            </w:pPr>
          </w:p>
          <w:p w14:paraId="1491A052">
            <w:pPr>
              <w:ind w:firstLine="480"/>
              <w:rPr>
                <w:rFonts w:cs="Times New Roman"/>
              </w:rPr>
            </w:pPr>
          </w:p>
          <w:p w14:paraId="48B25C1C">
            <w:pPr>
              <w:ind w:firstLine="480"/>
              <w:rPr>
                <w:rFonts w:cs="Times New Roman"/>
              </w:rPr>
            </w:pPr>
          </w:p>
          <w:p w14:paraId="3CF64405">
            <w:pPr>
              <w:ind w:firstLine="480"/>
              <w:rPr>
                <w:rFonts w:cs="Times New Roman"/>
              </w:rPr>
            </w:pPr>
          </w:p>
          <w:p w14:paraId="353082F4">
            <w:pPr>
              <w:ind w:firstLine="480"/>
              <w:rPr>
                <w:rFonts w:cs="Times New Roman"/>
              </w:rPr>
            </w:pPr>
          </w:p>
          <w:p w14:paraId="2961DCD5">
            <w:pPr>
              <w:ind w:firstLine="480"/>
              <w:rPr>
                <w:rFonts w:cs="Times New Roman"/>
              </w:rPr>
            </w:pPr>
          </w:p>
          <w:p w14:paraId="310AE846">
            <w:pPr>
              <w:ind w:firstLine="480"/>
              <w:rPr>
                <w:rFonts w:cs="Times New Roman"/>
              </w:rPr>
            </w:pPr>
          </w:p>
          <w:p w14:paraId="13031324">
            <w:pPr>
              <w:ind w:firstLine="480"/>
              <w:rPr>
                <w:rFonts w:cs="Times New Roman"/>
              </w:rPr>
            </w:pPr>
          </w:p>
          <w:p w14:paraId="12788A7C">
            <w:pPr>
              <w:ind w:firstLine="480"/>
              <w:rPr>
                <w:rFonts w:cs="Times New Roman"/>
              </w:rPr>
            </w:pPr>
          </w:p>
          <w:p w14:paraId="4E50D3AD">
            <w:pPr>
              <w:ind w:firstLine="480"/>
              <w:rPr>
                <w:rFonts w:cs="Times New Roman"/>
              </w:rPr>
            </w:pPr>
          </w:p>
          <w:p w14:paraId="7A578635">
            <w:pPr>
              <w:ind w:firstLine="480"/>
              <w:rPr>
                <w:rFonts w:cs="Times New Roman"/>
              </w:rPr>
            </w:pPr>
          </w:p>
          <w:p w14:paraId="4B58FDD0">
            <w:pPr>
              <w:ind w:firstLine="480"/>
              <w:rPr>
                <w:rFonts w:cs="Times New Roman"/>
              </w:rPr>
            </w:pPr>
          </w:p>
          <w:p w14:paraId="5102AA29">
            <w:pPr>
              <w:ind w:firstLine="480"/>
              <w:rPr>
                <w:rFonts w:cs="Times New Roman"/>
              </w:rPr>
            </w:pPr>
          </w:p>
          <w:p w14:paraId="4424B92E">
            <w:pPr>
              <w:ind w:firstLine="480"/>
              <w:rPr>
                <w:rFonts w:cs="Times New Roman"/>
              </w:rPr>
            </w:pPr>
          </w:p>
          <w:p w14:paraId="0EB9DAC2">
            <w:pPr>
              <w:ind w:firstLine="480"/>
              <w:rPr>
                <w:rFonts w:cs="Times New Roman"/>
              </w:rPr>
            </w:pPr>
          </w:p>
          <w:p w14:paraId="0A50C94B">
            <w:pPr>
              <w:ind w:firstLine="480"/>
              <w:rPr>
                <w:rFonts w:cs="Times New Roman"/>
              </w:rPr>
            </w:pPr>
          </w:p>
        </w:tc>
      </w:tr>
    </w:tbl>
    <w:p w14:paraId="0F58FFBF">
      <w:pPr>
        <w:widowControl/>
        <w:spacing w:line="240" w:lineRule="auto"/>
        <w:ind w:firstLine="0" w:firstLineChars="0"/>
        <w:rPr>
          <w:rFonts w:cs="Times New Roman"/>
        </w:rPr>
      </w:pPr>
      <w:r>
        <w:rPr>
          <w:rFonts w:cs="Times New Roman"/>
        </w:rPr>
        <w:br w:type="page"/>
      </w:r>
    </w:p>
    <w:p w14:paraId="2FCBF2FE">
      <w:pPr>
        <w:pStyle w:val="3"/>
        <w:rPr>
          <w:rFonts w:cs="Times New Roman"/>
        </w:rPr>
      </w:pPr>
      <w:bookmarkStart w:id="21" w:name="_Toc509498034"/>
      <w:bookmarkStart w:id="22" w:name="_Toc480990435"/>
      <w:bookmarkStart w:id="23" w:name="_Toc509498235"/>
      <w:bookmarkStart w:id="24" w:name="_Toc480991555"/>
      <w:r>
        <w:rPr>
          <w:rFonts w:cs="Times New Roman"/>
        </w:rPr>
        <w:t>表五、建设项目工程分析及工艺</w:t>
      </w:r>
      <w:bookmarkEnd w:id="21"/>
      <w:bookmarkEnd w:id="22"/>
      <w:bookmarkEnd w:id="23"/>
      <w:bookmarkEnd w:id="24"/>
    </w:p>
    <w:tbl>
      <w:tblPr>
        <w:tblStyle w:val="22"/>
        <w:tblW w:w="1011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6"/>
      </w:tblGrid>
      <w:tr w14:paraId="59BD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6" w:type="dxa"/>
          </w:tcPr>
          <w:p w14:paraId="4EE7ACA0">
            <w:pPr>
              <w:ind w:firstLine="0" w:firstLineChars="0"/>
              <w:rPr>
                <w:rFonts w:cs="Times New Roman"/>
                <w:b/>
              </w:rPr>
            </w:pPr>
            <w:r>
              <w:rPr>
                <w:rFonts w:cs="Times New Roman"/>
                <w:b/>
              </w:rPr>
              <w:t>一、施工期工艺分析</w:t>
            </w:r>
          </w:p>
          <w:p w14:paraId="340021E5">
            <w:pPr>
              <w:ind w:firstLine="480"/>
              <w:rPr>
                <w:rFonts w:cs="Times New Roman"/>
                <w:bCs/>
              </w:rPr>
            </w:pPr>
            <w:r>
              <w:rPr>
                <w:rFonts w:cs="Times New Roman"/>
                <w:bCs/>
              </w:rPr>
              <w:t>本项目属于</w:t>
            </w:r>
            <w:r>
              <w:rPr>
                <w:rFonts w:cs="Times New Roman"/>
                <w:bCs/>
                <w:color w:val="FF0000"/>
              </w:rPr>
              <w:t>扩建</w:t>
            </w:r>
            <w:r>
              <w:rPr>
                <w:rFonts w:cs="Times New Roman"/>
                <w:bCs/>
              </w:rPr>
              <w:t>项目，大部分建设内容已建设完成，主要是生产加工区内已建设了1#、2#生产线及生活办公设施、露天采场等，已经投入过运营。项目还需对弃渣场进行改造、完善生产线的建设，以及建设防尘设施、截排水沟、雨水沉淀池、沉沙池等环保工程。</w:t>
            </w:r>
          </w:p>
          <w:p w14:paraId="2D3A5F13">
            <w:pPr>
              <w:ind w:firstLine="480"/>
              <w:rPr>
                <w:rFonts w:cs="Times New Roman"/>
              </w:rPr>
            </w:pPr>
            <w:r>
              <w:rPr>
                <w:rFonts w:cs="Times New Roman"/>
              </w:rPr>
              <w:t>工程施工期间施工人员生活、土石方开挖、运输等活动产生一定量的“三废”和噪声，并对局部地貌、植被产生一定影响，同时可能加剧流域水土流失。施工期影响属不可逆影响，其影响随施工期结束而消失。</w:t>
            </w:r>
          </w:p>
          <w:p w14:paraId="361005E5">
            <w:pPr>
              <w:ind w:firstLine="0" w:firstLineChars="0"/>
              <w:rPr>
                <w:rFonts w:cs="Times New Roman"/>
                <w:b/>
              </w:rPr>
            </w:pPr>
            <w:r>
              <w:rPr>
                <w:rFonts w:cs="Times New Roman"/>
                <w:b/>
              </w:rPr>
              <w:t>二、施工期环境影响因素</w:t>
            </w:r>
          </w:p>
          <w:p w14:paraId="1940A60B">
            <w:pPr>
              <w:ind w:firstLine="480"/>
              <w:rPr>
                <w:rFonts w:cs="Times New Roman"/>
              </w:rPr>
            </w:pPr>
            <w:r>
              <w:rPr>
                <w:rFonts w:cs="Times New Roman"/>
              </w:rPr>
              <w:t>本项目施工期施工总人数约18人，施工人员住宿于生活区。</w:t>
            </w:r>
          </w:p>
          <w:p w14:paraId="5427AABE">
            <w:pPr>
              <w:ind w:firstLine="482"/>
              <w:rPr>
                <w:rFonts w:cs="Times New Roman"/>
                <w:b/>
              </w:rPr>
            </w:pPr>
            <w:r>
              <w:rPr>
                <w:rFonts w:cs="Times New Roman"/>
                <w:b/>
              </w:rPr>
              <w:t>1、废水</w:t>
            </w:r>
          </w:p>
          <w:p w14:paraId="4773C0D8">
            <w:pPr>
              <w:ind w:firstLine="480"/>
              <w:rPr>
                <w:rFonts w:cs="Times New Roman"/>
              </w:rPr>
            </w:pPr>
            <w:r>
              <w:rPr>
                <w:rFonts w:cs="Times New Roman"/>
              </w:rPr>
              <w:t>工程施工人员住宿于原生活区，施工期废水主要为混凝土搅拌机冲洗废水、工具清洗废水及场地</w:t>
            </w:r>
            <w:r>
              <w:rPr>
                <w:rFonts w:hint="eastAsia" w:cs="Times New Roman"/>
                <w:bCs/>
                <w:color w:val="FF0000"/>
              </w:rPr>
              <w:t>初期雨水</w:t>
            </w:r>
            <w:r>
              <w:rPr>
                <w:rFonts w:cs="Times New Roman"/>
              </w:rPr>
              <w:t>、施工人员生活污水。</w:t>
            </w:r>
          </w:p>
          <w:p w14:paraId="2765E802">
            <w:pPr>
              <w:ind w:firstLine="480"/>
              <w:rPr>
                <w:rFonts w:cs="Times New Roman"/>
              </w:rPr>
            </w:pPr>
            <w:r>
              <w:rPr>
                <w:rFonts w:hint="eastAsia" w:ascii="宋体" w:hAnsi="宋体" w:cs="宋体"/>
              </w:rPr>
              <w:t>①</w:t>
            </w:r>
            <w:r>
              <w:rPr>
                <w:rFonts w:cs="Times New Roman"/>
              </w:rPr>
              <w:t>施工生产废水</w:t>
            </w:r>
          </w:p>
          <w:p w14:paraId="5A892F25">
            <w:pPr>
              <w:ind w:firstLine="480"/>
              <w:rPr>
                <w:rFonts w:cs="Times New Roman"/>
              </w:rPr>
            </w:pPr>
            <w:r>
              <w:rPr>
                <w:rFonts w:cs="Times New Roman"/>
              </w:rPr>
              <w:t>施工生产废水主要为混凝土搅拌机冲洗废水和工具清洗废水。</w:t>
            </w:r>
          </w:p>
          <w:p w14:paraId="2CE7966E">
            <w:pPr>
              <w:ind w:firstLine="480"/>
              <w:jc w:val="both"/>
              <w:rPr>
                <w:rFonts w:cs="Times New Roman"/>
              </w:rPr>
            </w:pPr>
            <w:r>
              <w:rPr>
                <w:rFonts w:cs="Times New Roman"/>
              </w:rPr>
              <w:t>A、混凝土搅拌机冲洗废水</w:t>
            </w:r>
          </w:p>
          <w:p w14:paraId="7822DB08">
            <w:pPr>
              <w:ind w:firstLine="480"/>
              <w:jc w:val="both"/>
              <w:rPr>
                <w:rFonts w:cs="Times New Roman"/>
              </w:rPr>
            </w:pPr>
            <w:r>
              <w:rPr>
                <w:rFonts w:cs="Times New Roman"/>
              </w:rPr>
              <w:t>本项目共设置1台混凝土搅拌机，混凝土搅拌机冲洗废水主要来自于搅拌桶每天一次的冲洗。本项目每座混凝土搅拌机每天冲洗1次，每次使用0.3m</w:t>
            </w:r>
            <w:r>
              <w:rPr>
                <w:rFonts w:cs="Times New Roman"/>
                <w:vertAlign w:val="superscript"/>
              </w:rPr>
              <w:t>3</w:t>
            </w:r>
            <w:r>
              <w:rPr>
                <w:rFonts w:cs="Times New Roman"/>
              </w:rPr>
              <w:t>清水，则项目每天产生冲洗废水0.9m</w:t>
            </w:r>
            <w:r>
              <w:rPr>
                <w:rFonts w:cs="Times New Roman"/>
                <w:vertAlign w:val="superscript"/>
              </w:rPr>
              <w:t>3</w:t>
            </w:r>
            <w:r>
              <w:rPr>
                <w:rFonts w:cs="Times New Roman"/>
              </w:rPr>
              <w:t>，按照施工期2个月计算，则本工程将产生混凝土搅拌废水约54m</w:t>
            </w:r>
            <w:r>
              <w:rPr>
                <w:rFonts w:cs="Times New Roman"/>
                <w:vertAlign w:val="superscript"/>
              </w:rPr>
              <w:t>3</w:t>
            </w:r>
            <w:r>
              <w:rPr>
                <w:rFonts w:cs="Times New Roman"/>
              </w:rPr>
              <w:t>。该类废水主要特点为悬浮物含量偏高，约2000mg/L，且pH＞10。混凝土搅拌冲洗废水经沉淀池处理后回收作为冲洗用水或洒水抑尘，不外排。</w:t>
            </w:r>
          </w:p>
          <w:p w14:paraId="2E7907DF">
            <w:pPr>
              <w:tabs>
                <w:tab w:val="left" w:pos="2788"/>
              </w:tabs>
              <w:ind w:firstLine="480"/>
              <w:jc w:val="both"/>
              <w:rPr>
                <w:rFonts w:cs="Times New Roman"/>
              </w:rPr>
            </w:pPr>
            <w:r>
              <w:rPr>
                <w:rFonts w:cs="Times New Roman"/>
              </w:rPr>
              <w:t>B、工具清洗废水</w:t>
            </w:r>
          </w:p>
          <w:p w14:paraId="7E908FED">
            <w:pPr>
              <w:ind w:firstLine="480"/>
              <w:jc w:val="both"/>
              <w:rPr>
                <w:rFonts w:cs="Times New Roman"/>
              </w:rPr>
            </w:pPr>
            <w:r>
              <w:rPr>
                <w:rFonts w:cs="Times New Roman"/>
              </w:rPr>
              <w:t>施工人员为18人，</w:t>
            </w:r>
            <w:r>
              <w:rPr>
                <w:rFonts w:cs="Times New Roman"/>
                <w:szCs w:val="23"/>
              </w:rPr>
              <w:t>用水量按10L/人•d计，则用水量为0.18m</w:t>
            </w:r>
            <w:r>
              <w:rPr>
                <w:rFonts w:cs="Times New Roman"/>
                <w:szCs w:val="16"/>
                <w:vertAlign w:val="superscript"/>
              </w:rPr>
              <w:t>3</w:t>
            </w:r>
            <w:r>
              <w:rPr>
                <w:rFonts w:cs="Times New Roman"/>
                <w:szCs w:val="23"/>
              </w:rPr>
              <w:t>/d，产污系数按0.8计，则施工废水产生量为0.144m</w:t>
            </w:r>
            <w:r>
              <w:rPr>
                <w:rFonts w:cs="Times New Roman"/>
                <w:szCs w:val="16"/>
                <w:vertAlign w:val="superscript"/>
              </w:rPr>
              <w:t>3</w:t>
            </w:r>
            <w:r>
              <w:rPr>
                <w:rFonts w:cs="Times New Roman"/>
                <w:szCs w:val="23"/>
              </w:rPr>
              <w:t>/d。</w:t>
            </w:r>
            <w:r>
              <w:rPr>
                <w:rFonts w:cs="Times New Roman"/>
              </w:rPr>
              <w:t>施工废水不含有毒物质，主要是泥沙悬浮物含量较大。根据国内外同类工程施工废水监测资料：工具清洗废水悬浮物浓度约为500mg/L-2000mg/L，pH值9-12。施工工具清洗废水经沉淀池沉淀后回用于施工或洒水降尘，不外排。</w:t>
            </w:r>
          </w:p>
          <w:p w14:paraId="4988CFE2">
            <w:pPr>
              <w:ind w:firstLine="480"/>
              <w:jc w:val="both"/>
              <w:rPr>
                <w:rFonts w:cs="Times New Roman"/>
              </w:rPr>
            </w:pPr>
            <w:r>
              <w:rPr>
                <w:rFonts w:hint="eastAsia" w:ascii="宋体" w:hAnsi="宋体" w:cs="宋体"/>
              </w:rPr>
              <w:t>②</w:t>
            </w:r>
            <w:r>
              <w:rPr>
                <w:rFonts w:cs="Times New Roman"/>
              </w:rPr>
              <w:t>施工人员生活污水</w:t>
            </w:r>
          </w:p>
          <w:p w14:paraId="1BAD43E3">
            <w:pPr>
              <w:ind w:firstLine="480"/>
              <w:jc w:val="both"/>
              <w:rPr>
                <w:rFonts w:cs="Times New Roman"/>
              </w:rPr>
            </w:pPr>
            <w:r>
              <w:rPr>
                <w:rFonts w:cs="Times New Roman"/>
              </w:rPr>
              <w:t>工程施工期工作人员按18人计，每人生活用水量为60L/d，则施工期生活用水量为1.08m</w:t>
            </w:r>
            <w:r>
              <w:rPr>
                <w:rFonts w:cs="Times New Roman"/>
                <w:vertAlign w:val="superscript"/>
              </w:rPr>
              <w:t>3</w:t>
            </w:r>
            <w:r>
              <w:rPr>
                <w:rFonts w:cs="Times New Roman"/>
              </w:rPr>
              <w:t>/d，生活废水排放系数取0.8，则施工期生活废水排放量为0.864m</w:t>
            </w:r>
            <w:r>
              <w:rPr>
                <w:rFonts w:cs="Times New Roman"/>
                <w:vertAlign w:val="superscript"/>
              </w:rPr>
              <w:t>3</w:t>
            </w:r>
            <w:r>
              <w:rPr>
                <w:rFonts w:cs="Times New Roman"/>
              </w:rPr>
              <w:t>/d。生活污水经沉淀池沉淀处理后回用于施工及洒水降尘，不外排。</w:t>
            </w:r>
          </w:p>
          <w:p w14:paraId="0F01F4C0">
            <w:pPr>
              <w:ind w:firstLine="480"/>
              <w:jc w:val="both"/>
              <w:rPr>
                <w:rFonts w:cs="Times New Roman"/>
              </w:rPr>
            </w:pPr>
            <w:r>
              <w:rPr>
                <w:rFonts w:hint="eastAsia" w:ascii="宋体" w:hAnsi="宋体" w:cs="宋体"/>
              </w:rPr>
              <w:t>③</w:t>
            </w:r>
            <w:r>
              <w:rPr>
                <w:rFonts w:cs="Times New Roman"/>
              </w:rPr>
              <w:t>场地</w:t>
            </w:r>
            <w:r>
              <w:rPr>
                <w:rFonts w:hint="eastAsia" w:cs="Times New Roman"/>
                <w:bCs/>
                <w:color w:val="FF0000"/>
              </w:rPr>
              <w:t>初期雨水</w:t>
            </w:r>
          </w:p>
          <w:p w14:paraId="6A43F2FE">
            <w:pPr>
              <w:ind w:firstLine="480"/>
              <w:rPr>
                <w:rFonts w:cs="Times New Roman"/>
              </w:rPr>
            </w:pPr>
            <w:r>
              <w:rPr>
                <w:rFonts w:cs="Times New Roman"/>
              </w:rPr>
              <w:t>施工区域表土剥离造成占地范围内地表裸露。在雨季，雨水冲刷容易造成施工范围水土流失，地表径流夹带大量泥沙，影响下游地表水体，造成下游水质变差。在施工区设置截排水沟，并在截排水沟末端设置沉砂池，尽可能的避免雨水冲刷引起水土流失。</w:t>
            </w:r>
          </w:p>
          <w:p w14:paraId="7DF225C0">
            <w:pPr>
              <w:ind w:firstLine="482"/>
              <w:rPr>
                <w:rFonts w:cs="Times New Roman"/>
                <w:b/>
              </w:rPr>
            </w:pPr>
            <w:r>
              <w:rPr>
                <w:rFonts w:cs="Times New Roman"/>
                <w:b/>
              </w:rPr>
              <w:t>2、施工废气</w:t>
            </w:r>
          </w:p>
          <w:p w14:paraId="2EFACCBB">
            <w:pPr>
              <w:ind w:firstLine="480"/>
              <w:rPr>
                <w:rFonts w:cs="Times New Roman"/>
              </w:rPr>
            </w:pPr>
            <w:r>
              <w:rPr>
                <w:rFonts w:cs="Times New Roman"/>
              </w:rPr>
              <w:t xml:space="preserve">本项目施工期的主要废气有：汽车、装卸设备等施工机械运行时产生的燃油废气；汽车运输、料场及基础开挖、水泥装卸等产生的扬尘和逸散尘。 </w:t>
            </w:r>
          </w:p>
          <w:p w14:paraId="1A8D6E39">
            <w:pPr>
              <w:ind w:firstLine="480"/>
              <w:rPr>
                <w:rFonts w:cs="Times New Roman"/>
              </w:rPr>
            </w:pPr>
            <w:r>
              <w:rPr>
                <w:rFonts w:cs="Times New Roman"/>
              </w:rPr>
              <w:t>（1）施工场地扬尘、粉尘</w:t>
            </w:r>
          </w:p>
          <w:p w14:paraId="179C983F">
            <w:pPr>
              <w:ind w:firstLine="600" w:firstLineChars="250"/>
              <w:rPr>
                <w:rFonts w:cs="Times New Roman"/>
              </w:rPr>
            </w:pPr>
            <w:r>
              <w:rPr>
                <w:rFonts w:cs="Times New Roman"/>
              </w:rPr>
              <w:t>场地开挖等将造成大量地表裸露，在干燥的天气情况下，特别在大风时易产生扬尘；砂石料、水泥等临时堆放处在旱季风大时也亦产生扬尘；施工道路运输车辆经过时将产生扬尘，影响范围一般集中于道路两侧50m。粉尘产生量与施工方法、作业面大小、施工机械、天气状况、洒水频率等都有关系，需采取晴天定时洒水的措施来缓解施工扬尘对外环境的影响。</w:t>
            </w:r>
          </w:p>
          <w:p w14:paraId="52DCD881">
            <w:pPr>
              <w:ind w:firstLine="480"/>
              <w:rPr>
                <w:rFonts w:cs="Times New Roman"/>
              </w:rPr>
            </w:pPr>
            <w:r>
              <w:rPr>
                <w:rFonts w:cs="Times New Roman"/>
              </w:rPr>
              <w:t>（2）施工燃油废气</w:t>
            </w:r>
          </w:p>
          <w:p w14:paraId="627E150E">
            <w:pPr>
              <w:ind w:firstLine="480"/>
              <w:rPr>
                <w:rFonts w:cs="Times New Roman"/>
              </w:rPr>
            </w:pPr>
            <w:r>
              <w:rPr>
                <w:rFonts w:cs="Times New Roman"/>
              </w:rPr>
              <w:t>本项目施工期需使用部分大型燃油机械设备和运输车辆，因此，在使用过程中会产生SO</w:t>
            </w:r>
            <w:r>
              <w:rPr>
                <w:rFonts w:cs="Times New Roman"/>
                <w:vertAlign w:val="subscript"/>
              </w:rPr>
              <w:t>2</w:t>
            </w:r>
            <w:r>
              <w:rPr>
                <w:rFonts w:cs="Times New Roman"/>
              </w:rPr>
              <w:t>、NO</w:t>
            </w:r>
            <w:r>
              <w:rPr>
                <w:rFonts w:cs="Times New Roman"/>
                <w:vertAlign w:val="subscript"/>
              </w:rPr>
              <w:t>x</w:t>
            </w:r>
            <w:r>
              <w:rPr>
                <w:rFonts w:cs="Times New Roman"/>
              </w:rPr>
              <w:t>、CO、C</w:t>
            </w:r>
            <w:r>
              <w:rPr>
                <w:rFonts w:cs="Times New Roman"/>
                <w:vertAlign w:val="subscript"/>
              </w:rPr>
              <w:t>m</w:t>
            </w:r>
            <w:r>
              <w:rPr>
                <w:rFonts w:cs="Times New Roman"/>
              </w:rPr>
              <w:t>H</w:t>
            </w:r>
            <w:r>
              <w:rPr>
                <w:rFonts w:cs="Times New Roman"/>
                <w:vertAlign w:val="subscript"/>
              </w:rPr>
              <w:t>n</w:t>
            </w:r>
            <w:r>
              <w:rPr>
                <w:rFonts w:cs="Times New Roman"/>
              </w:rPr>
              <w:t>等废气。机械燃油废气属连续无组织排放源，污染源主要集中在各施工场地和场内道路旁，污染物呈面源分布。由于工区范围大，施工点相对较多，因此，污染物排放分散且强度并不大。</w:t>
            </w:r>
          </w:p>
          <w:p w14:paraId="522E6519">
            <w:pPr>
              <w:ind w:firstLine="482"/>
              <w:rPr>
                <w:rFonts w:cs="Times New Roman"/>
                <w:b/>
              </w:rPr>
            </w:pPr>
            <w:r>
              <w:rPr>
                <w:rFonts w:cs="Times New Roman"/>
                <w:b/>
              </w:rPr>
              <w:t>3、噪声</w:t>
            </w:r>
          </w:p>
          <w:p w14:paraId="57ADAB1B">
            <w:pPr>
              <w:ind w:firstLine="480"/>
              <w:rPr>
                <w:rFonts w:cs="Times New Roman"/>
              </w:rPr>
            </w:pPr>
            <w:r>
              <w:rPr>
                <w:rFonts w:cs="Times New Roman"/>
              </w:rPr>
              <w:t>施工期噪声主要来源于施工机械噪声、运输车辆噪声等。施工机械噪声集中于生产加工区，运输机械噪声分布于进场路段。</w:t>
            </w:r>
          </w:p>
          <w:p w14:paraId="5370D4B2">
            <w:pPr>
              <w:ind w:firstLine="480"/>
              <w:rPr>
                <w:rFonts w:cs="Times New Roman"/>
              </w:rPr>
            </w:pPr>
            <w:r>
              <w:rPr>
                <w:rFonts w:cs="Times New Roman"/>
              </w:rPr>
              <w:t>（1）施工机械噪声</w:t>
            </w:r>
          </w:p>
          <w:p w14:paraId="1CF992EF">
            <w:pPr>
              <w:ind w:firstLine="480"/>
              <w:rPr>
                <w:rFonts w:cs="Times New Roman"/>
                <w:kern w:val="0"/>
                <w:szCs w:val="24"/>
              </w:rPr>
            </w:pPr>
            <w:r>
              <w:rPr>
                <w:rFonts w:cs="Times New Roman"/>
                <w:kern w:val="0"/>
                <w:szCs w:val="24"/>
              </w:rPr>
              <w:t>施工机械噪声主要为土石方开挖噪声、混凝土加工噪声等，施工机械噪声源强一般超过</w:t>
            </w:r>
            <w:r>
              <w:rPr>
                <w:rFonts w:cs="Times New Roman"/>
              </w:rPr>
              <w:t>86～95dB</w:t>
            </w:r>
            <w:r>
              <w:rPr>
                <w:rFonts w:cs="Times New Roman"/>
                <w:kern w:val="0"/>
                <w:szCs w:val="24"/>
              </w:rPr>
              <w:t>。</w:t>
            </w:r>
          </w:p>
          <w:p w14:paraId="6C7B64D6">
            <w:pPr>
              <w:pStyle w:val="31"/>
              <w:rPr>
                <w:rFonts w:cs="Times New Roman"/>
              </w:rPr>
            </w:pPr>
            <w:r>
              <w:rPr>
                <w:rFonts w:cs="Times New Roman"/>
              </w:rPr>
              <w:t>表5-1  施工机械噪声源强表</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727"/>
              <w:gridCol w:w="2546"/>
              <w:gridCol w:w="2331"/>
            </w:tblGrid>
            <w:tr w14:paraId="70A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9D58FEB">
                  <w:pPr>
                    <w:pStyle w:val="52"/>
                    <w:rPr>
                      <w:color w:val="auto"/>
                    </w:rPr>
                  </w:pPr>
                  <w:r>
                    <w:rPr>
                      <w:color w:val="auto"/>
                    </w:rPr>
                    <w:t>序号</w:t>
                  </w:r>
                </w:p>
              </w:tc>
              <w:tc>
                <w:tcPr>
                  <w:tcW w:w="2727" w:type="dxa"/>
                  <w:tcBorders>
                    <w:top w:val="single" w:color="auto" w:sz="4" w:space="0"/>
                    <w:left w:val="single" w:color="auto" w:sz="4" w:space="0"/>
                    <w:bottom w:val="single" w:color="auto" w:sz="4" w:space="0"/>
                    <w:right w:val="single" w:color="auto" w:sz="4" w:space="0"/>
                  </w:tcBorders>
                  <w:vAlign w:val="center"/>
                </w:tcPr>
                <w:p w14:paraId="73AA4515">
                  <w:pPr>
                    <w:pStyle w:val="52"/>
                    <w:rPr>
                      <w:color w:val="auto"/>
                    </w:rPr>
                  </w:pPr>
                  <w:r>
                    <w:rPr>
                      <w:color w:val="auto"/>
                    </w:rPr>
                    <w:t>设备名称</w:t>
                  </w:r>
                </w:p>
              </w:tc>
              <w:tc>
                <w:tcPr>
                  <w:tcW w:w="2546" w:type="dxa"/>
                  <w:tcBorders>
                    <w:top w:val="single" w:color="auto" w:sz="4" w:space="0"/>
                    <w:left w:val="single" w:color="auto" w:sz="4" w:space="0"/>
                    <w:bottom w:val="single" w:color="auto" w:sz="4" w:space="0"/>
                    <w:right w:val="single" w:color="auto" w:sz="4" w:space="0"/>
                  </w:tcBorders>
                  <w:vAlign w:val="center"/>
                </w:tcPr>
                <w:p w14:paraId="7780EB94">
                  <w:pPr>
                    <w:pStyle w:val="52"/>
                    <w:rPr>
                      <w:color w:val="auto"/>
                    </w:rPr>
                  </w:pPr>
                  <w:r>
                    <w:rPr>
                      <w:color w:val="auto"/>
                    </w:rPr>
                    <w:t>噪声源强（dB）</w:t>
                  </w:r>
                </w:p>
              </w:tc>
              <w:tc>
                <w:tcPr>
                  <w:tcW w:w="2331" w:type="dxa"/>
                  <w:tcBorders>
                    <w:top w:val="single" w:color="auto" w:sz="4" w:space="0"/>
                    <w:left w:val="single" w:color="auto" w:sz="4" w:space="0"/>
                    <w:bottom w:val="single" w:color="auto" w:sz="4" w:space="0"/>
                    <w:right w:val="single" w:color="auto" w:sz="4" w:space="0"/>
                  </w:tcBorders>
                  <w:vAlign w:val="center"/>
                </w:tcPr>
                <w:p w14:paraId="35CCC85B">
                  <w:pPr>
                    <w:pStyle w:val="52"/>
                    <w:rPr>
                      <w:color w:val="auto"/>
                    </w:rPr>
                  </w:pPr>
                  <w:r>
                    <w:rPr>
                      <w:color w:val="auto"/>
                    </w:rPr>
                    <w:t>测量距离（m）</w:t>
                  </w:r>
                </w:p>
              </w:tc>
            </w:tr>
            <w:tr w14:paraId="7037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B984A96">
                  <w:pPr>
                    <w:pStyle w:val="52"/>
                    <w:rPr>
                      <w:color w:val="auto"/>
                    </w:rPr>
                  </w:pPr>
                  <w:r>
                    <w:rPr>
                      <w:color w:val="auto"/>
                    </w:rPr>
                    <w:t>1</w:t>
                  </w:r>
                </w:p>
              </w:tc>
              <w:tc>
                <w:tcPr>
                  <w:tcW w:w="2727" w:type="dxa"/>
                  <w:tcBorders>
                    <w:top w:val="single" w:color="auto" w:sz="4" w:space="0"/>
                    <w:left w:val="single" w:color="auto" w:sz="4" w:space="0"/>
                    <w:bottom w:val="single" w:color="auto" w:sz="4" w:space="0"/>
                    <w:right w:val="single" w:color="auto" w:sz="4" w:space="0"/>
                  </w:tcBorders>
                  <w:vAlign w:val="center"/>
                </w:tcPr>
                <w:p w14:paraId="67DA5677">
                  <w:pPr>
                    <w:pStyle w:val="52"/>
                    <w:rPr>
                      <w:color w:val="auto"/>
                    </w:rPr>
                  </w:pPr>
                  <w:r>
                    <w:rPr>
                      <w:color w:val="auto"/>
                    </w:rPr>
                    <w:t>推土机</w:t>
                  </w:r>
                </w:p>
              </w:tc>
              <w:tc>
                <w:tcPr>
                  <w:tcW w:w="2546" w:type="dxa"/>
                  <w:tcBorders>
                    <w:top w:val="single" w:color="auto" w:sz="4" w:space="0"/>
                    <w:left w:val="single" w:color="auto" w:sz="4" w:space="0"/>
                    <w:bottom w:val="single" w:color="auto" w:sz="4" w:space="0"/>
                    <w:right w:val="single" w:color="auto" w:sz="4" w:space="0"/>
                  </w:tcBorders>
                  <w:vAlign w:val="center"/>
                </w:tcPr>
                <w:p w14:paraId="786F1E4D">
                  <w:pPr>
                    <w:pStyle w:val="52"/>
                    <w:rPr>
                      <w:color w:val="auto"/>
                    </w:rPr>
                  </w:pPr>
                  <w:r>
                    <w:rPr>
                      <w:color w:val="auto"/>
                    </w:rPr>
                    <w:t>86</w:t>
                  </w:r>
                </w:p>
              </w:tc>
              <w:tc>
                <w:tcPr>
                  <w:tcW w:w="2331" w:type="dxa"/>
                  <w:tcBorders>
                    <w:top w:val="single" w:color="auto" w:sz="4" w:space="0"/>
                    <w:left w:val="single" w:color="auto" w:sz="4" w:space="0"/>
                    <w:bottom w:val="single" w:color="auto" w:sz="4" w:space="0"/>
                    <w:right w:val="single" w:color="auto" w:sz="4" w:space="0"/>
                  </w:tcBorders>
                  <w:vAlign w:val="center"/>
                </w:tcPr>
                <w:p w14:paraId="1A915137">
                  <w:pPr>
                    <w:pStyle w:val="52"/>
                    <w:rPr>
                      <w:color w:val="auto"/>
                    </w:rPr>
                  </w:pPr>
                  <w:r>
                    <w:rPr>
                      <w:color w:val="auto"/>
                    </w:rPr>
                    <w:t>1</w:t>
                  </w:r>
                </w:p>
              </w:tc>
            </w:tr>
            <w:tr w14:paraId="0DE3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606B079">
                  <w:pPr>
                    <w:pStyle w:val="52"/>
                    <w:rPr>
                      <w:color w:val="auto"/>
                    </w:rPr>
                  </w:pPr>
                  <w:r>
                    <w:rPr>
                      <w:color w:val="auto"/>
                    </w:rPr>
                    <w:t>2</w:t>
                  </w:r>
                </w:p>
              </w:tc>
              <w:tc>
                <w:tcPr>
                  <w:tcW w:w="2727" w:type="dxa"/>
                  <w:tcBorders>
                    <w:top w:val="single" w:color="auto" w:sz="4" w:space="0"/>
                    <w:left w:val="single" w:color="auto" w:sz="4" w:space="0"/>
                    <w:bottom w:val="single" w:color="auto" w:sz="4" w:space="0"/>
                    <w:right w:val="single" w:color="auto" w:sz="4" w:space="0"/>
                  </w:tcBorders>
                  <w:vAlign w:val="center"/>
                </w:tcPr>
                <w:p w14:paraId="12174043">
                  <w:pPr>
                    <w:pStyle w:val="52"/>
                    <w:rPr>
                      <w:color w:val="auto"/>
                    </w:rPr>
                  </w:pPr>
                  <w:r>
                    <w:rPr>
                      <w:color w:val="auto"/>
                    </w:rPr>
                    <w:t>装载机</w:t>
                  </w:r>
                </w:p>
              </w:tc>
              <w:tc>
                <w:tcPr>
                  <w:tcW w:w="2546" w:type="dxa"/>
                  <w:tcBorders>
                    <w:top w:val="single" w:color="auto" w:sz="4" w:space="0"/>
                    <w:left w:val="single" w:color="auto" w:sz="4" w:space="0"/>
                    <w:bottom w:val="single" w:color="auto" w:sz="4" w:space="0"/>
                    <w:right w:val="single" w:color="auto" w:sz="4" w:space="0"/>
                  </w:tcBorders>
                  <w:vAlign w:val="center"/>
                </w:tcPr>
                <w:p w14:paraId="5F30DA48">
                  <w:pPr>
                    <w:pStyle w:val="52"/>
                    <w:rPr>
                      <w:color w:val="auto"/>
                    </w:rPr>
                  </w:pPr>
                  <w:r>
                    <w:rPr>
                      <w:color w:val="auto"/>
                    </w:rPr>
                    <w:t>92</w:t>
                  </w:r>
                </w:p>
              </w:tc>
              <w:tc>
                <w:tcPr>
                  <w:tcW w:w="2331" w:type="dxa"/>
                  <w:tcBorders>
                    <w:top w:val="single" w:color="auto" w:sz="4" w:space="0"/>
                    <w:left w:val="single" w:color="auto" w:sz="4" w:space="0"/>
                    <w:bottom w:val="single" w:color="auto" w:sz="4" w:space="0"/>
                    <w:right w:val="single" w:color="auto" w:sz="4" w:space="0"/>
                  </w:tcBorders>
                  <w:vAlign w:val="center"/>
                </w:tcPr>
                <w:p w14:paraId="0BDF7C80">
                  <w:pPr>
                    <w:pStyle w:val="52"/>
                    <w:rPr>
                      <w:color w:val="auto"/>
                    </w:rPr>
                  </w:pPr>
                  <w:r>
                    <w:rPr>
                      <w:color w:val="auto"/>
                    </w:rPr>
                    <w:t>1</w:t>
                  </w:r>
                </w:p>
              </w:tc>
            </w:tr>
            <w:tr w14:paraId="1904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0943E5C">
                  <w:pPr>
                    <w:pStyle w:val="52"/>
                    <w:rPr>
                      <w:color w:val="auto"/>
                    </w:rPr>
                  </w:pPr>
                  <w:r>
                    <w:rPr>
                      <w:color w:val="auto"/>
                    </w:rPr>
                    <w:t>3</w:t>
                  </w:r>
                </w:p>
              </w:tc>
              <w:tc>
                <w:tcPr>
                  <w:tcW w:w="2727" w:type="dxa"/>
                  <w:tcBorders>
                    <w:top w:val="single" w:color="auto" w:sz="4" w:space="0"/>
                    <w:left w:val="single" w:color="auto" w:sz="4" w:space="0"/>
                    <w:bottom w:val="single" w:color="auto" w:sz="4" w:space="0"/>
                    <w:right w:val="single" w:color="auto" w:sz="4" w:space="0"/>
                  </w:tcBorders>
                  <w:vAlign w:val="center"/>
                </w:tcPr>
                <w:p w14:paraId="64D352E1">
                  <w:pPr>
                    <w:pStyle w:val="52"/>
                    <w:rPr>
                      <w:color w:val="auto"/>
                    </w:rPr>
                  </w:pPr>
                  <w:r>
                    <w:rPr>
                      <w:color w:val="auto"/>
                    </w:rPr>
                    <w:t>挖掘机</w:t>
                  </w:r>
                </w:p>
              </w:tc>
              <w:tc>
                <w:tcPr>
                  <w:tcW w:w="2546" w:type="dxa"/>
                  <w:tcBorders>
                    <w:top w:val="single" w:color="auto" w:sz="4" w:space="0"/>
                    <w:left w:val="single" w:color="auto" w:sz="4" w:space="0"/>
                    <w:bottom w:val="single" w:color="auto" w:sz="4" w:space="0"/>
                    <w:right w:val="single" w:color="auto" w:sz="4" w:space="0"/>
                  </w:tcBorders>
                  <w:vAlign w:val="center"/>
                </w:tcPr>
                <w:p w14:paraId="6AE9894F">
                  <w:pPr>
                    <w:pStyle w:val="52"/>
                    <w:rPr>
                      <w:color w:val="auto"/>
                    </w:rPr>
                  </w:pPr>
                  <w:r>
                    <w:rPr>
                      <w:color w:val="auto"/>
                    </w:rPr>
                    <w:t>90</w:t>
                  </w:r>
                </w:p>
              </w:tc>
              <w:tc>
                <w:tcPr>
                  <w:tcW w:w="2331" w:type="dxa"/>
                  <w:tcBorders>
                    <w:top w:val="single" w:color="auto" w:sz="4" w:space="0"/>
                    <w:left w:val="single" w:color="auto" w:sz="4" w:space="0"/>
                    <w:bottom w:val="single" w:color="auto" w:sz="4" w:space="0"/>
                    <w:right w:val="single" w:color="auto" w:sz="4" w:space="0"/>
                  </w:tcBorders>
                  <w:vAlign w:val="center"/>
                </w:tcPr>
                <w:p w14:paraId="1EB74BC2">
                  <w:pPr>
                    <w:pStyle w:val="52"/>
                    <w:rPr>
                      <w:color w:val="auto"/>
                    </w:rPr>
                  </w:pPr>
                  <w:r>
                    <w:rPr>
                      <w:color w:val="auto"/>
                    </w:rPr>
                    <w:t>1</w:t>
                  </w:r>
                </w:p>
              </w:tc>
            </w:tr>
            <w:tr w14:paraId="26F3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8C67E52">
                  <w:pPr>
                    <w:pStyle w:val="52"/>
                    <w:rPr>
                      <w:color w:val="auto"/>
                    </w:rPr>
                  </w:pPr>
                  <w:r>
                    <w:rPr>
                      <w:color w:val="auto"/>
                    </w:rPr>
                    <w:t>4</w:t>
                  </w:r>
                </w:p>
              </w:tc>
              <w:tc>
                <w:tcPr>
                  <w:tcW w:w="2727" w:type="dxa"/>
                  <w:tcBorders>
                    <w:top w:val="single" w:color="auto" w:sz="4" w:space="0"/>
                    <w:left w:val="single" w:color="auto" w:sz="4" w:space="0"/>
                    <w:bottom w:val="single" w:color="auto" w:sz="4" w:space="0"/>
                    <w:right w:val="single" w:color="auto" w:sz="4" w:space="0"/>
                  </w:tcBorders>
                  <w:vAlign w:val="center"/>
                </w:tcPr>
                <w:p w14:paraId="6940D9C1">
                  <w:pPr>
                    <w:pStyle w:val="52"/>
                    <w:rPr>
                      <w:color w:val="auto"/>
                    </w:rPr>
                  </w:pPr>
                  <w:r>
                    <w:rPr>
                      <w:color w:val="auto"/>
                    </w:rPr>
                    <w:t>电焊机</w:t>
                  </w:r>
                </w:p>
              </w:tc>
              <w:tc>
                <w:tcPr>
                  <w:tcW w:w="2546" w:type="dxa"/>
                  <w:tcBorders>
                    <w:top w:val="single" w:color="auto" w:sz="4" w:space="0"/>
                    <w:left w:val="single" w:color="auto" w:sz="4" w:space="0"/>
                    <w:bottom w:val="single" w:color="auto" w:sz="4" w:space="0"/>
                    <w:right w:val="single" w:color="auto" w:sz="4" w:space="0"/>
                  </w:tcBorders>
                  <w:vAlign w:val="center"/>
                </w:tcPr>
                <w:p w14:paraId="46583F29">
                  <w:pPr>
                    <w:pStyle w:val="52"/>
                    <w:rPr>
                      <w:color w:val="auto"/>
                    </w:rPr>
                  </w:pPr>
                  <w:r>
                    <w:rPr>
                      <w:color w:val="auto"/>
                    </w:rPr>
                    <w:t>85</w:t>
                  </w:r>
                </w:p>
              </w:tc>
              <w:tc>
                <w:tcPr>
                  <w:tcW w:w="2331" w:type="dxa"/>
                  <w:tcBorders>
                    <w:top w:val="single" w:color="auto" w:sz="4" w:space="0"/>
                    <w:left w:val="single" w:color="auto" w:sz="4" w:space="0"/>
                    <w:bottom w:val="single" w:color="auto" w:sz="4" w:space="0"/>
                    <w:right w:val="single" w:color="auto" w:sz="4" w:space="0"/>
                  </w:tcBorders>
                  <w:vAlign w:val="center"/>
                </w:tcPr>
                <w:p w14:paraId="4DB64A7F">
                  <w:pPr>
                    <w:pStyle w:val="52"/>
                    <w:rPr>
                      <w:color w:val="auto"/>
                    </w:rPr>
                  </w:pPr>
                  <w:r>
                    <w:rPr>
                      <w:color w:val="auto"/>
                    </w:rPr>
                    <w:t>1</w:t>
                  </w:r>
                </w:p>
              </w:tc>
            </w:tr>
            <w:tr w14:paraId="50CD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785560A">
                  <w:pPr>
                    <w:pStyle w:val="52"/>
                    <w:rPr>
                      <w:color w:val="auto"/>
                    </w:rPr>
                  </w:pPr>
                  <w:r>
                    <w:rPr>
                      <w:color w:val="auto"/>
                    </w:rPr>
                    <w:t>5</w:t>
                  </w:r>
                </w:p>
              </w:tc>
              <w:tc>
                <w:tcPr>
                  <w:tcW w:w="2727" w:type="dxa"/>
                  <w:tcBorders>
                    <w:top w:val="single" w:color="auto" w:sz="4" w:space="0"/>
                    <w:left w:val="single" w:color="auto" w:sz="4" w:space="0"/>
                    <w:bottom w:val="single" w:color="auto" w:sz="4" w:space="0"/>
                    <w:right w:val="single" w:color="auto" w:sz="4" w:space="0"/>
                  </w:tcBorders>
                  <w:vAlign w:val="center"/>
                </w:tcPr>
                <w:p w14:paraId="0F698297">
                  <w:pPr>
                    <w:pStyle w:val="52"/>
                    <w:rPr>
                      <w:color w:val="auto"/>
                    </w:rPr>
                  </w:pPr>
                  <w:r>
                    <w:rPr>
                      <w:color w:val="auto"/>
                    </w:rPr>
                    <w:t>卡车</w:t>
                  </w:r>
                </w:p>
              </w:tc>
              <w:tc>
                <w:tcPr>
                  <w:tcW w:w="2546" w:type="dxa"/>
                  <w:tcBorders>
                    <w:top w:val="single" w:color="auto" w:sz="4" w:space="0"/>
                    <w:left w:val="single" w:color="auto" w:sz="4" w:space="0"/>
                    <w:bottom w:val="single" w:color="auto" w:sz="4" w:space="0"/>
                    <w:right w:val="single" w:color="auto" w:sz="4" w:space="0"/>
                  </w:tcBorders>
                  <w:vAlign w:val="center"/>
                </w:tcPr>
                <w:p w14:paraId="155415BC">
                  <w:pPr>
                    <w:pStyle w:val="52"/>
                    <w:rPr>
                      <w:color w:val="auto"/>
                    </w:rPr>
                  </w:pPr>
                  <w:r>
                    <w:rPr>
                      <w:color w:val="auto"/>
                    </w:rPr>
                    <w:t>90</w:t>
                  </w:r>
                </w:p>
              </w:tc>
              <w:tc>
                <w:tcPr>
                  <w:tcW w:w="2331" w:type="dxa"/>
                  <w:tcBorders>
                    <w:top w:val="single" w:color="auto" w:sz="4" w:space="0"/>
                    <w:left w:val="single" w:color="auto" w:sz="4" w:space="0"/>
                    <w:bottom w:val="single" w:color="auto" w:sz="4" w:space="0"/>
                    <w:right w:val="single" w:color="auto" w:sz="4" w:space="0"/>
                  </w:tcBorders>
                  <w:vAlign w:val="center"/>
                </w:tcPr>
                <w:p w14:paraId="28990752">
                  <w:pPr>
                    <w:pStyle w:val="52"/>
                    <w:rPr>
                      <w:color w:val="auto"/>
                    </w:rPr>
                  </w:pPr>
                  <w:r>
                    <w:rPr>
                      <w:color w:val="auto"/>
                    </w:rPr>
                    <w:t>1</w:t>
                  </w:r>
                </w:p>
              </w:tc>
            </w:tr>
            <w:tr w14:paraId="75C9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9F17895">
                  <w:pPr>
                    <w:pStyle w:val="52"/>
                    <w:rPr>
                      <w:color w:val="auto"/>
                    </w:rPr>
                  </w:pPr>
                  <w:r>
                    <w:rPr>
                      <w:color w:val="auto"/>
                    </w:rPr>
                    <w:t>6</w:t>
                  </w:r>
                </w:p>
              </w:tc>
              <w:tc>
                <w:tcPr>
                  <w:tcW w:w="2727" w:type="dxa"/>
                  <w:tcBorders>
                    <w:top w:val="single" w:color="auto" w:sz="4" w:space="0"/>
                    <w:left w:val="single" w:color="auto" w:sz="4" w:space="0"/>
                    <w:bottom w:val="single" w:color="auto" w:sz="4" w:space="0"/>
                    <w:right w:val="single" w:color="auto" w:sz="4" w:space="0"/>
                  </w:tcBorders>
                  <w:vAlign w:val="center"/>
                </w:tcPr>
                <w:p w14:paraId="78DAD403">
                  <w:pPr>
                    <w:pStyle w:val="52"/>
                    <w:rPr>
                      <w:color w:val="auto"/>
                    </w:rPr>
                  </w:pPr>
                  <w:r>
                    <w:rPr>
                      <w:color w:val="auto"/>
                    </w:rPr>
                    <w:t>搅拌机</w:t>
                  </w:r>
                </w:p>
              </w:tc>
              <w:tc>
                <w:tcPr>
                  <w:tcW w:w="2546" w:type="dxa"/>
                  <w:tcBorders>
                    <w:top w:val="single" w:color="auto" w:sz="4" w:space="0"/>
                    <w:left w:val="single" w:color="auto" w:sz="4" w:space="0"/>
                    <w:bottom w:val="single" w:color="auto" w:sz="4" w:space="0"/>
                    <w:right w:val="single" w:color="auto" w:sz="4" w:space="0"/>
                  </w:tcBorders>
                  <w:vAlign w:val="center"/>
                </w:tcPr>
                <w:p w14:paraId="0AB6C420">
                  <w:pPr>
                    <w:pStyle w:val="52"/>
                    <w:rPr>
                      <w:color w:val="auto"/>
                    </w:rPr>
                  </w:pPr>
                  <w:r>
                    <w:rPr>
                      <w:color w:val="auto"/>
                    </w:rPr>
                    <w:t>90</w:t>
                  </w:r>
                </w:p>
              </w:tc>
              <w:tc>
                <w:tcPr>
                  <w:tcW w:w="2331" w:type="dxa"/>
                  <w:tcBorders>
                    <w:top w:val="single" w:color="auto" w:sz="4" w:space="0"/>
                    <w:left w:val="single" w:color="auto" w:sz="4" w:space="0"/>
                    <w:bottom w:val="single" w:color="auto" w:sz="4" w:space="0"/>
                    <w:right w:val="single" w:color="auto" w:sz="4" w:space="0"/>
                  </w:tcBorders>
                  <w:vAlign w:val="center"/>
                </w:tcPr>
                <w:p w14:paraId="1A857B73">
                  <w:pPr>
                    <w:pStyle w:val="52"/>
                    <w:rPr>
                      <w:color w:val="auto"/>
                    </w:rPr>
                  </w:pPr>
                  <w:r>
                    <w:rPr>
                      <w:color w:val="auto"/>
                    </w:rPr>
                    <w:t>1</w:t>
                  </w:r>
                </w:p>
              </w:tc>
            </w:tr>
            <w:tr w14:paraId="291D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5FF7EEA">
                  <w:pPr>
                    <w:pStyle w:val="52"/>
                    <w:rPr>
                      <w:color w:val="auto"/>
                    </w:rPr>
                  </w:pPr>
                  <w:r>
                    <w:rPr>
                      <w:color w:val="auto"/>
                    </w:rPr>
                    <w:t>7</w:t>
                  </w:r>
                </w:p>
              </w:tc>
              <w:tc>
                <w:tcPr>
                  <w:tcW w:w="2727" w:type="dxa"/>
                  <w:tcBorders>
                    <w:top w:val="single" w:color="auto" w:sz="4" w:space="0"/>
                    <w:left w:val="single" w:color="auto" w:sz="4" w:space="0"/>
                    <w:bottom w:val="single" w:color="auto" w:sz="4" w:space="0"/>
                    <w:right w:val="single" w:color="auto" w:sz="4" w:space="0"/>
                  </w:tcBorders>
                  <w:vAlign w:val="center"/>
                </w:tcPr>
                <w:p w14:paraId="3789E89B">
                  <w:pPr>
                    <w:pStyle w:val="52"/>
                    <w:rPr>
                      <w:color w:val="auto"/>
                    </w:rPr>
                  </w:pPr>
                  <w:r>
                    <w:rPr>
                      <w:color w:val="auto"/>
                    </w:rPr>
                    <w:t>手风钻</w:t>
                  </w:r>
                </w:p>
              </w:tc>
              <w:tc>
                <w:tcPr>
                  <w:tcW w:w="2546" w:type="dxa"/>
                  <w:tcBorders>
                    <w:top w:val="single" w:color="auto" w:sz="4" w:space="0"/>
                    <w:left w:val="single" w:color="auto" w:sz="4" w:space="0"/>
                    <w:bottom w:val="single" w:color="auto" w:sz="4" w:space="0"/>
                    <w:right w:val="single" w:color="auto" w:sz="4" w:space="0"/>
                  </w:tcBorders>
                  <w:vAlign w:val="center"/>
                </w:tcPr>
                <w:p w14:paraId="19005DCE">
                  <w:pPr>
                    <w:pStyle w:val="52"/>
                    <w:rPr>
                      <w:color w:val="auto"/>
                    </w:rPr>
                  </w:pPr>
                  <w:r>
                    <w:rPr>
                      <w:color w:val="auto"/>
                    </w:rPr>
                    <w:t>95</w:t>
                  </w:r>
                </w:p>
              </w:tc>
              <w:tc>
                <w:tcPr>
                  <w:tcW w:w="2331" w:type="dxa"/>
                  <w:tcBorders>
                    <w:top w:val="single" w:color="auto" w:sz="4" w:space="0"/>
                    <w:left w:val="single" w:color="auto" w:sz="4" w:space="0"/>
                    <w:bottom w:val="single" w:color="auto" w:sz="4" w:space="0"/>
                    <w:right w:val="single" w:color="auto" w:sz="4" w:space="0"/>
                  </w:tcBorders>
                  <w:vAlign w:val="center"/>
                </w:tcPr>
                <w:p w14:paraId="4486A88F">
                  <w:pPr>
                    <w:pStyle w:val="52"/>
                    <w:rPr>
                      <w:color w:val="auto"/>
                    </w:rPr>
                  </w:pPr>
                  <w:r>
                    <w:rPr>
                      <w:color w:val="auto"/>
                    </w:rPr>
                    <w:t>1</w:t>
                  </w:r>
                </w:p>
              </w:tc>
            </w:tr>
          </w:tbl>
          <w:p w14:paraId="67102190">
            <w:pPr>
              <w:ind w:firstLine="480"/>
              <w:rPr>
                <w:rFonts w:cs="Times New Roman"/>
              </w:rPr>
            </w:pPr>
            <w:r>
              <w:rPr>
                <w:rFonts w:cs="Times New Roman"/>
              </w:rPr>
              <w:t>（2）交通运输噪声</w:t>
            </w:r>
          </w:p>
          <w:p w14:paraId="62532E1B">
            <w:pPr>
              <w:ind w:firstLine="480"/>
              <w:rPr>
                <w:rFonts w:cs="Times New Roman"/>
              </w:rPr>
            </w:pPr>
            <w:r>
              <w:rPr>
                <w:rFonts w:cs="Times New Roman"/>
              </w:rPr>
              <w:t>本项目进场道路依托原有项目已建道路，主要承担主要材料的运进，所以道路使用过程中会产生一定的运输噪声，类比同类工程，施工运输噪声影响一般在施工道路两侧150m范围内。进场道路两侧距离户育村最近距离为10m，交通噪声对其造成一定的影响，由于本工程交通运输并不频繁，交通噪声可看作移动式点声源。</w:t>
            </w:r>
          </w:p>
          <w:p w14:paraId="62C24C05">
            <w:pPr>
              <w:ind w:firstLine="482"/>
              <w:rPr>
                <w:rFonts w:cs="Times New Roman"/>
                <w:b/>
              </w:rPr>
            </w:pPr>
            <w:r>
              <w:rPr>
                <w:rFonts w:cs="Times New Roman"/>
                <w:b/>
              </w:rPr>
              <w:t>4、固体废弃物</w:t>
            </w:r>
          </w:p>
          <w:p w14:paraId="0845DA99">
            <w:pPr>
              <w:ind w:firstLine="480"/>
              <w:rPr>
                <w:rFonts w:cs="Times New Roman"/>
              </w:rPr>
            </w:pPr>
            <w:r>
              <w:rPr>
                <w:rFonts w:cs="Times New Roman"/>
              </w:rPr>
              <w:t>施工期固体废弃物主要包括土石方、建筑垃圾、生活垃圾等。</w:t>
            </w:r>
          </w:p>
          <w:p w14:paraId="2CD907FF">
            <w:pPr>
              <w:pStyle w:val="90"/>
              <w:numPr>
                <w:ilvl w:val="0"/>
                <w:numId w:val="3"/>
              </w:numPr>
              <w:ind w:firstLineChars="0"/>
              <w:rPr>
                <w:rFonts w:cs="Times New Roman"/>
              </w:rPr>
            </w:pPr>
            <w:r>
              <w:rPr>
                <w:rFonts w:cs="Times New Roman"/>
              </w:rPr>
              <w:t>土石方</w:t>
            </w:r>
          </w:p>
          <w:p w14:paraId="0C3A2139">
            <w:pPr>
              <w:ind w:firstLine="480"/>
              <w:rPr>
                <w:rFonts w:cs="Times New Roman"/>
              </w:rPr>
            </w:pPr>
            <w:r>
              <w:rPr>
                <w:rFonts w:cs="Times New Roman"/>
              </w:rPr>
              <w:t>根据项目资料，项目剩余工程土石方开挖总量为23700m</w:t>
            </w:r>
            <w:r>
              <w:rPr>
                <w:rFonts w:cs="Times New Roman"/>
                <w:vertAlign w:val="superscript"/>
              </w:rPr>
              <w:t>3</w:t>
            </w:r>
            <w:r>
              <w:rPr>
                <w:rFonts w:cs="Times New Roman"/>
              </w:rPr>
              <w:t>（含表土剥离1800m</w:t>
            </w:r>
            <w:r>
              <w:rPr>
                <w:rFonts w:cs="Times New Roman"/>
                <w:vertAlign w:val="superscript"/>
              </w:rPr>
              <w:t>3</w:t>
            </w:r>
            <w:r>
              <w:rPr>
                <w:rFonts w:cs="Times New Roman"/>
              </w:rPr>
              <w:t>），土石方回填利用14190m</w:t>
            </w:r>
            <w:r>
              <w:rPr>
                <w:rFonts w:cs="Times New Roman"/>
                <w:vertAlign w:val="superscript"/>
              </w:rPr>
              <w:t>3</w:t>
            </w:r>
            <w:r>
              <w:rPr>
                <w:rFonts w:cs="Times New Roman"/>
              </w:rPr>
              <w:t>（产生弃渣全部回填采空区），其中绿化覆土1800m</w:t>
            </w:r>
            <w:r>
              <w:rPr>
                <w:rFonts w:cs="Times New Roman"/>
                <w:vertAlign w:val="superscript"/>
              </w:rPr>
              <w:t>3</w:t>
            </w:r>
            <w:r>
              <w:rPr>
                <w:rFonts w:cs="Times New Roman"/>
              </w:rPr>
              <w:t>，综合利用14190m</w:t>
            </w:r>
            <w:r>
              <w:rPr>
                <w:rFonts w:cs="Times New Roman"/>
                <w:vertAlign w:val="superscript"/>
              </w:rPr>
              <w:t>3</w:t>
            </w:r>
            <w:r>
              <w:rPr>
                <w:rFonts w:cs="Times New Roman"/>
              </w:rPr>
              <w:t>，本项目生产区开挖的12880 m</w:t>
            </w:r>
            <w:r>
              <w:rPr>
                <w:rFonts w:cs="Times New Roman"/>
                <w:vertAlign w:val="superscript"/>
              </w:rPr>
              <w:t>3</w:t>
            </w:r>
            <w:r>
              <w:rPr>
                <w:rFonts w:cs="Times New Roman"/>
              </w:rPr>
              <w:t>的土方进入弃渣场处置。</w:t>
            </w:r>
          </w:p>
          <w:p w14:paraId="101F44B7">
            <w:pPr>
              <w:ind w:firstLine="480"/>
              <w:rPr>
                <w:rFonts w:cs="Times New Roman"/>
              </w:rPr>
            </w:pPr>
            <w:r>
              <w:rPr>
                <w:rFonts w:cs="Times New Roman"/>
              </w:rPr>
              <w:t>项目土石方平衡表详见表5-2。</w:t>
            </w:r>
          </w:p>
          <w:p w14:paraId="26BD0677">
            <w:pPr>
              <w:pStyle w:val="31"/>
              <w:rPr>
                <w:rFonts w:cs="Times New Roman"/>
              </w:rPr>
            </w:pPr>
            <w:r>
              <w:rPr>
                <w:rFonts w:cs="Times New Roman"/>
              </w:rPr>
              <w:t>表5-2   土石方平衡表及弃渣流向表（单位：m</w:t>
            </w:r>
            <w:r>
              <w:rPr>
                <w:rFonts w:cs="Times New Roman"/>
                <w:vertAlign w:val="superscript"/>
              </w:rPr>
              <w:t>3</w:t>
            </w:r>
            <w:r>
              <w:rPr>
                <w:rFonts w:cs="Times New Roman"/>
              </w:rPr>
              <w:t>）</w:t>
            </w:r>
          </w:p>
          <w:tbl>
            <w:tblPr>
              <w:tblStyle w:val="2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69"/>
              <w:gridCol w:w="969"/>
              <w:gridCol w:w="969"/>
              <w:gridCol w:w="969"/>
              <w:gridCol w:w="969"/>
              <w:gridCol w:w="969"/>
              <w:gridCol w:w="969"/>
              <w:gridCol w:w="970"/>
              <w:gridCol w:w="970"/>
            </w:tblGrid>
            <w:tr w14:paraId="4B8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restart"/>
                  <w:vAlign w:val="center"/>
                </w:tcPr>
                <w:p w14:paraId="5138DE89">
                  <w:pPr>
                    <w:pStyle w:val="52"/>
                    <w:rPr>
                      <w:color w:val="auto"/>
                    </w:rPr>
                  </w:pPr>
                  <w:r>
                    <w:rPr>
                      <w:color w:val="auto"/>
                    </w:rPr>
                    <w:t>分区</w:t>
                  </w:r>
                </w:p>
              </w:tc>
              <w:tc>
                <w:tcPr>
                  <w:tcW w:w="2907" w:type="dxa"/>
                  <w:gridSpan w:val="3"/>
                  <w:vAlign w:val="center"/>
                </w:tcPr>
                <w:p w14:paraId="0DB99E3D">
                  <w:pPr>
                    <w:pStyle w:val="52"/>
                    <w:rPr>
                      <w:color w:val="auto"/>
                    </w:rPr>
                  </w:pPr>
                  <w:r>
                    <w:rPr>
                      <w:color w:val="auto"/>
                    </w:rPr>
                    <w:t>开挖量</w:t>
                  </w:r>
                </w:p>
              </w:tc>
              <w:tc>
                <w:tcPr>
                  <w:tcW w:w="2907" w:type="dxa"/>
                  <w:gridSpan w:val="3"/>
                  <w:vAlign w:val="center"/>
                </w:tcPr>
                <w:p w14:paraId="464DA82E">
                  <w:pPr>
                    <w:pStyle w:val="52"/>
                    <w:rPr>
                      <w:color w:val="auto"/>
                    </w:rPr>
                  </w:pPr>
                  <w:r>
                    <w:rPr>
                      <w:color w:val="auto"/>
                    </w:rPr>
                    <w:t>回填量</w:t>
                  </w:r>
                </w:p>
              </w:tc>
              <w:tc>
                <w:tcPr>
                  <w:tcW w:w="969" w:type="dxa"/>
                  <w:vMerge w:val="restart"/>
                  <w:vAlign w:val="center"/>
                </w:tcPr>
                <w:p w14:paraId="7B47D61C">
                  <w:pPr>
                    <w:pStyle w:val="52"/>
                    <w:rPr>
                      <w:color w:val="auto"/>
                    </w:rPr>
                  </w:pPr>
                  <w:r>
                    <w:rPr>
                      <w:color w:val="auto"/>
                    </w:rPr>
                    <w:t>综合利用量</w:t>
                  </w:r>
                </w:p>
              </w:tc>
              <w:tc>
                <w:tcPr>
                  <w:tcW w:w="1940" w:type="dxa"/>
                  <w:gridSpan w:val="2"/>
                  <w:vAlign w:val="center"/>
                </w:tcPr>
                <w:p w14:paraId="217F8CE2">
                  <w:pPr>
                    <w:pStyle w:val="52"/>
                    <w:rPr>
                      <w:color w:val="auto"/>
                    </w:rPr>
                  </w:pPr>
                  <w:r>
                    <w:rPr>
                      <w:color w:val="auto"/>
                    </w:rPr>
                    <w:t>弃方</w:t>
                  </w:r>
                </w:p>
              </w:tc>
            </w:tr>
            <w:tr w14:paraId="0885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37AC7CC0">
                  <w:pPr>
                    <w:pStyle w:val="52"/>
                    <w:rPr>
                      <w:color w:val="auto"/>
                    </w:rPr>
                  </w:pPr>
                </w:p>
              </w:tc>
              <w:tc>
                <w:tcPr>
                  <w:tcW w:w="969" w:type="dxa"/>
                  <w:vAlign w:val="center"/>
                </w:tcPr>
                <w:p w14:paraId="1277EE27">
                  <w:pPr>
                    <w:pStyle w:val="52"/>
                    <w:rPr>
                      <w:color w:val="auto"/>
                    </w:rPr>
                  </w:pPr>
                  <w:r>
                    <w:rPr>
                      <w:color w:val="auto"/>
                    </w:rPr>
                    <w:t>合计</w:t>
                  </w:r>
                </w:p>
              </w:tc>
              <w:tc>
                <w:tcPr>
                  <w:tcW w:w="969" w:type="dxa"/>
                  <w:vAlign w:val="center"/>
                </w:tcPr>
                <w:p w14:paraId="00152CB9">
                  <w:pPr>
                    <w:pStyle w:val="52"/>
                    <w:rPr>
                      <w:color w:val="auto"/>
                    </w:rPr>
                  </w:pPr>
                  <w:r>
                    <w:rPr>
                      <w:color w:val="auto"/>
                    </w:rPr>
                    <w:t>开挖</w:t>
                  </w:r>
                </w:p>
              </w:tc>
              <w:tc>
                <w:tcPr>
                  <w:tcW w:w="969" w:type="dxa"/>
                  <w:vAlign w:val="center"/>
                </w:tcPr>
                <w:p w14:paraId="78EF9A8C">
                  <w:pPr>
                    <w:pStyle w:val="52"/>
                    <w:rPr>
                      <w:color w:val="auto"/>
                    </w:rPr>
                  </w:pPr>
                  <w:r>
                    <w:rPr>
                      <w:color w:val="auto"/>
                    </w:rPr>
                    <w:t>剥离</w:t>
                  </w:r>
                </w:p>
                <w:p w14:paraId="48B4C805">
                  <w:pPr>
                    <w:pStyle w:val="52"/>
                    <w:rPr>
                      <w:color w:val="auto"/>
                    </w:rPr>
                  </w:pPr>
                  <w:r>
                    <w:rPr>
                      <w:color w:val="auto"/>
                    </w:rPr>
                    <w:t>表土</w:t>
                  </w:r>
                </w:p>
              </w:tc>
              <w:tc>
                <w:tcPr>
                  <w:tcW w:w="969" w:type="dxa"/>
                  <w:vAlign w:val="center"/>
                </w:tcPr>
                <w:p w14:paraId="7894B051">
                  <w:pPr>
                    <w:pStyle w:val="52"/>
                    <w:rPr>
                      <w:color w:val="auto"/>
                    </w:rPr>
                  </w:pPr>
                  <w:r>
                    <w:rPr>
                      <w:color w:val="auto"/>
                    </w:rPr>
                    <w:t>合计</w:t>
                  </w:r>
                </w:p>
              </w:tc>
              <w:tc>
                <w:tcPr>
                  <w:tcW w:w="969" w:type="dxa"/>
                  <w:vAlign w:val="center"/>
                </w:tcPr>
                <w:p w14:paraId="7AC38A66">
                  <w:pPr>
                    <w:pStyle w:val="52"/>
                    <w:rPr>
                      <w:color w:val="auto"/>
                    </w:rPr>
                  </w:pPr>
                  <w:r>
                    <w:rPr>
                      <w:color w:val="auto"/>
                    </w:rPr>
                    <w:t>回填</w:t>
                  </w:r>
                </w:p>
              </w:tc>
              <w:tc>
                <w:tcPr>
                  <w:tcW w:w="969" w:type="dxa"/>
                  <w:vAlign w:val="center"/>
                </w:tcPr>
                <w:p w14:paraId="3AE7FF1E">
                  <w:pPr>
                    <w:pStyle w:val="52"/>
                    <w:rPr>
                      <w:color w:val="auto"/>
                    </w:rPr>
                  </w:pPr>
                  <w:r>
                    <w:rPr>
                      <w:color w:val="auto"/>
                    </w:rPr>
                    <w:t>绿化</w:t>
                  </w:r>
                </w:p>
                <w:p w14:paraId="208559E8">
                  <w:pPr>
                    <w:pStyle w:val="52"/>
                    <w:rPr>
                      <w:color w:val="auto"/>
                    </w:rPr>
                  </w:pPr>
                  <w:r>
                    <w:rPr>
                      <w:color w:val="auto"/>
                    </w:rPr>
                    <w:t>覆土</w:t>
                  </w:r>
                </w:p>
              </w:tc>
              <w:tc>
                <w:tcPr>
                  <w:tcW w:w="969" w:type="dxa"/>
                  <w:vMerge w:val="continue"/>
                  <w:vAlign w:val="center"/>
                </w:tcPr>
                <w:p w14:paraId="2387AAAD">
                  <w:pPr>
                    <w:pStyle w:val="52"/>
                    <w:rPr>
                      <w:color w:val="auto"/>
                    </w:rPr>
                  </w:pPr>
                </w:p>
              </w:tc>
              <w:tc>
                <w:tcPr>
                  <w:tcW w:w="970" w:type="dxa"/>
                  <w:vAlign w:val="center"/>
                </w:tcPr>
                <w:p w14:paraId="05891856">
                  <w:pPr>
                    <w:pStyle w:val="52"/>
                    <w:rPr>
                      <w:color w:val="auto"/>
                    </w:rPr>
                  </w:pPr>
                  <w:r>
                    <w:rPr>
                      <w:color w:val="auto"/>
                    </w:rPr>
                    <w:t>数量</w:t>
                  </w:r>
                </w:p>
              </w:tc>
              <w:tc>
                <w:tcPr>
                  <w:tcW w:w="970" w:type="dxa"/>
                  <w:vAlign w:val="center"/>
                </w:tcPr>
                <w:p w14:paraId="330D20E2">
                  <w:pPr>
                    <w:pStyle w:val="52"/>
                    <w:rPr>
                      <w:color w:val="auto"/>
                    </w:rPr>
                  </w:pPr>
                  <w:r>
                    <w:rPr>
                      <w:color w:val="auto"/>
                    </w:rPr>
                    <w:t>去向</w:t>
                  </w:r>
                </w:p>
              </w:tc>
            </w:tr>
            <w:tr w14:paraId="1625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1A1951BA">
                  <w:pPr>
                    <w:pStyle w:val="52"/>
                    <w:rPr>
                      <w:color w:val="auto"/>
                    </w:rPr>
                  </w:pPr>
                  <w:r>
                    <w:rPr>
                      <w:color w:val="auto"/>
                    </w:rPr>
                    <w:t>开采区</w:t>
                  </w:r>
                </w:p>
              </w:tc>
              <w:tc>
                <w:tcPr>
                  <w:tcW w:w="969" w:type="dxa"/>
                  <w:vAlign w:val="center"/>
                </w:tcPr>
                <w:p w14:paraId="22D8B7A1">
                  <w:pPr>
                    <w:pStyle w:val="52"/>
                    <w:rPr>
                      <w:color w:val="auto"/>
                    </w:rPr>
                  </w:pPr>
                  <w:r>
                    <w:rPr>
                      <w:color w:val="auto"/>
                    </w:rPr>
                    <w:t>23700</w:t>
                  </w:r>
                </w:p>
              </w:tc>
              <w:tc>
                <w:tcPr>
                  <w:tcW w:w="969" w:type="dxa"/>
                  <w:vAlign w:val="center"/>
                </w:tcPr>
                <w:p w14:paraId="767F6CF5">
                  <w:pPr>
                    <w:pStyle w:val="52"/>
                    <w:rPr>
                      <w:color w:val="auto"/>
                    </w:rPr>
                  </w:pPr>
                  <w:r>
                    <w:rPr>
                      <w:color w:val="auto"/>
                    </w:rPr>
                    <w:t>21900</w:t>
                  </w:r>
                </w:p>
              </w:tc>
              <w:tc>
                <w:tcPr>
                  <w:tcW w:w="969" w:type="dxa"/>
                  <w:vAlign w:val="center"/>
                </w:tcPr>
                <w:p w14:paraId="26924AB3">
                  <w:pPr>
                    <w:pStyle w:val="52"/>
                    <w:rPr>
                      <w:color w:val="auto"/>
                    </w:rPr>
                  </w:pPr>
                  <w:r>
                    <w:rPr>
                      <w:color w:val="auto"/>
                    </w:rPr>
                    <w:t>1800</w:t>
                  </w:r>
                </w:p>
              </w:tc>
              <w:tc>
                <w:tcPr>
                  <w:tcW w:w="969" w:type="dxa"/>
                  <w:vAlign w:val="center"/>
                </w:tcPr>
                <w:p w14:paraId="174736D3">
                  <w:pPr>
                    <w:pStyle w:val="52"/>
                    <w:rPr>
                      <w:color w:val="auto"/>
                    </w:rPr>
                  </w:pPr>
                </w:p>
              </w:tc>
              <w:tc>
                <w:tcPr>
                  <w:tcW w:w="969" w:type="dxa"/>
                  <w:vAlign w:val="center"/>
                </w:tcPr>
                <w:p w14:paraId="1CC750A9">
                  <w:pPr>
                    <w:pStyle w:val="52"/>
                    <w:rPr>
                      <w:color w:val="auto"/>
                    </w:rPr>
                  </w:pPr>
                </w:p>
              </w:tc>
              <w:tc>
                <w:tcPr>
                  <w:tcW w:w="969" w:type="dxa"/>
                  <w:vAlign w:val="center"/>
                </w:tcPr>
                <w:p w14:paraId="096B9995">
                  <w:pPr>
                    <w:pStyle w:val="52"/>
                    <w:rPr>
                      <w:color w:val="auto"/>
                    </w:rPr>
                  </w:pPr>
                </w:p>
              </w:tc>
              <w:tc>
                <w:tcPr>
                  <w:tcW w:w="969" w:type="dxa"/>
                  <w:vAlign w:val="center"/>
                </w:tcPr>
                <w:p w14:paraId="10937E4D">
                  <w:pPr>
                    <w:pStyle w:val="52"/>
                    <w:rPr>
                      <w:color w:val="auto"/>
                    </w:rPr>
                  </w:pPr>
                  <w:r>
                    <w:rPr>
                      <w:color w:val="auto"/>
                    </w:rPr>
                    <w:t>14190</w:t>
                  </w:r>
                </w:p>
              </w:tc>
              <w:tc>
                <w:tcPr>
                  <w:tcW w:w="970" w:type="dxa"/>
                  <w:vAlign w:val="center"/>
                </w:tcPr>
                <w:p w14:paraId="78E24409">
                  <w:pPr>
                    <w:pStyle w:val="52"/>
                    <w:rPr>
                      <w:color w:val="auto"/>
                    </w:rPr>
                  </w:pPr>
                  <w:r>
                    <w:rPr>
                      <w:color w:val="auto"/>
                    </w:rPr>
                    <w:t>9510</w:t>
                  </w:r>
                </w:p>
              </w:tc>
              <w:tc>
                <w:tcPr>
                  <w:tcW w:w="970" w:type="dxa"/>
                  <w:vAlign w:val="center"/>
                </w:tcPr>
                <w:p w14:paraId="29216C58">
                  <w:pPr>
                    <w:pStyle w:val="52"/>
                    <w:rPr>
                      <w:color w:val="auto"/>
                    </w:rPr>
                  </w:pPr>
                  <w:r>
                    <w:rPr>
                      <w:color w:val="auto"/>
                    </w:rPr>
                    <w:t>回填采空区</w:t>
                  </w:r>
                </w:p>
              </w:tc>
            </w:tr>
            <w:tr w14:paraId="4EDD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22FB6916">
                  <w:pPr>
                    <w:pStyle w:val="52"/>
                    <w:rPr>
                      <w:color w:val="auto"/>
                    </w:rPr>
                  </w:pPr>
                  <w:r>
                    <w:rPr>
                      <w:color w:val="auto"/>
                    </w:rPr>
                    <w:t>采空区</w:t>
                  </w:r>
                </w:p>
              </w:tc>
              <w:tc>
                <w:tcPr>
                  <w:tcW w:w="969" w:type="dxa"/>
                  <w:vAlign w:val="center"/>
                </w:tcPr>
                <w:p w14:paraId="351FB593">
                  <w:pPr>
                    <w:pStyle w:val="52"/>
                    <w:rPr>
                      <w:color w:val="auto"/>
                    </w:rPr>
                  </w:pPr>
                </w:p>
              </w:tc>
              <w:tc>
                <w:tcPr>
                  <w:tcW w:w="969" w:type="dxa"/>
                  <w:vAlign w:val="center"/>
                </w:tcPr>
                <w:p w14:paraId="34517018">
                  <w:pPr>
                    <w:pStyle w:val="52"/>
                    <w:rPr>
                      <w:color w:val="auto"/>
                    </w:rPr>
                  </w:pPr>
                </w:p>
              </w:tc>
              <w:tc>
                <w:tcPr>
                  <w:tcW w:w="969" w:type="dxa"/>
                  <w:vAlign w:val="center"/>
                </w:tcPr>
                <w:p w14:paraId="7FC0BFBB">
                  <w:pPr>
                    <w:pStyle w:val="52"/>
                    <w:rPr>
                      <w:color w:val="auto"/>
                    </w:rPr>
                  </w:pPr>
                </w:p>
              </w:tc>
              <w:tc>
                <w:tcPr>
                  <w:tcW w:w="969" w:type="dxa"/>
                  <w:vAlign w:val="center"/>
                </w:tcPr>
                <w:p w14:paraId="7093517D">
                  <w:pPr>
                    <w:pStyle w:val="52"/>
                    <w:rPr>
                      <w:color w:val="auto"/>
                    </w:rPr>
                  </w:pPr>
                  <w:r>
                    <w:rPr>
                      <w:color w:val="auto"/>
                    </w:rPr>
                    <w:t>14190</w:t>
                  </w:r>
                </w:p>
              </w:tc>
              <w:tc>
                <w:tcPr>
                  <w:tcW w:w="969" w:type="dxa"/>
                  <w:vAlign w:val="center"/>
                </w:tcPr>
                <w:p w14:paraId="3A177DF4">
                  <w:pPr>
                    <w:pStyle w:val="52"/>
                    <w:rPr>
                      <w:color w:val="auto"/>
                    </w:rPr>
                  </w:pPr>
                  <w:r>
                    <w:rPr>
                      <w:color w:val="auto"/>
                    </w:rPr>
                    <w:t>12390</w:t>
                  </w:r>
                </w:p>
              </w:tc>
              <w:tc>
                <w:tcPr>
                  <w:tcW w:w="969" w:type="dxa"/>
                  <w:vAlign w:val="center"/>
                </w:tcPr>
                <w:p w14:paraId="00DC24AA">
                  <w:pPr>
                    <w:pStyle w:val="52"/>
                    <w:rPr>
                      <w:color w:val="auto"/>
                    </w:rPr>
                  </w:pPr>
                  <w:r>
                    <w:rPr>
                      <w:color w:val="auto"/>
                    </w:rPr>
                    <w:t>1800</w:t>
                  </w:r>
                </w:p>
              </w:tc>
              <w:tc>
                <w:tcPr>
                  <w:tcW w:w="969" w:type="dxa"/>
                  <w:vAlign w:val="center"/>
                </w:tcPr>
                <w:p w14:paraId="11C451DA">
                  <w:pPr>
                    <w:pStyle w:val="52"/>
                    <w:rPr>
                      <w:color w:val="auto"/>
                    </w:rPr>
                  </w:pPr>
                </w:p>
              </w:tc>
              <w:tc>
                <w:tcPr>
                  <w:tcW w:w="970" w:type="dxa"/>
                  <w:vAlign w:val="center"/>
                </w:tcPr>
                <w:p w14:paraId="37B8F53E">
                  <w:pPr>
                    <w:pStyle w:val="52"/>
                    <w:rPr>
                      <w:color w:val="auto"/>
                    </w:rPr>
                  </w:pPr>
                  <w:r>
                    <w:rPr>
                      <w:color w:val="auto"/>
                    </w:rPr>
                    <w:t>-14190</w:t>
                  </w:r>
                </w:p>
              </w:tc>
              <w:tc>
                <w:tcPr>
                  <w:tcW w:w="970" w:type="dxa"/>
                  <w:vAlign w:val="center"/>
                </w:tcPr>
                <w:p w14:paraId="4912C064">
                  <w:pPr>
                    <w:pStyle w:val="52"/>
                    <w:rPr>
                      <w:color w:val="auto"/>
                    </w:rPr>
                  </w:pPr>
                </w:p>
              </w:tc>
            </w:tr>
            <w:tr w14:paraId="7A20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6C5EEBEA">
                  <w:pPr>
                    <w:pStyle w:val="52"/>
                    <w:rPr>
                      <w:color w:val="auto"/>
                    </w:rPr>
                  </w:pPr>
                  <w:r>
                    <w:rPr>
                      <w:color w:val="auto"/>
                    </w:rPr>
                    <w:t>生产区</w:t>
                  </w:r>
                </w:p>
              </w:tc>
              <w:tc>
                <w:tcPr>
                  <w:tcW w:w="969" w:type="dxa"/>
                  <w:vAlign w:val="center"/>
                </w:tcPr>
                <w:p w14:paraId="662E3AF5">
                  <w:pPr>
                    <w:pStyle w:val="52"/>
                    <w:rPr>
                      <w:color w:val="auto"/>
                    </w:rPr>
                  </w:pPr>
                  <w:r>
                    <w:rPr>
                      <w:color w:val="auto"/>
                    </w:rPr>
                    <w:t>12880</w:t>
                  </w:r>
                </w:p>
              </w:tc>
              <w:tc>
                <w:tcPr>
                  <w:tcW w:w="969" w:type="dxa"/>
                  <w:vAlign w:val="center"/>
                </w:tcPr>
                <w:p w14:paraId="24B78A19">
                  <w:pPr>
                    <w:pStyle w:val="52"/>
                    <w:rPr>
                      <w:color w:val="auto"/>
                    </w:rPr>
                  </w:pPr>
                  <w:r>
                    <w:rPr>
                      <w:color w:val="auto"/>
                    </w:rPr>
                    <w:t>12880</w:t>
                  </w:r>
                </w:p>
              </w:tc>
              <w:tc>
                <w:tcPr>
                  <w:tcW w:w="969" w:type="dxa"/>
                  <w:vAlign w:val="center"/>
                </w:tcPr>
                <w:p w14:paraId="4D789003">
                  <w:pPr>
                    <w:pStyle w:val="52"/>
                    <w:rPr>
                      <w:color w:val="auto"/>
                    </w:rPr>
                  </w:pPr>
                </w:p>
              </w:tc>
              <w:tc>
                <w:tcPr>
                  <w:tcW w:w="969" w:type="dxa"/>
                  <w:vAlign w:val="center"/>
                </w:tcPr>
                <w:p w14:paraId="1E63670C">
                  <w:pPr>
                    <w:pStyle w:val="52"/>
                    <w:rPr>
                      <w:color w:val="auto"/>
                    </w:rPr>
                  </w:pPr>
                </w:p>
              </w:tc>
              <w:tc>
                <w:tcPr>
                  <w:tcW w:w="969" w:type="dxa"/>
                  <w:vAlign w:val="center"/>
                </w:tcPr>
                <w:p w14:paraId="22F08714">
                  <w:pPr>
                    <w:pStyle w:val="52"/>
                    <w:rPr>
                      <w:color w:val="auto"/>
                    </w:rPr>
                  </w:pPr>
                </w:p>
              </w:tc>
              <w:tc>
                <w:tcPr>
                  <w:tcW w:w="969" w:type="dxa"/>
                  <w:vAlign w:val="center"/>
                </w:tcPr>
                <w:p w14:paraId="53D65373">
                  <w:pPr>
                    <w:pStyle w:val="52"/>
                    <w:rPr>
                      <w:color w:val="auto"/>
                    </w:rPr>
                  </w:pPr>
                </w:p>
              </w:tc>
              <w:tc>
                <w:tcPr>
                  <w:tcW w:w="969" w:type="dxa"/>
                  <w:vAlign w:val="center"/>
                </w:tcPr>
                <w:p w14:paraId="4BB9734C">
                  <w:pPr>
                    <w:pStyle w:val="52"/>
                    <w:rPr>
                      <w:color w:val="auto"/>
                    </w:rPr>
                  </w:pPr>
                </w:p>
              </w:tc>
              <w:tc>
                <w:tcPr>
                  <w:tcW w:w="970" w:type="dxa"/>
                  <w:vAlign w:val="center"/>
                </w:tcPr>
                <w:p w14:paraId="63D4FF4B">
                  <w:pPr>
                    <w:pStyle w:val="52"/>
                    <w:rPr>
                      <w:color w:val="auto"/>
                    </w:rPr>
                  </w:pPr>
                  <w:r>
                    <w:rPr>
                      <w:color w:val="auto"/>
                    </w:rPr>
                    <w:t>12880</w:t>
                  </w:r>
                </w:p>
              </w:tc>
              <w:tc>
                <w:tcPr>
                  <w:tcW w:w="970" w:type="dxa"/>
                  <w:vAlign w:val="center"/>
                </w:tcPr>
                <w:p w14:paraId="11A81156">
                  <w:pPr>
                    <w:pStyle w:val="52"/>
                    <w:rPr>
                      <w:color w:val="auto"/>
                    </w:rPr>
                  </w:pPr>
                  <w:r>
                    <w:rPr>
                      <w:color w:val="auto"/>
                    </w:rPr>
                    <w:t>弃渣场</w:t>
                  </w:r>
                </w:p>
              </w:tc>
            </w:tr>
            <w:tr w14:paraId="5680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08688BC1">
                  <w:pPr>
                    <w:pStyle w:val="52"/>
                    <w:rPr>
                      <w:color w:val="auto"/>
                    </w:rPr>
                  </w:pPr>
                  <w:r>
                    <w:rPr>
                      <w:color w:val="auto"/>
                    </w:rPr>
                    <w:t>合计</w:t>
                  </w:r>
                </w:p>
              </w:tc>
              <w:tc>
                <w:tcPr>
                  <w:tcW w:w="969" w:type="dxa"/>
                  <w:vAlign w:val="center"/>
                </w:tcPr>
                <w:p w14:paraId="427550F9">
                  <w:pPr>
                    <w:pStyle w:val="52"/>
                    <w:rPr>
                      <w:color w:val="auto"/>
                    </w:rPr>
                  </w:pPr>
                  <w:r>
                    <w:rPr>
                      <w:color w:val="auto"/>
                    </w:rPr>
                    <w:t>36580</w:t>
                  </w:r>
                </w:p>
              </w:tc>
              <w:tc>
                <w:tcPr>
                  <w:tcW w:w="969" w:type="dxa"/>
                  <w:vAlign w:val="center"/>
                </w:tcPr>
                <w:p w14:paraId="01241F59">
                  <w:pPr>
                    <w:pStyle w:val="52"/>
                    <w:rPr>
                      <w:color w:val="auto"/>
                    </w:rPr>
                  </w:pPr>
                  <w:r>
                    <w:rPr>
                      <w:color w:val="auto"/>
                    </w:rPr>
                    <w:t>34780</w:t>
                  </w:r>
                </w:p>
              </w:tc>
              <w:tc>
                <w:tcPr>
                  <w:tcW w:w="969" w:type="dxa"/>
                  <w:vAlign w:val="center"/>
                </w:tcPr>
                <w:p w14:paraId="682F9A57">
                  <w:pPr>
                    <w:pStyle w:val="52"/>
                    <w:rPr>
                      <w:color w:val="auto"/>
                    </w:rPr>
                  </w:pPr>
                  <w:r>
                    <w:rPr>
                      <w:color w:val="auto"/>
                    </w:rPr>
                    <w:t>1800</w:t>
                  </w:r>
                </w:p>
              </w:tc>
              <w:tc>
                <w:tcPr>
                  <w:tcW w:w="969" w:type="dxa"/>
                  <w:vAlign w:val="center"/>
                </w:tcPr>
                <w:p w14:paraId="40676A66">
                  <w:pPr>
                    <w:pStyle w:val="52"/>
                    <w:rPr>
                      <w:color w:val="auto"/>
                    </w:rPr>
                  </w:pPr>
                  <w:r>
                    <w:rPr>
                      <w:color w:val="auto"/>
                    </w:rPr>
                    <w:t>14510</w:t>
                  </w:r>
                </w:p>
              </w:tc>
              <w:tc>
                <w:tcPr>
                  <w:tcW w:w="969" w:type="dxa"/>
                  <w:vAlign w:val="center"/>
                </w:tcPr>
                <w:p w14:paraId="6DE2C67E">
                  <w:pPr>
                    <w:pStyle w:val="52"/>
                    <w:rPr>
                      <w:color w:val="auto"/>
                    </w:rPr>
                  </w:pPr>
                  <w:r>
                    <w:rPr>
                      <w:color w:val="auto"/>
                    </w:rPr>
                    <w:t>12610</w:t>
                  </w:r>
                </w:p>
              </w:tc>
              <w:tc>
                <w:tcPr>
                  <w:tcW w:w="969" w:type="dxa"/>
                  <w:vAlign w:val="center"/>
                </w:tcPr>
                <w:p w14:paraId="3D325837">
                  <w:pPr>
                    <w:pStyle w:val="52"/>
                    <w:rPr>
                      <w:color w:val="auto"/>
                    </w:rPr>
                  </w:pPr>
                  <w:r>
                    <w:rPr>
                      <w:color w:val="auto"/>
                    </w:rPr>
                    <w:t>1900</w:t>
                  </w:r>
                </w:p>
              </w:tc>
              <w:tc>
                <w:tcPr>
                  <w:tcW w:w="969" w:type="dxa"/>
                  <w:vAlign w:val="center"/>
                </w:tcPr>
                <w:p w14:paraId="6864A0EE">
                  <w:pPr>
                    <w:pStyle w:val="52"/>
                    <w:rPr>
                      <w:color w:val="auto"/>
                    </w:rPr>
                  </w:pPr>
                  <w:r>
                    <w:rPr>
                      <w:color w:val="auto"/>
                    </w:rPr>
                    <w:t>259290</w:t>
                  </w:r>
                </w:p>
              </w:tc>
              <w:tc>
                <w:tcPr>
                  <w:tcW w:w="970" w:type="dxa"/>
                  <w:vAlign w:val="center"/>
                </w:tcPr>
                <w:p w14:paraId="0970E2BC">
                  <w:pPr>
                    <w:pStyle w:val="52"/>
                    <w:rPr>
                      <w:color w:val="auto"/>
                    </w:rPr>
                  </w:pPr>
                  <w:r>
                    <w:rPr>
                      <w:color w:val="auto"/>
                    </w:rPr>
                    <w:t>0</w:t>
                  </w:r>
                </w:p>
              </w:tc>
              <w:tc>
                <w:tcPr>
                  <w:tcW w:w="970" w:type="dxa"/>
                  <w:vAlign w:val="center"/>
                </w:tcPr>
                <w:p w14:paraId="0228F8BD">
                  <w:pPr>
                    <w:pStyle w:val="52"/>
                    <w:rPr>
                      <w:color w:val="auto"/>
                    </w:rPr>
                  </w:pPr>
                </w:p>
              </w:tc>
            </w:tr>
          </w:tbl>
          <w:p w14:paraId="7546434D">
            <w:pPr>
              <w:ind w:firstLine="480"/>
              <w:rPr>
                <w:rFonts w:cs="Times New Roman"/>
              </w:rPr>
            </w:pPr>
            <w:r>
              <w:rPr>
                <w:rFonts w:hint="eastAsia" w:ascii="宋体" w:hAnsi="宋体" w:cs="宋体"/>
              </w:rPr>
              <w:t>②</w:t>
            </w:r>
            <w:r>
              <w:rPr>
                <w:rFonts w:cs="Times New Roman"/>
              </w:rPr>
              <w:t>建筑垃圾</w:t>
            </w:r>
          </w:p>
          <w:p w14:paraId="6DCE4A81">
            <w:pPr>
              <w:ind w:firstLine="480"/>
              <w:rPr>
                <w:rFonts w:cs="Times New Roman"/>
              </w:rPr>
            </w:pPr>
            <w:r>
              <w:rPr>
                <w:rFonts w:cs="Times New Roman"/>
              </w:rPr>
              <w:t>建筑垃圾是在建筑物的建设、装修过程产生的，主要有渣土、废钢筋和各种废钢配件，金属管线废料、木屑、刨花、各种装饰材料的包装箱、包装袋等、散落的砂浆和混凝土，碎砖和碎混凝土块。本环评要求对建筑垃圾进行分类，可再生利用部分回收利用，不能利用的运至住建部门指定点处置。</w:t>
            </w:r>
          </w:p>
          <w:p w14:paraId="7A3D005E">
            <w:pPr>
              <w:ind w:firstLine="480"/>
              <w:rPr>
                <w:rFonts w:cs="Times New Roman"/>
              </w:rPr>
            </w:pPr>
            <w:r>
              <w:rPr>
                <w:rFonts w:hint="eastAsia" w:ascii="宋体" w:hAnsi="宋体" w:cs="宋体"/>
              </w:rPr>
              <w:t>③</w:t>
            </w:r>
            <w:r>
              <w:rPr>
                <w:rFonts w:cs="Times New Roman"/>
              </w:rPr>
              <w:t>生活垃圾</w:t>
            </w:r>
          </w:p>
          <w:p w14:paraId="117B3039">
            <w:pPr>
              <w:ind w:firstLine="480"/>
              <w:rPr>
                <w:rFonts w:cs="Times New Roman"/>
              </w:rPr>
            </w:pPr>
            <w:r>
              <w:rPr>
                <w:rFonts w:cs="Times New Roman"/>
              </w:rPr>
              <w:t>工程施工期人数达18人，按施工人员人均日生活垃圾产生量为0.5kg，则施工期日生活垃圾产生量为0.009t，施工期间2个月内，生活垃圾产生量为0.54t，统一收集后运至附近村镇垃圾收集点。</w:t>
            </w:r>
          </w:p>
          <w:p w14:paraId="1C7B7780">
            <w:pPr>
              <w:ind w:firstLine="482"/>
              <w:rPr>
                <w:rFonts w:cs="Times New Roman"/>
                <w:b/>
              </w:rPr>
            </w:pPr>
            <w:r>
              <w:rPr>
                <w:rFonts w:cs="Times New Roman"/>
                <w:b/>
              </w:rPr>
              <w:t>5、施工期生态环境</w:t>
            </w:r>
          </w:p>
          <w:p w14:paraId="105DAF70">
            <w:pPr>
              <w:pStyle w:val="53"/>
              <w:ind w:firstLine="480"/>
            </w:pPr>
            <w:r>
              <w:t>本项目后续建设过程中会对土地利用、植物及动物产生一定的影响。工程施工过程中的土石方开挖、地表植被破坏、工程弃渣等都将导致新增水土流失。根据项目资料，项目区在施工期内可能产生的水土流失总量为</w:t>
            </w:r>
            <w:r>
              <w:rPr>
                <w:lang w:val="zh-CN"/>
              </w:rPr>
              <w:t>956.5t</w:t>
            </w:r>
            <w:r>
              <w:t>，新增水土流失量为</w:t>
            </w:r>
            <w:r>
              <w:rPr>
                <w:lang w:val="zh-CN"/>
              </w:rPr>
              <w:t>553.5t</w:t>
            </w:r>
            <w:r>
              <w:t>。</w:t>
            </w:r>
          </w:p>
          <w:p w14:paraId="53E9789E">
            <w:pPr>
              <w:ind w:firstLine="0" w:firstLineChars="0"/>
              <w:rPr>
                <w:rFonts w:cs="Times New Roman"/>
                <w:b/>
              </w:rPr>
            </w:pPr>
            <w:r>
              <w:rPr>
                <w:rFonts w:cs="Times New Roman"/>
                <w:b/>
              </w:rPr>
              <w:t>三、营运期生产流程及产污节点</w:t>
            </w:r>
          </w:p>
          <w:p w14:paraId="44738BC4">
            <w:pPr>
              <w:ind w:firstLine="480"/>
              <w:rPr>
                <w:rFonts w:cs="Times New Roman"/>
                <w:bCs/>
              </w:rPr>
            </w:pPr>
            <w:r>
              <w:rPr>
                <w:rFonts w:cs="Times New Roman"/>
              </w:rPr>
              <w:t>项目在生产加工区内共建设2条生产线，即1#和2#生产线，及完善环保措施（主要为</w:t>
            </w:r>
            <w:r>
              <w:rPr>
                <w:rFonts w:cs="Times New Roman"/>
                <w:szCs w:val="32"/>
              </w:rPr>
              <w:t>破碎机下料口使用苫布遮盖；筛分机采用彩钢瓦棚半封闭，出料口用苫布遮挡</w:t>
            </w:r>
            <w:r>
              <w:rPr>
                <w:rFonts w:cs="Times New Roman"/>
              </w:rPr>
              <w:t>）。项目生产工艺流程因完善了对应的环保措施，污染物排放量有所减少</w:t>
            </w:r>
            <w:r>
              <w:rPr>
                <w:rFonts w:cs="Times New Roman"/>
                <w:bCs/>
              </w:rPr>
              <w:t>，生产工艺流程详见图5-1。</w:t>
            </w:r>
          </w:p>
          <w:p w14:paraId="00F0AE46">
            <w:pPr>
              <w:ind w:firstLine="480"/>
              <w:jc w:val="center"/>
              <w:rPr>
                <w:rFonts w:cs="Times New Roman"/>
                <w:kern w:val="0"/>
              </w:rPr>
            </w:pPr>
            <w:r>
              <w:rPr>
                <w:rFonts w:cs="Times New Roman"/>
                <w:kern w:val="0"/>
              </w:rPr>
              <w:object>
                <v:shape id="_x0000_i1025" o:spt="75" type="#_x0000_t75" style="height:536.25pt;width:413.2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14:paraId="12EED7C9">
            <w:pPr>
              <w:pStyle w:val="31"/>
              <w:rPr>
                <w:rFonts w:cs="Times New Roman"/>
              </w:rPr>
            </w:pPr>
            <w:r>
              <w:rPr>
                <w:rFonts w:cs="Times New Roman"/>
              </w:rPr>
              <w:t>图5-1  采矿工艺流程及产污环节图</w:t>
            </w:r>
          </w:p>
          <w:p w14:paraId="6DACF6DB">
            <w:pPr>
              <w:ind w:firstLine="480"/>
              <w:rPr>
                <w:rFonts w:cs="Times New Roman"/>
              </w:rPr>
            </w:pPr>
            <w:r>
              <w:rPr>
                <w:rFonts w:cs="Times New Roman"/>
              </w:rPr>
              <w:t>原有项目开采过程主要分为以下几个部分：</w:t>
            </w:r>
          </w:p>
          <w:p w14:paraId="11A9681C">
            <w:pPr>
              <w:ind w:firstLine="480"/>
              <w:rPr>
                <w:rFonts w:cs="Times New Roman"/>
              </w:rPr>
            </w:pPr>
            <w:r>
              <w:rPr>
                <w:rFonts w:cs="Times New Roman"/>
              </w:rPr>
              <w:t>（1）凿岩</w:t>
            </w:r>
          </w:p>
          <w:p w14:paraId="50F68998">
            <w:pPr>
              <w:ind w:firstLine="480"/>
              <w:rPr>
                <w:rFonts w:cs="Times New Roman"/>
              </w:rPr>
            </w:pPr>
            <w:r>
              <w:rPr>
                <w:rFonts w:cs="Times New Roman"/>
              </w:rPr>
              <w:t>凿岩选用</w:t>
            </w:r>
            <w:r>
              <w:rPr>
                <w:rFonts w:cs="Times New Roman"/>
                <w:szCs w:val="21"/>
              </w:rPr>
              <w:t>SWD165</w:t>
            </w:r>
            <w:r>
              <w:rPr>
                <w:rFonts w:cs="Times New Roman"/>
              </w:rPr>
              <w:t>型潜孔钻机凿岩，穿孔台阶高度10米，超深0.75米，孔深10.75米。炮孔排列方式为连续布置，炮孔按正三角形布置，孔距3.75米，排距3.25米。</w:t>
            </w:r>
          </w:p>
          <w:p w14:paraId="438862CB">
            <w:pPr>
              <w:ind w:firstLine="480"/>
              <w:rPr>
                <w:rFonts w:cs="Times New Roman"/>
              </w:rPr>
            </w:pPr>
            <w:r>
              <w:rPr>
                <w:rFonts w:cs="Times New Roman"/>
              </w:rPr>
              <w:t>（2）爆破</w:t>
            </w:r>
          </w:p>
          <w:p w14:paraId="314082F6">
            <w:pPr>
              <w:ind w:firstLine="480"/>
              <w:rPr>
                <w:rFonts w:cs="Times New Roman"/>
              </w:rPr>
            </w:pPr>
            <w:r>
              <w:rPr>
                <w:rFonts w:cs="Times New Roman"/>
              </w:rPr>
              <w:t>矿山爆破由具有资质的民爆公司负责，押运员将爆破材料押送至采场，再由专业爆破人员根据现场进行炮孔布设、填药、起爆，矿山安全员负责安全监督管理工作，爆破完成后剩余爆破材料由民爆公司统一运回存放。</w:t>
            </w:r>
          </w:p>
          <w:p w14:paraId="036472A1">
            <w:pPr>
              <w:ind w:firstLine="480"/>
              <w:rPr>
                <w:rFonts w:cs="Times New Roman"/>
              </w:rPr>
            </w:pPr>
            <w:r>
              <w:rPr>
                <w:rFonts w:cs="Times New Roman"/>
              </w:rPr>
              <w:t>落矿采用磁电安全电雷管起爆，垂直孔和水平孔用秒差雷管分段破爆，根据爆破安全规程规定（GB6722—2003）：露天土岩爆破个别飞石对人员的最小安全距离不得小于300m，建、构筑物的爆破地震安全性应满足安全震动速度的要求，土窑、土坯房、毛石房屋安全震动速度为 1.0cm/s，在爆破时的工作人员必须撤离至安全地点。</w:t>
            </w:r>
          </w:p>
          <w:p w14:paraId="4756E97C">
            <w:pPr>
              <w:ind w:firstLine="480"/>
              <w:rPr>
                <w:rFonts w:cs="Times New Roman"/>
              </w:rPr>
            </w:pPr>
            <w:r>
              <w:rPr>
                <w:rFonts w:cs="Times New Roman"/>
              </w:rPr>
              <w:t>（3）铲装开采</w:t>
            </w:r>
          </w:p>
          <w:p w14:paraId="7F2233B6">
            <w:pPr>
              <w:ind w:firstLine="480"/>
              <w:rPr>
                <w:rFonts w:cs="Times New Roman"/>
              </w:rPr>
            </w:pPr>
            <w:r>
              <w:rPr>
                <w:rFonts w:cs="Times New Roman"/>
              </w:rPr>
              <w:t>爆破后的矿石采用挖掘机配合装载铲装，采用自卸汽车运至加工区加工，废土等则铲装堆存于弃渣场，其中一部分作为毛料产品直接外运出售。该步骤以开采噪声及粉尘影响较突出。</w:t>
            </w:r>
          </w:p>
          <w:p w14:paraId="2C5902F4">
            <w:pPr>
              <w:ind w:firstLine="480"/>
              <w:rPr>
                <w:rFonts w:cs="Times New Roman"/>
              </w:rPr>
            </w:pPr>
            <w:r>
              <w:rPr>
                <w:rFonts w:cs="Times New Roman"/>
              </w:rPr>
              <w:t>（4）破碎</w:t>
            </w:r>
          </w:p>
          <w:p w14:paraId="4D4FCCC5">
            <w:pPr>
              <w:ind w:firstLine="480"/>
              <w:rPr>
                <w:rFonts w:cs="Times New Roman"/>
              </w:rPr>
            </w:pPr>
            <w:r>
              <w:rPr>
                <w:rFonts w:cs="Times New Roman"/>
              </w:rPr>
              <w:t>石料加工区设置2条生产线。每条生产线设置有1台颚式破碎机和2台反击式破碎机，采用二级破碎，开采出的毛石料通过破碎机破碎后为细料通过皮带输送至筛分机振动筛。破碎步骤以噪声及粉尘影响较突出，目前有的防尘措施不完善。</w:t>
            </w:r>
          </w:p>
          <w:p w14:paraId="3AB43DF1">
            <w:pPr>
              <w:ind w:firstLine="480"/>
              <w:rPr>
                <w:rFonts w:cs="Times New Roman"/>
              </w:rPr>
            </w:pPr>
            <w:r>
              <w:rPr>
                <w:rFonts w:cs="Times New Roman"/>
              </w:rPr>
              <w:t>（5）筛分加工及堆放</w:t>
            </w:r>
          </w:p>
          <w:p w14:paraId="03F287CA">
            <w:pPr>
              <w:ind w:firstLine="480"/>
              <w:rPr>
                <w:rFonts w:cs="Times New Roman"/>
              </w:rPr>
            </w:pPr>
            <w:r>
              <w:rPr>
                <w:rFonts w:cs="Times New Roman"/>
              </w:rPr>
              <w:t>破碎机加工出的细料落至筛分机的振动筛进行过筛分级，分离出成品碎石料按照不同粒径通过皮带分开，后铲装堆放于堆料场，不合格产品通过皮带返回至破碎机进行破碎。筛分步骤以噪声及粉尘影响较突出。目前有的防尘措施不完善。</w:t>
            </w:r>
          </w:p>
          <w:p w14:paraId="387BB248">
            <w:pPr>
              <w:ind w:firstLine="480"/>
              <w:rPr>
                <w:rFonts w:cs="Times New Roman"/>
              </w:rPr>
            </w:pPr>
            <w:r>
              <w:rPr>
                <w:rFonts w:cs="Times New Roman"/>
              </w:rPr>
              <w:t>（6）装车外售</w:t>
            </w:r>
          </w:p>
          <w:p w14:paraId="56678FA1">
            <w:pPr>
              <w:ind w:firstLine="480"/>
              <w:rPr>
                <w:rFonts w:cs="Times New Roman"/>
              </w:rPr>
            </w:pPr>
            <w:r>
              <w:rPr>
                <w:rFonts w:cs="Times New Roman"/>
              </w:rPr>
              <w:t>成品砂料及石料根据客户需要分别装车外售，在装车及运输过程已噪声及粉尘影响较为突出。</w:t>
            </w:r>
          </w:p>
          <w:p w14:paraId="5557FE32">
            <w:pPr>
              <w:ind w:firstLine="0" w:firstLineChars="0"/>
              <w:rPr>
                <w:rFonts w:cs="Times New Roman"/>
                <w:b/>
                <w:bCs/>
              </w:rPr>
            </w:pPr>
            <w:r>
              <w:rPr>
                <w:rFonts w:cs="Times New Roman"/>
                <w:b/>
                <w:bCs/>
              </w:rPr>
              <w:t>四、运营期环境影响因素</w:t>
            </w:r>
          </w:p>
          <w:p w14:paraId="6AC58BCA">
            <w:pPr>
              <w:ind w:firstLine="482"/>
              <w:rPr>
                <w:rFonts w:cs="Times New Roman"/>
                <w:b/>
              </w:rPr>
            </w:pPr>
            <w:r>
              <w:rPr>
                <w:rFonts w:cs="Times New Roman"/>
                <w:b/>
              </w:rPr>
              <w:t>1、废气</w:t>
            </w:r>
          </w:p>
          <w:p w14:paraId="3571B269">
            <w:pPr>
              <w:ind w:firstLine="480"/>
              <w:rPr>
                <w:rFonts w:cs="Times New Roman"/>
              </w:rPr>
            </w:pPr>
            <w:r>
              <w:rPr>
                <w:rFonts w:cs="Times New Roman"/>
              </w:rPr>
              <w:t>项目运营期产生的废气主要为生产废气和生活废气，生产废气来源有采场工作面、破碎、筛分、堆料场及弃渣场、矿区运输道路以及机械设备燃油产生，生活废气为厨房油烟。</w:t>
            </w:r>
          </w:p>
          <w:p w14:paraId="466D0E9D">
            <w:pPr>
              <w:ind w:firstLine="480"/>
              <w:rPr>
                <w:rFonts w:cs="Times New Roman"/>
              </w:rPr>
            </w:pPr>
            <w:r>
              <w:rPr>
                <w:rFonts w:cs="Times New Roman"/>
              </w:rPr>
              <w:t>（1）项目采场工作面粉尘</w:t>
            </w:r>
          </w:p>
          <w:p w14:paraId="544D60B7">
            <w:pPr>
              <w:ind w:firstLine="480"/>
              <w:rPr>
                <w:rFonts w:cs="Times New Roman"/>
              </w:rPr>
            </w:pPr>
            <w:r>
              <w:rPr>
                <w:rFonts w:cs="Times New Roman"/>
              </w:rPr>
              <w:t>项目采场工作面产生的废气主要为凿岩打孔、爆破产生粉尘，另外含有少量的爆破废气。爆破、打孔等过程产生的扬尘和爆破废气属无组织排放，其排放量和排放浓度受开采强度、作业设备数、气象条件、环境管理水平、施工组织安排等有直接的关系。</w:t>
            </w:r>
          </w:p>
          <w:p w14:paraId="5B1913B5">
            <w:pPr>
              <w:ind w:firstLine="480"/>
              <w:rPr>
                <w:rFonts w:cs="Times New Roman"/>
              </w:rPr>
            </w:pPr>
            <w:r>
              <w:rPr>
                <w:rFonts w:cs="Times New Roman"/>
              </w:rPr>
              <w:t>单位数量炸药爆炸所产生的污染物量见表5-3。</w:t>
            </w:r>
          </w:p>
          <w:p w14:paraId="5E3655E4">
            <w:pPr>
              <w:pStyle w:val="31"/>
              <w:rPr>
                <w:rFonts w:cs="Times New Roman"/>
              </w:rPr>
            </w:pPr>
            <w:r>
              <w:rPr>
                <w:rFonts w:cs="Times New Roman"/>
              </w:rPr>
              <w:t>表5-3  单位炸药所产生的有害物质数量表  单位：kg/t</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2234"/>
              <w:gridCol w:w="2849"/>
              <w:gridCol w:w="1567"/>
            </w:tblGrid>
            <w:tr w14:paraId="764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vAlign w:val="center"/>
                </w:tcPr>
                <w:p w14:paraId="2E220081">
                  <w:pPr>
                    <w:pStyle w:val="52"/>
                    <w:rPr>
                      <w:color w:val="auto"/>
                    </w:rPr>
                  </w:pPr>
                  <w:r>
                    <w:rPr>
                      <w:color w:val="auto"/>
                    </w:rPr>
                    <w:t>材料</w:t>
                  </w:r>
                </w:p>
              </w:tc>
              <w:tc>
                <w:tcPr>
                  <w:tcW w:w="2234" w:type="dxa"/>
                  <w:vAlign w:val="center"/>
                </w:tcPr>
                <w:p w14:paraId="1D46CE10">
                  <w:pPr>
                    <w:pStyle w:val="52"/>
                    <w:rPr>
                      <w:color w:val="auto"/>
                    </w:rPr>
                  </w:pPr>
                  <w:r>
                    <w:rPr>
                      <w:color w:val="auto"/>
                    </w:rPr>
                    <w:t>CO</w:t>
                  </w:r>
                </w:p>
              </w:tc>
              <w:tc>
                <w:tcPr>
                  <w:tcW w:w="2849" w:type="dxa"/>
                  <w:vAlign w:val="center"/>
                </w:tcPr>
                <w:p w14:paraId="7783A257">
                  <w:pPr>
                    <w:pStyle w:val="52"/>
                    <w:rPr>
                      <w:color w:val="auto"/>
                    </w:rPr>
                  </w:pPr>
                  <w:r>
                    <w:rPr>
                      <w:bCs/>
                      <w:color w:val="auto"/>
                    </w:rPr>
                    <w:t>NO</w:t>
                  </w:r>
                  <w:r>
                    <w:rPr>
                      <w:bCs/>
                      <w:color w:val="auto"/>
                      <w:vertAlign w:val="subscript"/>
                    </w:rPr>
                    <w:t>2</w:t>
                  </w:r>
                </w:p>
              </w:tc>
              <w:tc>
                <w:tcPr>
                  <w:tcW w:w="1567" w:type="dxa"/>
                  <w:vAlign w:val="center"/>
                </w:tcPr>
                <w:p w14:paraId="1CF459BE">
                  <w:pPr>
                    <w:pStyle w:val="52"/>
                    <w:rPr>
                      <w:color w:val="auto"/>
                    </w:rPr>
                  </w:pPr>
                  <w:r>
                    <w:rPr>
                      <w:color w:val="auto"/>
                    </w:rPr>
                    <w:t>粉尘</w:t>
                  </w:r>
                </w:p>
              </w:tc>
            </w:tr>
            <w:tr w14:paraId="1E8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vAlign w:val="center"/>
                </w:tcPr>
                <w:p w14:paraId="253744E0">
                  <w:pPr>
                    <w:pStyle w:val="52"/>
                    <w:rPr>
                      <w:color w:val="auto"/>
                    </w:rPr>
                  </w:pPr>
                  <w:r>
                    <w:rPr>
                      <w:color w:val="auto"/>
                    </w:rPr>
                    <w:t>炸药</w:t>
                  </w:r>
                </w:p>
              </w:tc>
              <w:tc>
                <w:tcPr>
                  <w:tcW w:w="2234" w:type="dxa"/>
                  <w:vAlign w:val="center"/>
                </w:tcPr>
                <w:p w14:paraId="548720BF">
                  <w:pPr>
                    <w:pStyle w:val="52"/>
                    <w:rPr>
                      <w:color w:val="auto"/>
                    </w:rPr>
                  </w:pPr>
                  <w:r>
                    <w:rPr>
                      <w:color w:val="auto"/>
                    </w:rPr>
                    <w:t>41.75</w:t>
                  </w:r>
                </w:p>
              </w:tc>
              <w:tc>
                <w:tcPr>
                  <w:tcW w:w="2849" w:type="dxa"/>
                  <w:vAlign w:val="center"/>
                </w:tcPr>
                <w:p w14:paraId="33C52B09">
                  <w:pPr>
                    <w:pStyle w:val="52"/>
                    <w:rPr>
                      <w:color w:val="auto"/>
                    </w:rPr>
                  </w:pPr>
                  <w:r>
                    <w:rPr>
                      <w:color w:val="auto"/>
                    </w:rPr>
                    <w:t>3.52</w:t>
                  </w:r>
                </w:p>
              </w:tc>
              <w:tc>
                <w:tcPr>
                  <w:tcW w:w="1567" w:type="dxa"/>
                  <w:vAlign w:val="center"/>
                </w:tcPr>
                <w:p w14:paraId="5AFB5E09">
                  <w:pPr>
                    <w:pStyle w:val="52"/>
                    <w:rPr>
                      <w:color w:val="auto"/>
                    </w:rPr>
                  </w:pPr>
                  <w:r>
                    <w:rPr>
                      <w:color w:val="auto"/>
                    </w:rPr>
                    <w:t>62.5</w:t>
                  </w:r>
                </w:p>
              </w:tc>
            </w:tr>
          </w:tbl>
          <w:p w14:paraId="7F4D9D01">
            <w:pPr>
              <w:ind w:firstLine="480"/>
              <w:rPr>
                <w:rFonts w:cs="Times New Roman"/>
              </w:rPr>
            </w:pPr>
            <w:r>
              <w:rPr>
                <w:rFonts w:cs="Times New Roman"/>
              </w:rPr>
              <w:t>根据开发利用方案，项目爆破采用控制爆破，开采过程中炸药用量为98t/a，产生的CO、NO</w:t>
            </w:r>
            <w:r>
              <w:rPr>
                <w:rFonts w:cs="Times New Roman"/>
                <w:vertAlign w:val="subscript"/>
              </w:rPr>
              <w:t>2</w:t>
            </w:r>
            <w:r>
              <w:rPr>
                <w:rFonts w:cs="Times New Roman"/>
              </w:rPr>
              <w:t>、粉尘约4.09t/a、0.345t/a、6.125t/a，采场工作面采取洒水降尘，减少粉尘的排放量，降尘量达到70%，则采取措施后，CO、NO</w:t>
            </w:r>
            <w:r>
              <w:rPr>
                <w:rFonts w:cs="Times New Roman"/>
                <w:vertAlign w:val="subscript"/>
              </w:rPr>
              <w:t>2</w:t>
            </w:r>
            <w:r>
              <w:rPr>
                <w:rFonts w:cs="Times New Roman"/>
              </w:rPr>
              <w:t xml:space="preserve">、粉尘排放量为4.09t/a、0.345t/a、1.838t/a。 </w:t>
            </w:r>
          </w:p>
          <w:p w14:paraId="1893F645">
            <w:pPr>
              <w:ind w:firstLine="480"/>
              <w:rPr>
                <w:rFonts w:cs="Times New Roman"/>
              </w:rPr>
            </w:pPr>
            <w:r>
              <w:rPr>
                <w:rFonts w:cs="Times New Roman"/>
              </w:rPr>
              <w:t>（2）项目机械设备废气</w:t>
            </w:r>
          </w:p>
          <w:p w14:paraId="328E88D7">
            <w:pPr>
              <w:ind w:firstLine="480"/>
              <w:rPr>
                <w:rFonts w:cs="Times New Roman"/>
              </w:rPr>
            </w:pPr>
            <w:r>
              <w:rPr>
                <w:rFonts w:cs="Times New Roman"/>
              </w:rPr>
              <w:t>项目区主要机械设备为液压凿岩机、空压机、自卸汽车、装载机，机械设备所用燃油多为柴油，柴油燃烧产生的烟尘量为1.27kg/t，项目区柴油用量约为120t/a，产生的烟尘量为0.152t/a。</w:t>
            </w:r>
          </w:p>
          <w:p w14:paraId="585D5F7F">
            <w:pPr>
              <w:ind w:firstLine="480"/>
              <w:rPr>
                <w:rFonts w:cs="Times New Roman"/>
              </w:rPr>
            </w:pPr>
            <w:r>
              <w:rPr>
                <w:rFonts w:cs="Times New Roman"/>
              </w:rPr>
              <w:t>（3）项目堆料场及弃渣场粉尘</w:t>
            </w:r>
          </w:p>
          <w:p w14:paraId="04681FEB">
            <w:pPr>
              <w:ind w:firstLine="480"/>
              <w:rPr>
                <w:rFonts w:cs="Times New Roman"/>
                <w:lang w:val="zh-CN"/>
              </w:rPr>
            </w:pPr>
            <w:r>
              <w:rPr>
                <w:rFonts w:cs="Times New Roman"/>
                <w:lang w:val="zh-CN"/>
              </w:rPr>
              <w:t>项目区废土石以及成品石料均为露天堆存，废土石、矿石在堆存过程中产生的大气污染物主要是无组织粉尘。</w:t>
            </w:r>
          </w:p>
          <w:p w14:paraId="36C7DF48">
            <w:pPr>
              <w:ind w:firstLine="480"/>
              <w:rPr>
                <w:rFonts w:cs="Times New Roman"/>
              </w:rPr>
            </w:pPr>
            <w:r>
              <w:rPr>
                <w:rFonts w:cs="Times New Roman"/>
              </w:rPr>
              <w:t>项目堆场产生的无组织排放粉尘采用起尘量计算公式：</w:t>
            </w:r>
          </w:p>
          <w:p w14:paraId="097DEA4D">
            <w:pPr>
              <w:ind w:firstLine="480"/>
              <w:rPr>
                <w:rFonts w:cs="Times New Roman"/>
              </w:rPr>
            </w:pPr>
            <w:r>
              <w:rPr>
                <w:rFonts w:cs="Times New Roman"/>
              </w:rPr>
              <w:t>Q＝4.23×10</w:t>
            </w:r>
            <w:r>
              <w:rPr>
                <w:rFonts w:cs="Times New Roman"/>
                <w:vertAlign w:val="superscript"/>
              </w:rPr>
              <w:t>-4</w:t>
            </w:r>
            <w:r>
              <w:rPr>
                <w:rFonts w:cs="Times New Roman"/>
              </w:rPr>
              <w:t>×U</w:t>
            </w:r>
            <w:r>
              <w:rPr>
                <w:rFonts w:cs="Times New Roman"/>
                <w:vertAlign w:val="superscript"/>
              </w:rPr>
              <w:t>4.9</w:t>
            </w:r>
            <w:r>
              <w:rPr>
                <w:rFonts w:cs="Times New Roman"/>
              </w:rPr>
              <w:t>×Ap</w:t>
            </w:r>
          </w:p>
          <w:p w14:paraId="69914E28">
            <w:pPr>
              <w:ind w:firstLine="480"/>
              <w:rPr>
                <w:rFonts w:cs="Times New Roman"/>
              </w:rPr>
            </w:pPr>
            <w:r>
              <w:rPr>
                <w:rFonts w:cs="Times New Roman"/>
              </w:rPr>
              <w:t xml:space="preserve">   式中：Q—开放源起尘量，mg/s；</w:t>
            </w:r>
          </w:p>
          <w:p w14:paraId="20FD0012">
            <w:pPr>
              <w:ind w:firstLine="480"/>
              <w:rPr>
                <w:rFonts w:cs="Times New Roman"/>
              </w:rPr>
            </w:pPr>
            <w:r>
              <w:rPr>
                <w:rFonts w:cs="Times New Roman"/>
              </w:rPr>
              <w:t xml:space="preserve">         U—平均风速，m/s，本项目取年平均风速0.9m/s；</w:t>
            </w:r>
          </w:p>
          <w:p w14:paraId="3453A8FD">
            <w:pPr>
              <w:ind w:firstLine="480"/>
              <w:rPr>
                <w:rFonts w:cs="Times New Roman"/>
                <w:lang w:val="zh-CN"/>
              </w:rPr>
            </w:pPr>
            <w:r>
              <w:rPr>
                <w:rFonts w:cs="Times New Roman"/>
                <w:lang w:val="zh-CN"/>
              </w:rPr>
              <w:t xml:space="preserve">         Ap—开放源的表面积，m</w:t>
            </w:r>
            <w:r>
              <w:rPr>
                <w:rFonts w:cs="Times New Roman"/>
                <w:vertAlign w:val="superscript"/>
                <w:lang w:val="zh-CN"/>
              </w:rPr>
              <w:t>2</w:t>
            </w:r>
            <w:r>
              <w:rPr>
                <w:rFonts w:cs="Times New Roman"/>
                <w:lang w:val="zh-CN"/>
              </w:rPr>
              <w:t>。</w:t>
            </w:r>
          </w:p>
          <w:p w14:paraId="0B78F7C7">
            <w:pPr>
              <w:ind w:firstLine="480"/>
              <w:rPr>
                <w:rFonts w:cs="Times New Roman"/>
                <w:lang w:val="zh-CN"/>
              </w:rPr>
            </w:pPr>
            <w:r>
              <w:rPr>
                <w:rFonts w:cs="Times New Roman"/>
                <w:lang w:val="zh-CN"/>
              </w:rPr>
              <w:t>项目堆料场表面积取10000m</w:t>
            </w:r>
            <w:r>
              <w:rPr>
                <w:rFonts w:cs="Times New Roman"/>
                <w:vertAlign w:val="superscript"/>
                <w:lang w:val="zh-CN"/>
              </w:rPr>
              <w:t>2</w:t>
            </w:r>
            <w:r>
              <w:rPr>
                <w:rFonts w:cs="Times New Roman"/>
                <w:lang w:val="zh-CN"/>
              </w:rPr>
              <w:t>，</w:t>
            </w:r>
            <w:r>
              <w:rPr>
                <w:rFonts w:cs="Times New Roman"/>
              </w:rPr>
              <w:t>堆料场起尘量为0.0038g/s，0.041t/a</w:t>
            </w:r>
            <w:r>
              <w:rPr>
                <w:rFonts w:cs="Times New Roman"/>
                <w:lang w:val="zh-CN"/>
              </w:rPr>
              <w:t>；弃渣场表面积取6700m</w:t>
            </w:r>
            <w:r>
              <w:rPr>
                <w:rFonts w:cs="Times New Roman"/>
                <w:vertAlign w:val="superscript"/>
                <w:lang w:val="zh-CN"/>
              </w:rPr>
              <w:t>2</w:t>
            </w:r>
            <w:r>
              <w:rPr>
                <w:rFonts w:cs="Times New Roman"/>
                <w:lang w:val="zh-CN"/>
              </w:rPr>
              <w:t>，弃渣场</w:t>
            </w:r>
            <w:r>
              <w:rPr>
                <w:rFonts w:cs="Times New Roman"/>
              </w:rPr>
              <w:t>起尘量为0.0228g/s，0.246t/a。堆料场和弃渣场采用苫布临时覆盖，其无组织粉尘的排放量可减少70%以上，因此，在采取上述措施后，项目堆料场无组织粉尘排放量为0.0001g/s，0.0123t/a；弃渣场无组织粉尘的排放量为0.0008g/s，0.074t/a。</w:t>
            </w:r>
          </w:p>
          <w:p w14:paraId="0E1B73A3">
            <w:pPr>
              <w:ind w:firstLine="480"/>
              <w:rPr>
                <w:rFonts w:cs="Times New Roman"/>
              </w:rPr>
            </w:pPr>
            <w:r>
              <w:rPr>
                <w:rFonts w:cs="Times New Roman"/>
              </w:rPr>
              <w:t>（4）项目运输道路粉尘</w:t>
            </w:r>
          </w:p>
          <w:p w14:paraId="736E852C">
            <w:pPr>
              <w:ind w:firstLine="480"/>
              <w:rPr>
                <w:rFonts w:cs="Times New Roman"/>
              </w:rPr>
            </w:pPr>
            <w:r>
              <w:rPr>
                <w:rFonts w:cs="Times New Roman"/>
              </w:rPr>
              <w:t>运输扬尘主要是车辆经过带起的粉尘，运输线路上的起尘量按下式计算：</w:t>
            </w:r>
          </w:p>
          <w:p w14:paraId="0929EEFB">
            <w:pPr>
              <w:ind w:firstLine="480"/>
              <w:rPr>
                <w:rFonts w:cs="Times New Roman"/>
                <w:vertAlign w:val="superscript"/>
              </w:rPr>
            </w:pPr>
            <w:r>
              <w:rPr>
                <w:rFonts w:cs="Times New Roman"/>
              </w:rPr>
              <w:object>
                <v:shape id="_x0000_i1026" o:spt="75" type="#_x0000_t75" style="height:49.5pt;width:223.5pt;" o:ole="t" fillcolor="#6D6D6D"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14:paraId="6F40E737">
            <w:pPr>
              <w:ind w:firstLine="480"/>
              <w:rPr>
                <w:rFonts w:cs="Times New Roman"/>
              </w:rPr>
            </w:pPr>
            <w:r>
              <w:rPr>
                <w:rFonts w:cs="Times New Roman"/>
              </w:rPr>
              <w:t>式中：Q</w:t>
            </w:r>
            <w:r>
              <w:rPr>
                <w:rFonts w:cs="Times New Roman"/>
                <w:vertAlign w:val="subscript"/>
              </w:rPr>
              <w:t>P</w:t>
            </w:r>
            <w:r>
              <w:rPr>
                <w:rFonts w:cs="Times New Roman"/>
              </w:rPr>
              <w:t>——道路扬尘量（kg/km·辆）；</w:t>
            </w:r>
          </w:p>
          <w:p w14:paraId="1D1FFB09">
            <w:pPr>
              <w:ind w:firstLine="480"/>
              <w:rPr>
                <w:rFonts w:cs="Times New Roman"/>
              </w:rPr>
            </w:pPr>
            <w:r>
              <w:rPr>
                <w:rFonts w:cs="Times New Roman"/>
              </w:rPr>
              <w:t xml:space="preserve">      Q</w:t>
            </w:r>
            <w:r>
              <w:rPr>
                <w:rFonts w:cs="Times New Roman"/>
                <w:vertAlign w:val="subscript"/>
              </w:rPr>
              <w:t>P</w:t>
            </w:r>
            <w:r>
              <w:rPr>
                <w:rFonts w:cs="Times New Roman"/>
                <w:vertAlign w:val="superscript"/>
              </w:rPr>
              <w:t>1</w:t>
            </w:r>
            <w:r>
              <w:rPr>
                <w:rFonts w:cs="Times New Roman"/>
              </w:rPr>
              <w:t>——总扬尘量（kg/a）；</w:t>
            </w:r>
          </w:p>
          <w:p w14:paraId="7C874118">
            <w:pPr>
              <w:ind w:firstLine="480"/>
              <w:rPr>
                <w:rFonts w:cs="Times New Roman"/>
              </w:rPr>
            </w:pPr>
            <w:r>
              <w:rPr>
                <w:rFonts w:cs="Times New Roman"/>
              </w:rPr>
              <w:t xml:space="preserve">      V——车辆速度（km/h）；</w:t>
            </w:r>
          </w:p>
          <w:p w14:paraId="74C96EBC">
            <w:pPr>
              <w:ind w:firstLine="480"/>
              <w:rPr>
                <w:rFonts w:cs="Times New Roman"/>
              </w:rPr>
            </w:pPr>
            <w:r>
              <w:rPr>
                <w:rFonts w:cs="Times New Roman"/>
              </w:rPr>
              <w:t xml:space="preserve">      M——车辆载重（t/辆）；</w:t>
            </w:r>
          </w:p>
          <w:p w14:paraId="5C9B2F0A">
            <w:pPr>
              <w:ind w:firstLine="480"/>
              <w:rPr>
                <w:rFonts w:cs="Times New Roman"/>
              </w:rPr>
            </w:pPr>
            <w:r>
              <w:rPr>
                <w:rFonts w:cs="Times New Roman"/>
              </w:rPr>
              <w:t xml:space="preserve">      P——道路灰尘覆盖量（kg/m</w:t>
            </w:r>
            <w:r>
              <w:rPr>
                <w:rFonts w:cs="Times New Roman"/>
                <w:vertAlign w:val="superscript"/>
              </w:rPr>
              <w:t>2</w:t>
            </w:r>
            <w:r>
              <w:rPr>
                <w:rFonts w:cs="Times New Roman"/>
              </w:rPr>
              <w:t>）；</w:t>
            </w:r>
          </w:p>
          <w:p w14:paraId="64695ACF">
            <w:pPr>
              <w:ind w:firstLine="480"/>
              <w:rPr>
                <w:rFonts w:cs="Times New Roman"/>
              </w:rPr>
            </w:pPr>
            <w:r>
              <w:rPr>
                <w:rFonts w:cs="Times New Roman"/>
              </w:rPr>
              <w:t xml:space="preserve">      L——运输距离（km）；</w:t>
            </w:r>
          </w:p>
          <w:p w14:paraId="342DABD2">
            <w:pPr>
              <w:ind w:firstLine="480"/>
              <w:rPr>
                <w:rFonts w:cs="Times New Roman"/>
              </w:rPr>
            </w:pPr>
            <w:r>
              <w:rPr>
                <w:rFonts w:cs="Times New Roman"/>
              </w:rPr>
              <w:t xml:space="preserve">      Q——运输量（t/a）。</w:t>
            </w:r>
          </w:p>
          <w:p w14:paraId="6C1CD224">
            <w:pPr>
              <w:ind w:firstLine="480"/>
              <w:rPr>
                <w:rFonts w:cs="Times New Roman"/>
              </w:rPr>
            </w:pPr>
            <w:r>
              <w:rPr>
                <w:rFonts w:cs="Times New Roman"/>
              </w:rPr>
              <w:t>运输扬尘主要是车辆经过带起的粉尘，按运输道路起尘量公式计算，项目采用自卸车辆（20t/辆）运输，运输车辆时速约20km/h，道路灰尘覆盖量P取0.1kg/m</w:t>
            </w:r>
            <w:r>
              <w:rPr>
                <w:rFonts w:cs="Times New Roman"/>
                <w:vertAlign w:val="superscript"/>
              </w:rPr>
              <w:t>2</w:t>
            </w:r>
            <w:r>
              <w:rPr>
                <w:rFonts w:cs="Times New Roman"/>
              </w:rPr>
              <w:t>。项目区运输量为60万t/a，计算得项目交通运输起尘量为0.85kg/km·辆。</w:t>
            </w:r>
          </w:p>
          <w:p w14:paraId="756C2D00">
            <w:pPr>
              <w:ind w:firstLine="480"/>
              <w:rPr>
                <w:rFonts w:cs="Times New Roman"/>
              </w:rPr>
            </w:pPr>
            <w:r>
              <w:rPr>
                <w:rFonts w:cs="Times New Roman"/>
              </w:rPr>
              <w:t>项目区有平均约1200m矿山道路从矿山开采区及生产加工区，道路总起尘量为30.6t/a，2.833g/s。采取洒水降尘后，降尘率可达70%，则运输道路无组织粉尘排放量为9.18t/a，0.849g/s。</w:t>
            </w:r>
          </w:p>
          <w:p w14:paraId="4B244BAD">
            <w:pPr>
              <w:ind w:firstLine="480"/>
              <w:rPr>
                <w:rFonts w:cs="Times New Roman"/>
              </w:rPr>
            </w:pPr>
            <w:r>
              <w:rPr>
                <w:rFonts w:cs="Times New Roman"/>
              </w:rPr>
              <w:t>（5）项目破碎、筛分粉尘</w:t>
            </w:r>
          </w:p>
          <w:p w14:paraId="045680BD">
            <w:pPr>
              <w:ind w:firstLine="480"/>
              <w:rPr>
                <w:rFonts w:cs="Times New Roman"/>
              </w:rPr>
            </w:pPr>
            <w:bookmarkStart w:id="25" w:name="OLE_LINK6"/>
            <w:bookmarkStart w:id="26" w:name="OLE_LINK8"/>
            <w:r>
              <w:rPr>
                <w:rFonts w:cs="Times New Roman"/>
              </w:rPr>
              <w:t>破碎、筛分过程中将产生一定的粉尘。粉尘产生量根据参照聂国朝（湖北襄樊职业技术学院）2003年发表的《采石场大气污染物源强分析研究》进行估算，采石场破碎、筛分产生粉尘的产生速率为4440mg/s，项目每天生产10个小时，则粉尘产生量为4.44g/s，47.95t/a。</w:t>
            </w:r>
            <w:bookmarkEnd w:id="25"/>
            <w:bookmarkEnd w:id="26"/>
            <w:r>
              <w:rPr>
                <w:rFonts w:cs="Times New Roman"/>
              </w:rPr>
              <w:t>破碎机下料口使用苫布遮盖；筛分机采用彩钢瓦棚半封闭，出料口用苫布遮挡，粉尘去除率按95%计，则粉尘排放量为2.3976t/a(0.222g/s)，为无组织排放。</w:t>
            </w:r>
          </w:p>
          <w:p w14:paraId="7E30CBFA">
            <w:pPr>
              <w:ind w:firstLine="480"/>
              <w:rPr>
                <w:rFonts w:cs="Times New Roman"/>
              </w:rPr>
            </w:pPr>
            <w:r>
              <w:rPr>
                <w:rFonts w:cs="Times New Roman"/>
              </w:rPr>
              <w:t>（6）项目转载点、装卸扬尘</w:t>
            </w:r>
          </w:p>
          <w:p w14:paraId="2E2F016A">
            <w:pPr>
              <w:ind w:firstLine="480"/>
              <w:rPr>
                <w:rFonts w:cs="Times New Roman"/>
              </w:rPr>
            </w:pPr>
            <w:r>
              <w:rPr>
                <w:rFonts w:cs="Times New Roman"/>
              </w:rPr>
              <w:t>项目自卸汽车卸料起尘量，推荐选用山西环保科研所、武汉水运工程学院提出的经验公式估算，经验公式为：</w:t>
            </w:r>
          </w:p>
          <w:p w14:paraId="7AD685A0">
            <w:pPr>
              <w:ind w:firstLine="480"/>
              <w:rPr>
                <w:rFonts w:cs="Times New Roman"/>
              </w:rPr>
            </w:pPr>
            <w:r>
              <w:rPr>
                <w:rFonts w:cs="Times New Roman"/>
              </w:rPr>
              <w:drawing>
                <wp:inline distT="0" distB="0" distL="0" distR="0">
                  <wp:extent cx="125857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58570" cy="425450"/>
                          </a:xfrm>
                          <a:prstGeom prst="rect">
                            <a:avLst/>
                          </a:prstGeom>
                          <a:noFill/>
                          <a:ln>
                            <a:noFill/>
                          </a:ln>
                        </pic:spPr>
                      </pic:pic>
                    </a:graphicData>
                  </a:graphic>
                </wp:inline>
              </w:drawing>
            </w:r>
          </w:p>
          <w:p w14:paraId="0FB8D087">
            <w:pPr>
              <w:ind w:firstLine="480"/>
              <w:rPr>
                <w:rFonts w:cs="Times New Roman"/>
              </w:rPr>
            </w:pPr>
            <w:r>
              <w:rPr>
                <w:rFonts w:cs="Times New Roman"/>
              </w:rPr>
              <w:t>式中：Q —自卸汽车卸料起尘量，g/次；</w:t>
            </w:r>
          </w:p>
          <w:p w14:paraId="2B7ABF5C">
            <w:pPr>
              <w:ind w:firstLine="1200" w:firstLineChars="500"/>
              <w:rPr>
                <w:rFonts w:cs="Times New Roman"/>
              </w:rPr>
            </w:pPr>
            <w:r>
              <w:rPr>
                <w:rFonts w:cs="Times New Roman"/>
              </w:rPr>
              <w:t>u —平均风速，m／s；</w:t>
            </w:r>
          </w:p>
          <w:p w14:paraId="0B70BAA8">
            <w:pPr>
              <w:ind w:firstLine="1200" w:firstLineChars="500"/>
              <w:rPr>
                <w:rFonts w:cs="Times New Roman"/>
              </w:rPr>
            </w:pPr>
            <w:r>
              <w:rPr>
                <w:rFonts w:cs="Times New Roman"/>
              </w:rPr>
              <w:t>M—汽车卸料量，t。</w:t>
            </w:r>
          </w:p>
          <w:p w14:paraId="0FD29E5C">
            <w:pPr>
              <w:ind w:firstLine="480"/>
              <w:rPr>
                <w:rFonts w:cs="Times New Roman"/>
              </w:rPr>
            </w:pPr>
            <w:r>
              <w:rPr>
                <w:rFonts w:cs="Times New Roman"/>
              </w:rPr>
              <w:t>项目运营过程中，根据项目自身特点及当地的气候特征，芒市平均风速0.9m/s，每次汽车卸料量为20t，则自卸汽车卸料起尘量2.57 g/次。项目生产规模为60万t/a，项目每天自卸汽车卸料次数为100次，年运营300天，则自卸汽车卸料起尘量0.007g/s，0.077t/a，采取洒水降尘措施，降尘率可达70%以上，则转载、装卸粉尘排放量约为0.023t/a，0.002g/s属无组织排放。</w:t>
            </w:r>
          </w:p>
          <w:p w14:paraId="41B35EFA">
            <w:pPr>
              <w:ind w:firstLine="480"/>
              <w:rPr>
                <w:rFonts w:cs="Times New Roman"/>
                <w:lang w:val="zh-CN"/>
              </w:rPr>
            </w:pPr>
            <w:r>
              <w:rPr>
                <w:rFonts w:cs="Times New Roman"/>
                <w:lang w:val="zh-CN"/>
              </w:rPr>
              <w:t>（7）项目食堂油烟</w:t>
            </w:r>
          </w:p>
          <w:p w14:paraId="089B75DE">
            <w:pPr>
              <w:ind w:firstLine="480"/>
              <w:rPr>
                <w:rFonts w:cs="Times New Roman"/>
                <w:lang w:val="zh-CN"/>
              </w:rPr>
            </w:pPr>
            <w:r>
              <w:rPr>
                <w:rFonts w:cs="Times New Roman"/>
              </w:rPr>
              <w:t>项目员工共40人，人均食用油日用量约30g/（人·d），一般油烟挥发量占总耗油量的2~4%，本报告按经验数值3%核算，每天的平均热加工时间为5h，项目区拟设置小型油烟净化器（风机风量为3000m</w:t>
            </w:r>
            <w:r>
              <w:rPr>
                <w:rFonts w:cs="Times New Roman"/>
                <w:vertAlign w:val="superscript"/>
              </w:rPr>
              <w:t>3</w:t>
            </w:r>
            <w:r>
              <w:rPr>
                <w:rFonts w:cs="Times New Roman"/>
              </w:rPr>
              <w:t>/h）处理油烟，油烟产生量为0.01t/a，2.22mg/m</w:t>
            </w:r>
            <w:r>
              <w:rPr>
                <w:rFonts w:cs="Times New Roman"/>
                <w:vertAlign w:val="superscript"/>
              </w:rPr>
              <w:t>3</w:t>
            </w:r>
            <w:r>
              <w:rPr>
                <w:rFonts w:cs="Times New Roman"/>
              </w:rPr>
              <w:t>，经处理后厨房油烟排放量为0.004t/a，0.89mg/m</w:t>
            </w:r>
            <w:r>
              <w:rPr>
                <w:rFonts w:cs="Times New Roman"/>
                <w:vertAlign w:val="superscript"/>
              </w:rPr>
              <w:t>3</w:t>
            </w:r>
            <w:r>
              <w:rPr>
                <w:rFonts w:cs="Times New Roman"/>
              </w:rPr>
              <w:t>。</w:t>
            </w:r>
          </w:p>
          <w:p w14:paraId="51F71917">
            <w:pPr>
              <w:ind w:firstLine="480"/>
              <w:rPr>
                <w:rFonts w:cs="Times New Roman"/>
                <w:lang w:val="zh-CN"/>
              </w:rPr>
            </w:pPr>
            <w:r>
              <w:rPr>
                <w:rFonts w:cs="Times New Roman"/>
                <w:lang w:val="zh-CN"/>
              </w:rPr>
              <w:t>（8）项目废气产排情况小结</w:t>
            </w:r>
          </w:p>
          <w:p w14:paraId="14927CF0">
            <w:pPr>
              <w:ind w:firstLine="480"/>
              <w:rPr>
                <w:rFonts w:cs="Times New Roman"/>
              </w:rPr>
            </w:pPr>
            <w:r>
              <w:rPr>
                <w:rFonts w:cs="Times New Roman"/>
              </w:rPr>
              <w:t>项目运营期废气产排情况及治理措施详见表5-4。</w:t>
            </w:r>
          </w:p>
          <w:p w14:paraId="5F180521">
            <w:pPr>
              <w:pStyle w:val="31"/>
              <w:rPr>
                <w:rFonts w:cs="Times New Roman"/>
              </w:rPr>
            </w:pPr>
            <w:r>
              <w:rPr>
                <w:rFonts w:cs="Times New Roman"/>
              </w:rPr>
              <w:t>表5-4  项目区废气产排情况汇总表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26"/>
              <w:gridCol w:w="976"/>
              <w:gridCol w:w="1331"/>
              <w:gridCol w:w="1144"/>
              <w:gridCol w:w="992"/>
              <w:gridCol w:w="2297"/>
              <w:gridCol w:w="1062"/>
              <w:gridCol w:w="1060"/>
            </w:tblGrid>
            <w:tr w14:paraId="3563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1" w:type="dxa"/>
                  <w:gridSpan w:val="3"/>
                  <w:vMerge w:val="restart"/>
                  <w:vAlign w:val="center"/>
                </w:tcPr>
                <w:p w14:paraId="72882A9E">
                  <w:pPr>
                    <w:pStyle w:val="52"/>
                    <w:rPr>
                      <w:color w:val="auto"/>
                    </w:rPr>
                  </w:pPr>
                  <w:r>
                    <w:rPr>
                      <w:color w:val="auto"/>
                    </w:rPr>
                    <w:t>污染源</w:t>
                  </w:r>
                </w:p>
              </w:tc>
              <w:tc>
                <w:tcPr>
                  <w:tcW w:w="1331" w:type="dxa"/>
                  <w:vMerge w:val="restart"/>
                  <w:vAlign w:val="center"/>
                </w:tcPr>
                <w:p w14:paraId="35B8D195">
                  <w:pPr>
                    <w:pStyle w:val="52"/>
                    <w:rPr>
                      <w:color w:val="auto"/>
                    </w:rPr>
                  </w:pPr>
                  <w:r>
                    <w:rPr>
                      <w:color w:val="auto"/>
                    </w:rPr>
                    <w:t>污染物</w:t>
                  </w:r>
                </w:p>
              </w:tc>
              <w:tc>
                <w:tcPr>
                  <w:tcW w:w="2136" w:type="dxa"/>
                  <w:gridSpan w:val="2"/>
                  <w:vAlign w:val="center"/>
                </w:tcPr>
                <w:p w14:paraId="5DCA4786">
                  <w:pPr>
                    <w:pStyle w:val="52"/>
                    <w:rPr>
                      <w:color w:val="auto"/>
                    </w:rPr>
                  </w:pPr>
                  <w:r>
                    <w:rPr>
                      <w:color w:val="auto"/>
                    </w:rPr>
                    <w:t>治理前</w:t>
                  </w:r>
                </w:p>
              </w:tc>
              <w:tc>
                <w:tcPr>
                  <w:tcW w:w="2297" w:type="dxa"/>
                  <w:vMerge w:val="restart"/>
                  <w:vAlign w:val="center"/>
                </w:tcPr>
                <w:p w14:paraId="5B23B2C3">
                  <w:pPr>
                    <w:pStyle w:val="52"/>
                    <w:rPr>
                      <w:color w:val="auto"/>
                    </w:rPr>
                  </w:pPr>
                  <w:r>
                    <w:rPr>
                      <w:color w:val="auto"/>
                    </w:rPr>
                    <w:t>治理措施</w:t>
                  </w:r>
                </w:p>
              </w:tc>
              <w:tc>
                <w:tcPr>
                  <w:tcW w:w="2122" w:type="dxa"/>
                  <w:gridSpan w:val="2"/>
                  <w:vAlign w:val="center"/>
                </w:tcPr>
                <w:p w14:paraId="4C8FE3AC">
                  <w:pPr>
                    <w:pStyle w:val="52"/>
                    <w:rPr>
                      <w:color w:val="auto"/>
                    </w:rPr>
                  </w:pPr>
                  <w:r>
                    <w:rPr>
                      <w:color w:val="auto"/>
                    </w:rPr>
                    <w:t>治理后</w:t>
                  </w:r>
                </w:p>
              </w:tc>
            </w:tr>
            <w:tr w14:paraId="479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1" w:type="dxa"/>
                  <w:gridSpan w:val="3"/>
                  <w:vMerge w:val="continue"/>
                  <w:vAlign w:val="center"/>
                </w:tcPr>
                <w:p w14:paraId="48F8CFED">
                  <w:pPr>
                    <w:pStyle w:val="52"/>
                    <w:rPr>
                      <w:color w:val="auto"/>
                    </w:rPr>
                  </w:pPr>
                </w:p>
              </w:tc>
              <w:tc>
                <w:tcPr>
                  <w:tcW w:w="1331" w:type="dxa"/>
                  <w:vMerge w:val="continue"/>
                  <w:vAlign w:val="center"/>
                </w:tcPr>
                <w:p w14:paraId="1C220F2D">
                  <w:pPr>
                    <w:pStyle w:val="52"/>
                    <w:rPr>
                      <w:color w:val="auto"/>
                    </w:rPr>
                  </w:pPr>
                </w:p>
              </w:tc>
              <w:tc>
                <w:tcPr>
                  <w:tcW w:w="1144" w:type="dxa"/>
                  <w:vAlign w:val="center"/>
                </w:tcPr>
                <w:p w14:paraId="4C2415EA">
                  <w:pPr>
                    <w:pStyle w:val="52"/>
                    <w:rPr>
                      <w:color w:val="auto"/>
                    </w:rPr>
                  </w:pPr>
                  <w:r>
                    <w:rPr>
                      <w:color w:val="auto"/>
                    </w:rPr>
                    <w:t>产生速率(g/s)</w:t>
                  </w:r>
                </w:p>
              </w:tc>
              <w:tc>
                <w:tcPr>
                  <w:tcW w:w="992" w:type="dxa"/>
                  <w:vAlign w:val="center"/>
                </w:tcPr>
                <w:p w14:paraId="2C78B376">
                  <w:pPr>
                    <w:pStyle w:val="52"/>
                    <w:rPr>
                      <w:color w:val="auto"/>
                    </w:rPr>
                  </w:pPr>
                  <w:r>
                    <w:rPr>
                      <w:color w:val="auto"/>
                    </w:rPr>
                    <w:t>年产生量(t/a)</w:t>
                  </w:r>
                </w:p>
              </w:tc>
              <w:tc>
                <w:tcPr>
                  <w:tcW w:w="2297" w:type="dxa"/>
                  <w:vMerge w:val="continue"/>
                  <w:vAlign w:val="center"/>
                </w:tcPr>
                <w:p w14:paraId="596CA28A">
                  <w:pPr>
                    <w:pStyle w:val="52"/>
                    <w:rPr>
                      <w:color w:val="auto"/>
                    </w:rPr>
                  </w:pPr>
                </w:p>
              </w:tc>
              <w:tc>
                <w:tcPr>
                  <w:tcW w:w="1062" w:type="dxa"/>
                  <w:vAlign w:val="center"/>
                </w:tcPr>
                <w:p w14:paraId="312E5FC0">
                  <w:pPr>
                    <w:pStyle w:val="52"/>
                    <w:rPr>
                      <w:color w:val="auto"/>
                    </w:rPr>
                  </w:pPr>
                  <w:r>
                    <w:rPr>
                      <w:color w:val="auto"/>
                    </w:rPr>
                    <w:t>排放速率(g/s)</w:t>
                  </w:r>
                </w:p>
              </w:tc>
              <w:tc>
                <w:tcPr>
                  <w:tcW w:w="1060" w:type="dxa"/>
                  <w:vAlign w:val="center"/>
                </w:tcPr>
                <w:p w14:paraId="6ED359FF">
                  <w:pPr>
                    <w:pStyle w:val="52"/>
                    <w:rPr>
                      <w:color w:val="auto"/>
                    </w:rPr>
                  </w:pPr>
                  <w:r>
                    <w:rPr>
                      <w:color w:val="auto"/>
                    </w:rPr>
                    <w:t>年排放量(t/a)</w:t>
                  </w:r>
                </w:p>
              </w:tc>
            </w:tr>
            <w:tr w14:paraId="672D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75761F69">
                  <w:pPr>
                    <w:pStyle w:val="52"/>
                    <w:rPr>
                      <w:color w:val="auto"/>
                    </w:rPr>
                  </w:pPr>
                  <w:r>
                    <w:rPr>
                      <w:color w:val="auto"/>
                    </w:rPr>
                    <w:t>1</w:t>
                  </w:r>
                </w:p>
              </w:tc>
              <w:tc>
                <w:tcPr>
                  <w:tcW w:w="1402" w:type="dxa"/>
                  <w:gridSpan w:val="2"/>
                  <w:vAlign w:val="center"/>
                </w:tcPr>
                <w:p w14:paraId="77B43FEF">
                  <w:pPr>
                    <w:pStyle w:val="52"/>
                    <w:rPr>
                      <w:color w:val="auto"/>
                    </w:rPr>
                  </w:pPr>
                  <w:r>
                    <w:rPr>
                      <w:color w:val="auto"/>
                    </w:rPr>
                    <w:t>采场工作面</w:t>
                  </w:r>
                </w:p>
              </w:tc>
              <w:tc>
                <w:tcPr>
                  <w:tcW w:w="1331" w:type="dxa"/>
                  <w:vAlign w:val="center"/>
                </w:tcPr>
                <w:p w14:paraId="170699E9">
                  <w:pPr>
                    <w:pStyle w:val="52"/>
                    <w:rPr>
                      <w:color w:val="auto"/>
                    </w:rPr>
                  </w:pPr>
                  <w:r>
                    <w:rPr>
                      <w:color w:val="auto"/>
                    </w:rPr>
                    <w:t>无组织粉尘</w:t>
                  </w:r>
                </w:p>
              </w:tc>
              <w:tc>
                <w:tcPr>
                  <w:tcW w:w="1144" w:type="dxa"/>
                  <w:vAlign w:val="center"/>
                </w:tcPr>
                <w:p w14:paraId="13A517FB">
                  <w:pPr>
                    <w:pStyle w:val="52"/>
                    <w:rPr>
                      <w:color w:val="auto"/>
                    </w:rPr>
                  </w:pPr>
                  <w:r>
                    <w:rPr>
                      <w:color w:val="auto"/>
                    </w:rPr>
                    <w:t>0.24</w:t>
                  </w:r>
                </w:p>
              </w:tc>
              <w:tc>
                <w:tcPr>
                  <w:tcW w:w="992" w:type="dxa"/>
                  <w:vAlign w:val="center"/>
                </w:tcPr>
                <w:p w14:paraId="4D31ABE8">
                  <w:pPr>
                    <w:pStyle w:val="52"/>
                    <w:rPr>
                      <w:color w:val="auto"/>
                    </w:rPr>
                  </w:pPr>
                  <w:r>
                    <w:rPr>
                      <w:color w:val="auto"/>
                    </w:rPr>
                    <w:t>6.125</w:t>
                  </w:r>
                </w:p>
              </w:tc>
              <w:tc>
                <w:tcPr>
                  <w:tcW w:w="2297" w:type="dxa"/>
                  <w:vAlign w:val="center"/>
                </w:tcPr>
                <w:p w14:paraId="1E99AF58">
                  <w:pPr>
                    <w:pStyle w:val="52"/>
                    <w:rPr>
                      <w:color w:val="auto"/>
                    </w:rPr>
                  </w:pPr>
                  <w:r>
                    <w:rPr>
                      <w:color w:val="auto"/>
                    </w:rPr>
                    <w:t>控制爆破洒水降尘</w:t>
                  </w:r>
                </w:p>
              </w:tc>
              <w:tc>
                <w:tcPr>
                  <w:tcW w:w="1062" w:type="dxa"/>
                  <w:vAlign w:val="center"/>
                </w:tcPr>
                <w:p w14:paraId="6913D632">
                  <w:pPr>
                    <w:pStyle w:val="52"/>
                    <w:rPr>
                      <w:color w:val="auto"/>
                    </w:rPr>
                  </w:pPr>
                  <w:r>
                    <w:rPr>
                      <w:color w:val="auto"/>
                    </w:rPr>
                    <w:t>0.072</w:t>
                  </w:r>
                </w:p>
              </w:tc>
              <w:tc>
                <w:tcPr>
                  <w:tcW w:w="1060" w:type="dxa"/>
                  <w:vAlign w:val="center"/>
                </w:tcPr>
                <w:p w14:paraId="123520CE">
                  <w:pPr>
                    <w:pStyle w:val="52"/>
                    <w:rPr>
                      <w:color w:val="auto"/>
                    </w:rPr>
                  </w:pPr>
                  <w:r>
                    <w:rPr>
                      <w:color w:val="auto"/>
                    </w:rPr>
                    <w:t>1.838</w:t>
                  </w:r>
                </w:p>
              </w:tc>
            </w:tr>
            <w:tr w14:paraId="3D20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6AE8C30A">
                  <w:pPr>
                    <w:pStyle w:val="52"/>
                    <w:rPr>
                      <w:color w:val="auto"/>
                    </w:rPr>
                  </w:pPr>
                  <w:r>
                    <w:rPr>
                      <w:color w:val="auto"/>
                    </w:rPr>
                    <w:t>2</w:t>
                  </w:r>
                </w:p>
              </w:tc>
              <w:tc>
                <w:tcPr>
                  <w:tcW w:w="1402" w:type="dxa"/>
                  <w:gridSpan w:val="2"/>
                  <w:vAlign w:val="center"/>
                </w:tcPr>
                <w:p w14:paraId="1897DD2F">
                  <w:pPr>
                    <w:pStyle w:val="52"/>
                    <w:rPr>
                      <w:color w:val="auto"/>
                    </w:rPr>
                  </w:pPr>
                  <w:r>
                    <w:rPr>
                      <w:color w:val="auto"/>
                    </w:rPr>
                    <w:t>机械设备</w:t>
                  </w:r>
                </w:p>
              </w:tc>
              <w:tc>
                <w:tcPr>
                  <w:tcW w:w="1331" w:type="dxa"/>
                  <w:vAlign w:val="center"/>
                </w:tcPr>
                <w:p w14:paraId="45282842">
                  <w:pPr>
                    <w:pStyle w:val="52"/>
                    <w:rPr>
                      <w:color w:val="auto"/>
                    </w:rPr>
                  </w:pPr>
                  <w:r>
                    <w:rPr>
                      <w:color w:val="auto"/>
                    </w:rPr>
                    <w:t>无组织烟尘</w:t>
                  </w:r>
                </w:p>
              </w:tc>
              <w:tc>
                <w:tcPr>
                  <w:tcW w:w="1144" w:type="dxa"/>
                  <w:vAlign w:val="center"/>
                </w:tcPr>
                <w:p w14:paraId="3DD7ED7E">
                  <w:pPr>
                    <w:pStyle w:val="52"/>
                    <w:rPr>
                      <w:color w:val="auto"/>
                    </w:rPr>
                  </w:pPr>
                  <w:r>
                    <w:rPr>
                      <w:color w:val="auto"/>
                    </w:rPr>
                    <w:t>0.014</w:t>
                  </w:r>
                </w:p>
              </w:tc>
              <w:tc>
                <w:tcPr>
                  <w:tcW w:w="992" w:type="dxa"/>
                  <w:vAlign w:val="center"/>
                </w:tcPr>
                <w:p w14:paraId="2205457A">
                  <w:pPr>
                    <w:pStyle w:val="52"/>
                    <w:rPr>
                      <w:color w:val="auto"/>
                    </w:rPr>
                  </w:pPr>
                  <w:r>
                    <w:rPr>
                      <w:color w:val="auto"/>
                    </w:rPr>
                    <w:t>0.152</w:t>
                  </w:r>
                </w:p>
              </w:tc>
              <w:tc>
                <w:tcPr>
                  <w:tcW w:w="2297" w:type="dxa"/>
                  <w:vAlign w:val="center"/>
                </w:tcPr>
                <w:p w14:paraId="62B7194D">
                  <w:pPr>
                    <w:pStyle w:val="52"/>
                    <w:rPr>
                      <w:color w:val="auto"/>
                    </w:rPr>
                  </w:pPr>
                  <w:r>
                    <w:rPr>
                      <w:color w:val="auto"/>
                    </w:rPr>
                    <w:t>/</w:t>
                  </w:r>
                </w:p>
              </w:tc>
              <w:tc>
                <w:tcPr>
                  <w:tcW w:w="1062" w:type="dxa"/>
                  <w:vAlign w:val="center"/>
                </w:tcPr>
                <w:p w14:paraId="22AE1F95">
                  <w:pPr>
                    <w:pStyle w:val="52"/>
                    <w:rPr>
                      <w:color w:val="auto"/>
                    </w:rPr>
                  </w:pPr>
                  <w:r>
                    <w:rPr>
                      <w:color w:val="auto"/>
                    </w:rPr>
                    <w:t>0.005</w:t>
                  </w:r>
                </w:p>
              </w:tc>
              <w:tc>
                <w:tcPr>
                  <w:tcW w:w="1060" w:type="dxa"/>
                  <w:vAlign w:val="center"/>
                </w:tcPr>
                <w:p w14:paraId="2119F135">
                  <w:pPr>
                    <w:pStyle w:val="52"/>
                    <w:rPr>
                      <w:color w:val="auto"/>
                    </w:rPr>
                  </w:pPr>
                  <w:r>
                    <w:rPr>
                      <w:color w:val="auto"/>
                    </w:rPr>
                    <w:t>0.152</w:t>
                  </w:r>
                </w:p>
              </w:tc>
            </w:tr>
            <w:tr w14:paraId="41E2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Merge w:val="restart"/>
                  <w:vAlign w:val="center"/>
                </w:tcPr>
                <w:p w14:paraId="7EBF489C">
                  <w:pPr>
                    <w:pStyle w:val="52"/>
                    <w:rPr>
                      <w:color w:val="auto"/>
                    </w:rPr>
                  </w:pPr>
                  <w:r>
                    <w:rPr>
                      <w:color w:val="auto"/>
                    </w:rPr>
                    <w:t>3</w:t>
                  </w:r>
                </w:p>
              </w:tc>
              <w:tc>
                <w:tcPr>
                  <w:tcW w:w="426" w:type="dxa"/>
                  <w:vMerge w:val="restart"/>
                  <w:vAlign w:val="center"/>
                </w:tcPr>
                <w:p w14:paraId="48CD0DF1">
                  <w:pPr>
                    <w:pStyle w:val="52"/>
                    <w:rPr>
                      <w:color w:val="auto"/>
                    </w:rPr>
                  </w:pPr>
                  <w:r>
                    <w:rPr>
                      <w:color w:val="auto"/>
                    </w:rPr>
                    <w:t>堆场</w:t>
                  </w:r>
                </w:p>
              </w:tc>
              <w:tc>
                <w:tcPr>
                  <w:tcW w:w="976" w:type="dxa"/>
                  <w:vAlign w:val="center"/>
                </w:tcPr>
                <w:p w14:paraId="38D4C803">
                  <w:pPr>
                    <w:pStyle w:val="52"/>
                    <w:rPr>
                      <w:color w:val="auto"/>
                    </w:rPr>
                  </w:pPr>
                  <w:r>
                    <w:rPr>
                      <w:color w:val="auto"/>
                    </w:rPr>
                    <w:t>堆料场</w:t>
                  </w:r>
                </w:p>
              </w:tc>
              <w:tc>
                <w:tcPr>
                  <w:tcW w:w="1331" w:type="dxa"/>
                  <w:vAlign w:val="center"/>
                </w:tcPr>
                <w:p w14:paraId="2A1A267C">
                  <w:pPr>
                    <w:pStyle w:val="52"/>
                    <w:rPr>
                      <w:color w:val="auto"/>
                    </w:rPr>
                  </w:pPr>
                  <w:r>
                    <w:rPr>
                      <w:color w:val="auto"/>
                    </w:rPr>
                    <w:t>无组织粉尘</w:t>
                  </w:r>
                </w:p>
              </w:tc>
              <w:tc>
                <w:tcPr>
                  <w:tcW w:w="1144" w:type="dxa"/>
                  <w:vAlign w:val="center"/>
                </w:tcPr>
                <w:p w14:paraId="61932062">
                  <w:pPr>
                    <w:pStyle w:val="52"/>
                    <w:rPr>
                      <w:color w:val="auto"/>
                    </w:rPr>
                  </w:pPr>
                  <w:r>
                    <w:rPr>
                      <w:color w:val="auto"/>
                    </w:rPr>
                    <w:t>0.0038</w:t>
                  </w:r>
                </w:p>
              </w:tc>
              <w:tc>
                <w:tcPr>
                  <w:tcW w:w="992" w:type="dxa"/>
                  <w:vAlign w:val="center"/>
                </w:tcPr>
                <w:p w14:paraId="11F2BB4A">
                  <w:pPr>
                    <w:pStyle w:val="52"/>
                    <w:rPr>
                      <w:color w:val="auto"/>
                    </w:rPr>
                  </w:pPr>
                  <w:r>
                    <w:rPr>
                      <w:color w:val="auto"/>
                    </w:rPr>
                    <w:t>0.041</w:t>
                  </w:r>
                </w:p>
              </w:tc>
              <w:tc>
                <w:tcPr>
                  <w:tcW w:w="2297" w:type="dxa"/>
                  <w:vAlign w:val="center"/>
                </w:tcPr>
                <w:p w14:paraId="58C73A9C">
                  <w:pPr>
                    <w:pStyle w:val="52"/>
                    <w:rPr>
                      <w:color w:val="auto"/>
                    </w:rPr>
                  </w:pPr>
                  <w:r>
                    <w:rPr>
                      <w:color w:val="auto"/>
                      <w:szCs w:val="32"/>
                    </w:rPr>
                    <w:t>苫布临时覆盖，洒水降尘</w:t>
                  </w:r>
                </w:p>
              </w:tc>
              <w:tc>
                <w:tcPr>
                  <w:tcW w:w="1062" w:type="dxa"/>
                  <w:vAlign w:val="center"/>
                </w:tcPr>
                <w:p w14:paraId="788F85EF">
                  <w:pPr>
                    <w:pStyle w:val="52"/>
                    <w:rPr>
                      <w:color w:val="auto"/>
                    </w:rPr>
                  </w:pPr>
                  <w:r>
                    <w:rPr>
                      <w:color w:val="auto"/>
                    </w:rPr>
                    <w:t>0.0005</w:t>
                  </w:r>
                </w:p>
              </w:tc>
              <w:tc>
                <w:tcPr>
                  <w:tcW w:w="1060" w:type="dxa"/>
                  <w:vAlign w:val="center"/>
                </w:tcPr>
                <w:p w14:paraId="51F798D7">
                  <w:pPr>
                    <w:pStyle w:val="52"/>
                    <w:rPr>
                      <w:color w:val="auto"/>
                    </w:rPr>
                  </w:pPr>
                  <w:r>
                    <w:rPr>
                      <w:color w:val="auto"/>
                    </w:rPr>
                    <w:t>0.0123</w:t>
                  </w:r>
                </w:p>
              </w:tc>
            </w:tr>
            <w:tr w14:paraId="3472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Merge w:val="continue"/>
                  <w:vAlign w:val="center"/>
                </w:tcPr>
                <w:p w14:paraId="4138DD8D">
                  <w:pPr>
                    <w:pStyle w:val="52"/>
                    <w:rPr>
                      <w:color w:val="auto"/>
                    </w:rPr>
                  </w:pPr>
                </w:p>
              </w:tc>
              <w:tc>
                <w:tcPr>
                  <w:tcW w:w="426" w:type="dxa"/>
                  <w:vMerge w:val="continue"/>
                  <w:vAlign w:val="center"/>
                </w:tcPr>
                <w:p w14:paraId="25C0CB93">
                  <w:pPr>
                    <w:pStyle w:val="52"/>
                    <w:rPr>
                      <w:color w:val="auto"/>
                    </w:rPr>
                  </w:pPr>
                </w:p>
              </w:tc>
              <w:tc>
                <w:tcPr>
                  <w:tcW w:w="976" w:type="dxa"/>
                  <w:vAlign w:val="center"/>
                </w:tcPr>
                <w:p w14:paraId="4FB5138A">
                  <w:pPr>
                    <w:pStyle w:val="52"/>
                    <w:rPr>
                      <w:color w:val="auto"/>
                    </w:rPr>
                  </w:pPr>
                  <w:r>
                    <w:rPr>
                      <w:color w:val="auto"/>
                    </w:rPr>
                    <w:t>弃渣场</w:t>
                  </w:r>
                </w:p>
              </w:tc>
              <w:tc>
                <w:tcPr>
                  <w:tcW w:w="1331" w:type="dxa"/>
                  <w:vAlign w:val="center"/>
                </w:tcPr>
                <w:p w14:paraId="022FF4CE">
                  <w:pPr>
                    <w:pStyle w:val="52"/>
                    <w:rPr>
                      <w:color w:val="auto"/>
                    </w:rPr>
                  </w:pPr>
                  <w:r>
                    <w:rPr>
                      <w:color w:val="auto"/>
                    </w:rPr>
                    <w:t>无组织粉尘</w:t>
                  </w:r>
                </w:p>
              </w:tc>
              <w:tc>
                <w:tcPr>
                  <w:tcW w:w="1144" w:type="dxa"/>
                  <w:vAlign w:val="center"/>
                </w:tcPr>
                <w:p w14:paraId="1C767E5A">
                  <w:pPr>
                    <w:pStyle w:val="52"/>
                    <w:rPr>
                      <w:color w:val="auto"/>
                    </w:rPr>
                  </w:pPr>
                  <w:r>
                    <w:rPr>
                      <w:color w:val="auto"/>
                    </w:rPr>
                    <w:t>0.0228</w:t>
                  </w:r>
                </w:p>
              </w:tc>
              <w:tc>
                <w:tcPr>
                  <w:tcW w:w="992" w:type="dxa"/>
                  <w:vAlign w:val="center"/>
                </w:tcPr>
                <w:p w14:paraId="0436216B">
                  <w:pPr>
                    <w:pStyle w:val="52"/>
                    <w:rPr>
                      <w:color w:val="auto"/>
                    </w:rPr>
                  </w:pPr>
                  <w:r>
                    <w:rPr>
                      <w:color w:val="auto"/>
                    </w:rPr>
                    <w:t>0.246</w:t>
                  </w:r>
                </w:p>
              </w:tc>
              <w:tc>
                <w:tcPr>
                  <w:tcW w:w="2297" w:type="dxa"/>
                  <w:vAlign w:val="center"/>
                </w:tcPr>
                <w:p w14:paraId="3D39B9EF">
                  <w:pPr>
                    <w:pStyle w:val="52"/>
                    <w:rPr>
                      <w:color w:val="auto"/>
                    </w:rPr>
                  </w:pPr>
                  <w:r>
                    <w:rPr>
                      <w:color w:val="auto"/>
                      <w:szCs w:val="32"/>
                    </w:rPr>
                    <w:t>洒水降尘</w:t>
                  </w:r>
                </w:p>
              </w:tc>
              <w:tc>
                <w:tcPr>
                  <w:tcW w:w="1062" w:type="dxa"/>
                  <w:vAlign w:val="center"/>
                </w:tcPr>
                <w:p w14:paraId="04CD0A07">
                  <w:pPr>
                    <w:pStyle w:val="52"/>
                    <w:rPr>
                      <w:color w:val="auto"/>
                    </w:rPr>
                  </w:pPr>
                  <w:r>
                    <w:rPr>
                      <w:color w:val="auto"/>
                    </w:rPr>
                    <w:t>0.0028</w:t>
                  </w:r>
                </w:p>
              </w:tc>
              <w:tc>
                <w:tcPr>
                  <w:tcW w:w="1060" w:type="dxa"/>
                  <w:vAlign w:val="center"/>
                </w:tcPr>
                <w:p w14:paraId="44BFE773">
                  <w:pPr>
                    <w:pStyle w:val="52"/>
                    <w:rPr>
                      <w:color w:val="auto"/>
                    </w:rPr>
                  </w:pPr>
                  <w:r>
                    <w:rPr>
                      <w:color w:val="auto"/>
                    </w:rPr>
                    <w:t>0.074</w:t>
                  </w:r>
                </w:p>
              </w:tc>
            </w:tr>
            <w:tr w14:paraId="17BC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43B141D1">
                  <w:pPr>
                    <w:pStyle w:val="52"/>
                    <w:rPr>
                      <w:color w:val="auto"/>
                    </w:rPr>
                  </w:pPr>
                  <w:r>
                    <w:rPr>
                      <w:color w:val="auto"/>
                    </w:rPr>
                    <w:t>4</w:t>
                  </w:r>
                </w:p>
              </w:tc>
              <w:tc>
                <w:tcPr>
                  <w:tcW w:w="1402" w:type="dxa"/>
                  <w:gridSpan w:val="2"/>
                  <w:vAlign w:val="center"/>
                </w:tcPr>
                <w:p w14:paraId="44436C5D">
                  <w:pPr>
                    <w:pStyle w:val="52"/>
                    <w:rPr>
                      <w:color w:val="auto"/>
                    </w:rPr>
                  </w:pPr>
                  <w:r>
                    <w:rPr>
                      <w:color w:val="auto"/>
                    </w:rPr>
                    <w:t>运输道路</w:t>
                  </w:r>
                </w:p>
              </w:tc>
              <w:tc>
                <w:tcPr>
                  <w:tcW w:w="1331" w:type="dxa"/>
                  <w:vAlign w:val="center"/>
                </w:tcPr>
                <w:p w14:paraId="369FD96D">
                  <w:pPr>
                    <w:pStyle w:val="52"/>
                    <w:rPr>
                      <w:color w:val="auto"/>
                    </w:rPr>
                  </w:pPr>
                  <w:r>
                    <w:rPr>
                      <w:color w:val="auto"/>
                    </w:rPr>
                    <w:t>无组织粉尘</w:t>
                  </w:r>
                </w:p>
              </w:tc>
              <w:tc>
                <w:tcPr>
                  <w:tcW w:w="1144" w:type="dxa"/>
                  <w:vAlign w:val="center"/>
                </w:tcPr>
                <w:p w14:paraId="35D18703">
                  <w:pPr>
                    <w:pStyle w:val="52"/>
                    <w:rPr>
                      <w:color w:val="auto"/>
                    </w:rPr>
                  </w:pPr>
                  <w:r>
                    <w:rPr>
                      <w:color w:val="auto"/>
                    </w:rPr>
                    <w:t>2.833</w:t>
                  </w:r>
                </w:p>
              </w:tc>
              <w:tc>
                <w:tcPr>
                  <w:tcW w:w="992" w:type="dxa"/>
                  <w:vAlign w:val="center"/>
                </w:tcPr>
                <w:p w14:paraId="0AD8FDE5">
                  <w:pPr>
                    <w:pStyle w:val="52"/>
                    <w:rPr>
                      <w:color w:val="auto"/>
                    </w:rPr>
                  </w:pPr>
                  <w:r>
                    <w:rPr>
                      <w:color w:val="auto"/>
                    </w:rPr>
                    <w:t>30.6</w:t>
                  </w:r>
                </w:p>
              </w:tc>
              <w:tc>
                <w:tcPr>
                  <w:tcW w:w="2297" w:type="dxa"/>
                  <w:vAlign w:val="center"/>
                </w:tcPr>
                <w:p w14:paraId="1418F692">
                  <w:pPr>
                    <w:pStyle w:val="52"/>
                    <w:rPr>
                      <w:color w:val="auto"/>
                    </w:rPr>
                  </w:pPr>
                  <w:r>
                    <w:rPr>
                      <w:color w:val="auto"/>
                    </w:rPr>
                    <w:t>洒水降尘</w:t>
                  </w:r>
                </w:p>
              </w:tc>
              <w:tc>
                <w:tcPr>
                  <w:tcW w:w="1062" w:type="dxa"/>
                  <w:vAlign w:val="center"/>
                </w:tcPr>
                <w:p w14:paraId="0F53F93B">
                  <w:pPr>
                    <w:pStyle w:val="52"/>
                    <w:rPr>
                      <w:color w:val="auto"/>
                    </w:rPr>
                  </w:pPr>
                  <w:r>
                    <w:rPr>
                      <w:color w:val="auto"/>
                    </w:rPr>
                    <w:t>0.354</w:t>
                  </w:r>
                </w:p>
              </w:tc>
              <w:tc>
                <w:tcPr>
                  <w:tcW w:w="1060" w:type="dxa"/>
                  <w:vAlign w:val="center"/>
                </w:tcPr>
                <w:p w14:paraId="65360B23">
                  <w:pPr>
                    <w:pStyle w:val="52"/>
                    <w:rPr>
                      <w:color w:val="auto"/>
                    </w:rPr>
                  </w:pPr>
                  <w:r>
                    <w:rPr>
                      <w:color w:val="auto"/>
                    </w:rPr>
                    <w:t>9.18</w:t>
                  </w:r>
                </w:p>
              </w:tc>
            </w:tr>
            <w:tr w14:paraId="4438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742F1DAA">
                  <w:pPr>
                    <w:pStyle w:val="52"/>
                    <w:rPr>
                      <w:color w:val="auto"/>
                    </w:rPr>
                  </w:pPr>
                  <w:r>
                    <w:rPr>
                      <w:color w:val="auto"/>
                    </w:rPr>
                    <w:t>5</w:t>
                  </w:r>
                </w:p>
              </w:tc>
              <w:tc>
                <w:tcPr>
                  <w:tcW w:w="1402" w:type="dxa"/>
                  <w:gridSpan w:val="2"/>
                  <w:vAlign w:val="center"/>
                </w:tcPr>
                <w:p w14:paraId="26B9DA24">
                  <w:pPr>
                    <w:pStyle w:val="52"/>
                    <w:rPr>
                      <w:color w:val="auto"/>
                    </w:rPr>
                  </w:pPr>
                  <w:r>
                    <w:rPr>
                      <w:color w:val="auto"/>
                    </w:rPr>
                    <w:t>破碎、筛分粉尘</w:t>
                  </w:r>
                </w:p>
              </w:tc>
              <w:tc>
                <w:tcPr>
                  <w:tcW w:w="1331" w:type="dxa"/>
                  <w:vAlign w:val="center"/>
                </w:tcPr>
                <w:p w14:paraId="58136E63">
                  <w:pPr>
                    <w:pStyle w:val="52"/>
                    <w:rPr>
                      <w:color w:val="auto"/>
                    </w:rPr>
                  </w:pPr>
                  <w:r>
                    <w:rPr>
                      <w:color w:val="auto"/>
                    </w:rPr>
                    <w:t>无组织粉尘</w:t>
                  </w:r>
                </w:p>
              </w:tc>
              <w:tc>
                <w:tcPr>
                  <w:tcW w:w="1144" w:type="dxa"/>
                  <w:vAlign w:val="center"/>
                </w:tcPr>
                <w:p w14:paraId="2E1458FB">
                  <w:pPr>
                    <w:pStyle w:val="52"/>
                    <w:rPr>
                      <w:color w:val="auto"/>
                    </w:rPr>
                  </w:pPr>
                  <w:r>
                    <w:rPr>
                      <w:color w:val="auto"/>
                    </w:rPr>
                    <w:t>4.44</w:t>
                  </w:r>
                </w:p>
              </w:tc>
              <w:tc>
                <w:tcPr>
                  <w:tcW w:w="992" w:type="dxa"/>
                  <w:vAlign w:val="center"/>
                </w:tcPr>
                <w:p w14:paraId="64029451">
                  <w:pPr>
                    <w:pStyle w:val="52"/>
                    <w:rPr>
                      <w:color w:val="auto"/>
                    </w:rPr>
                  </w:pPr>
                  <w:r>
                    <w:rPr>
                      <w:color w:val="auto"/>
                    </w:rPr>
                    <w:t>47.95</w:t>
                  </w:r>
                </w:p>
              </w:tc>
              <w:tc>
                <w:tcPr>
                  <w:tcW w:w="2297" w:type="dxa"/>
                  <w:vAlign w:val="center"/>
                </w:tcPr>
                <w:p w14:paraId="24864C7B">
                  <w:pPr>
                    <w:pStyle w:val="52"/>
                    <w:rPr>
                      <w:color w:val="auto"/>
                    </w:rPr>
                  </w:pPr>
                  <w:r>
                    <w:rPr>
                      <w:color w:val="auto"/>
                    </w:rPr>
                    <w:t>一级破碎采用洒水除尘；</w:t>
                  </w:r>
                  <w:r>
                    <w:rPr>
                      <w:color w:val="auto"/>
                      <w:szCs w:val="32"/>
                    </w:rPr>
                    <w:t>破碎机下料口使用苫布遮盖；筛分机采用彩钢瓦棚半封闭，出料口用苫布遮挡</w:t>
                  </w:r>
                </w:p>
              </w:tc>
              <w:tc>
                <w:tcPr>
                  <w:tcW w:w="1062" w:type="dxa"/>
                  <w:vAlign w:val="center"/>
                </w:tcPr>
                <w:p w14:paraId="62E6D498">
                  <w:pPr>
                    <w:pStyle w:val="52"/>
                    <w:rPr>
                      <w:color w:val="auto"/>
                    </w:rPr>
                  </w:pPr>
                  <w:r>
                    <w:rPr>
                      <w:color w:val="auto"/>
                    </w:rPr>
                    <w:t>0.222</w:t>
                  </w:r>
                </w:p>
              </w:tc>
              <w:tc>
                <w:tcPr>
                  <w:tcW w:w="1060" w:type="dxa"/>
                  <w:vAlign w:val="center"/>
                </w:tcPr>
                <w:p w14:paraId="37989BB0">
                  <w:pPr>
                    <w:pStyle w:val="52"/>
                    <w:rPr>
                      <w:color w:val="auto"/>
                    </w:rPr>
                  </w:pPr>
                  <w:r>
                    <w:rPr>
                      <w:color w:val="auto"/>
                    </w:rPr>
                    <w:t>2.3976</w:t>
                  </w:r>
                </w:p>
              </w:tc>
            </w:tr>
            <w:tr w14:paraId="78AB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05E6D0E4">
                  <w:pPr>
                    <w:pStyle w:val="52"/>
                    <w:rPr>
                      <w:color w:val="auto"/>
                    </w:rPr>
                  </w:pPr>
                  <w:r>
                    <w:rPr>
                      <w:color w:val="auto"/>
                    </w:rPr>
                    <w:t>6</w:t>
                  </w:r>
                </w:p>
              </w:tc>
              <w:tc>
                <w:tcPr>
                  <w:tcW w:w="1402" w:type="dxa"/>
                  <w:gridSpan w:val="2"/>
                  <w:vAlign w:val="center"/>
                </w:tcPr>
                <w:p w14:paraId="0A1D4823">
                  <w:pPr>
                    <w:pStyle w:val="52"/>
                    <w:rPr>
                      <w:color w:val="auto"/>
                    </w:rPr>
                  </w:pPr>
                  <w:r>
                    <w:rPr>
                      <w:color w:val="auto"/>
                    </w:rPr>
                    <w:t>转载点、装卸扬尘</w:t>
                  </w:r>
                </w:p>
              </w:tc>
              <w:tc>
                <w:tcPr>
                  <w:tcW w:w="1331" w:type="dxa"/>
                  <w:vAlign w:val="center"/>
                </w:tcPr>
                <w:p w14:paraId="53813A15">
                  <w:pPr>
                    <w:pStyle w:val="52"/>
                    <w:rPr>
                      <w:color w:val="auto"/>
                    </w:rPr>
                  </w:pPr>
                  <w:r>
                    <w:rPr>
                      <w:color w:val="auto"/>
                    </w:rPr>
                    <w:t>无组织粉尘</w:t>
                  </w:r>
                </w:p>
              </w:tc>
              <w:tc>
                <w:tcPr>
                  <w:tcW w:w="1144" w:type="dxa"/>
                  <w:vAlign w:val="center"/>
                </w:tcPr>
                <w:p w14:paraId="56B32EBD">
                  <w:pPr>
                    <w:pStyle w:val="52"/>
                    <w:rPr>
                      <w:color w:val="auto"/>
                    </w:rPr>
                  </w:pPr>
                  <w:r>
                    <w:rPr>
                      <w:color w:val="auto"/>
                    </w:rPr>
                    <w:t>0.007</w:t>
                  </w:r>
                </w:p>
              </w:tc>
              <w:tc>
                <w:tcPr>
                  <w:tcW w:w="992" w:type="dxa"/>
                  <w:vAlign w:val="center"/>
                </w:tcPr>
                <w:p w14:paraId="6020659C">
                  <w:pPr>
                    <w:pStyle w:val="52"/>
                    <w:rPr>
                      <w:color w:val="auto"/>
                    </w:rPr>
                  </w:pPr>
                  <w:r>
                    <w:rPr>
                      <w:color w:val="auto"/>
                    </w:rPr>
                    <w:t>0.077</w:t>
                  </w:r>
                </w:p>
              </w:tc>
              <w:tc>
                <w:tcPr>
                  <w:tcW w:w="2297" w:type="dxa"/>
                  <w:vAlign w:val="center"/>
                </w:tcPr>
                <w:p w14:paraId="1CADA8FF">
                  <w:pPr>
                    <w:pStyle w:val="52"/>
                    <w:rPr>
                      <w:color w:val="auto"/>
                    </w:rPr>
                  </w:pPr>
                  <w:r>
                    <w:rPr>
                      <w:color w:val="auto"/>
                    </w:rPr>
                    <w:t>洒水降尘</w:t>
                  </w:r>
                </w:p>
              </w:tc>
              <w:tc>
                <w:tcPr>
                  <w:tcW w:w="1062" w:type="dxa"/>
                  <w:vAlign w:val="center"/>
                </w:tcPr>
                <w:p w14:paraId="481086EB">
                  <w:pPr>
                    <w:pStyle w:val="52"/>
                    <w:rPr>
                      <w:color w:val="auto"/>
                    </w:rPr>
                  </w:pPr>
                  <w:r>
                    <w:rPr>
                      <w:color w:val="auto"/>
                    </w:rPr>
                    <w:t>0.0009</w:t>
                  </w:r>
                </w:p>
              </w:tc>
              <w:tc>
                <w:tcPr>
                  <w:tcW w:w="1060" w:type="dxa"/>
                  <w:vAlign w:val="center"/>
                </w:tcPr>
                <w:p w14:paraId="7552FD2D">
                  <w:pPr>
                    <w:pStyle w:val="52"/>
                    <w:rPr>
                      <w:color w:val="auto"/>
                    </w:rPr>
                  </w:pPr>
                  <w:r>
                    <w:rPr>
                      <w:color w:val="auto"/>
                    </w:rPr>
                    <w:t>0.023</w:t>
                  </w:r>
                </w:p>
              </w:tc>
            </w:tr>
            <w:tr w14:paraId="7FD8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61D5696A">
                  <w:pPr>
                    <w:pStyle w:val="52"/>
                    <w:rPr>
                      <w:color w:val="auto"/>
                    </w:rPr>
                  </w:pPr>
                  <w:r>
                    <w:rPr>
                      <w:color w:val="auto"/>
                    </w:rPr>
                    <w:t>7</w:t>
                  </w:r>
                </w:p>
              </w:tc>
              <w:tc>
                <w:tcPr>
                  <w:tcW w:w="1402" w:type="dxa"/>
                  <w:gridSpan w:val="2"/>
                  <w:vAlign w:val="center"/>
                </w:tcPr>
                <w:p w14:paraId="1F2F8D8D">
                  <w:pPr>
                    <w:pStyle w:val="52"/>
                    <w:rPr>
                      <w:color w:val="auto"/>
                    </w:rPr>
                  </w:pPr>
                  <w:r>
                    <w:rPr>
                      <w:color w:val="auto"/>
                    </w:rPr>
                    <w:t>食堂</w:t>
                  </w:r>
                </w:p>
              </w:tc>
              <w:tc>
                <w:tcPr>
                  <w:tcW w:w="1331" w:type="dxa"/>
                  <w:vAlign w:val="center"/>
                </w:tcPr>
                <w:p w14:paraId="1170FB0E">
                  <w:pPr>
                    <w:pStyle w:val="52"/>
                    <w:rPr>
                      <w:color w:val="auto"/>
                    </w:rPr>
                  </w:pPr>
                  <w:r>
                    <w:rPr>
                      <w:color w:val="auto"/>
                    </w:rPr>
                    <w:t>油烟</w:t>
                  </w:r>
                </w:p>
              </w:tc>
              <w:tc>
                <w:tcPr>
                  <w:tcW w:w="1144" w:type="dxa"/>
                  <w:vAlign w:val="center"/>
                </w:tcPr>
                <w:p w14:paraId="2CEEF6D9">
                  <w:pPr>
                    <w:pStyle w:val="52"/>
                    <w:rPr>
                      <w:color w:val="auto"/>
                    </w:rPr>
                  </w:pPr>
                  <w:r>
                    <w:rPr>
                      <w:color w:val="auto"/>
                    </w:rPr>
                    <w:t>2.22mg/m</w:t>
                  </w:r>
                  <w:r>
                    <w:rPr>
                      <w:color w:val="auto"/>
                      <w:vertAlign w:val="superscript"/>
                    </w:rPr>
                    <w:t>3</w:t>
                  </w:r>
                </w:p>
              </w:tc>
              <w:tc>
                <w:tcPr>
                  <w:tcW w:w="992" w:type="dxa"/>
                  <w:vAlign w:val="center"/>
                </w:tcPr>
                <w:p w14:paraId="237A574E">
                  <w:pPr>
                    <w:pStyle w:val="52"/>
                    <w:rPr>
                      <w:color w:val="auto"/>
                    </w:rPr>
                  </w:pPr>
                  <w:r>
                    <w:rPr>
                      <w:color w:val="auto"/>
                    </w:rPr>
                    <w:t>0.01</w:t>
                  </w:r>
                </w:p>
              </w:tc>
              <w:tc>
                <w:tcPr>
                  <w:tcW w:w="2297" w:type="dxa"/>
                  <w:vAlign w:val="center"/>
                </w:tcPr>
                <w:p w14:paraId="48CAC0FE">
                  <w:pPr>
                    <w:pStyle w:val="52"/>
                    <w:rPr>
                      <w:color w:val="auto"/>
                    </w:rPr>
                  </w:pPr>
                  <w:r>
                    <w:rPr>
                      <w:color w:val="auto"/>
                    </w:rPr>
                    <w:t>油烟净化器</w:t>
                  </w:r>
                </w:p>
              </w:tc>
              <w:tc>
                <w:tcPr>
                  <w:tcW w:w="1062" w:type="dxa"/>
                  <w:vAlign w:val="center"/>
                </w:tcPr>
                <w:p w14:paraId="43B260AD">
                  <w:pPr>
                    <w:pStyle w:val="52"/>
                    <w:rPr>
                      <w:color w:val="auto"/>
                    </w:rPr>
                  </w:pPr>
                  <w:r>
                    <w:rPr>
                      <w:color w:val="auto"/>
                    </w:rPr>
                    <w:t>0.89mg/m</w:t>
                  </w:r>
                  <w:r>
                    <w:rPr>
                      <w:color w:val="auto"/>
                      <w:vertAlign w:val="superscript"/>
                    </w:rPr>
                    <w:t>3</w:t>
                  </w:r>
                </w:p>
              </w:tc>
              <w:tc>
                <w:tcPr>
                  <w:tcW w:w="1060" w:type="dxa"/>
                  <w:vAlign w:val="center"/>
                </w:tcPr>
                <w:p w14:paraId="5C13B27E">
                  <w:pPr>
                    <w:pStyle w:val="52"/>
                    <w:rPr>
                      <w:color w:val="auto"/>
                    </w:rPr>
                  </w:pPr>
                  <w:r>
                    <w:rPr>
                      <w:color w:val="auto"/>
                    </w:rPr>
                    <w:t>0.004</w:t>
                  </w:r>
                </w:p>
              </w:tc>
            </w:tr>
            <w:tr w14:paraId="5958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97" w:type="dxa"/>
                  <w:gridSpan w:val="9"/>
                  <w:vAlign w:val="center"/>
                </w:tcPr>
                <w:p w14:paraId="5F578869">
                  <w:pPr>
                    <w:pStyle w:val="52"/>
                    <w:jc w:val="left"/>
                    <w:rPr>
                      <w:color w:val="auto"/>
                    </w:rPr>
                  </w:pPr>
                  <w:r>
                    <w:rPr>
                      <w:color w:val="auto"/>
                    </w:rPr>
                    <w:t>注：1、转载点、装卸处不考虑产生速率；</w:t>
                  </w:r>
                </w:p>
                <w:p w14:paraId="06E22824">
                  <w:pPr>
                    <w:pStyle w:val="52"/>
                    <w:ind w:firstLine="420" w:firstLineChars="200"/>
                    <w:jc w:val="left"/>
                    <w:rPr>
                      <w:color w:val="auto"/>
                    </w:rPr>
                  </w:pPr>
                  <w:r>
                    <w:rPr>
                      <w:color w:val="auto"/>
                    </w:rPr>
                    <w:t>2、机械设备、破碎扬尘、装载、装卸扬尘、运输道路粉尘产生按300天/年，10h/天计算；</w:t>
                  </w:r>
                </w:p>
                <w:p w14:paraId="44341D02">
                  <w:pPr>
                    <w:pStyle w:val="52"/>
                    <w:ind w:firstLine="420" w:firstLineChars="200"/>
                    <w:jc w:val="left"/>
                    <w:rPr>
                      <w:color w:val="auto"/>
                    </w:rPr>
                  </w:pPr>
                  <w:r>
                    <w:rPr>
                      <w:color w:val="auto"/>
                    </w:rPr>
                    <w:t>3、采场、弃渣场、堆料场扬尘产生量按365天/年，24h/天计算。</w:t>
                  </w:r>
                </w:p>
              </w:tc>
            </w:tr>
          </w:tbl>
          <w:p w14:paraId="3525EE58">
            <w:pPr>
              <w:ind w:firstLine="482"/>
              <w:rPr>
                <w:rFonts w:cs="Times New Roman"/>
                <w:b/>
                <w:bCs/>
              </w:rPr>
            </w:pPr>
          </w:p>
          <w:p w14:paraId="691514D1">
            <w:pPr>
              <w:ind w:firstLine="482"/>
              <w:rPr>
                <w:rFonts w:cs="Times New Roman"/>
                <w:b/>
                <w:bCs/>
              </w:rPr>
            </w:pPr>
            <w:r>
              <w:rPr>
                <w:rFonts w:cs="Times New Roman"/>
                <w:b/>
                <w:bCs/>
              </w:rPr>
              <w:t>2、废水</w:t>
            </w:r>
          </w:p>
          <w:p w14:paraId="4C287D8F">
            <w:pPr>
              <w:ind w:firstLine="480"/>
              <w:rPr>
                <w:rFonts w:cs="Times New Roman"/>
                <w:bCs/>
              </w:rPr>
            </w:pPr>
            <w:r>
              <w:rPr>
                <w:rFonts w:cs="Times New Roman"/>
                <w:bCs/>
              </w:rPr>
              <w:t>（1）项目生活用排水</w:t>
            </w:r>
          </w:p>
          <w:p w14:paraId="1C17C168">
            <w:pPr>
              <w:ind w:firstLine="480"/>
              <w:rPr>
                <w:rFonts w:cs="Times New Roman"/>
                <w:bCs/>
              </w:rPr>
            </w:pPr>
            <w:r>
              <w:rPr>
                <w:rFonts w:hint="eastAsia" w:ascii="宋体" w:hAnsi="宋体" w:cs="宋体"/>
                <w:bCs/>
              </w:rPr>
              <w:t>①</w:t>
            </w:r>
            <w:r>
              <w:rPr>
                <w:rFonts w:cs="Times New Roman"/>
                <w:bCs/>
              </w:rPr>
              <w:t>项目员工厨房用排水</w:t>
            </w:r>
          </w:p>
          <w:p w14:paraId="0AF31FE5">
            <w:pPr>
              <w:ind w:firstLine="480"/>
              <w:rPr>
                <w:rFonts w:cs="Times New Roman"/>
                <w:bCs/>
              </w:rPr>
            </w:pPr>
            <w:r>
              <w:rPr>
                <w:rFonts w:cs="Times New Roman"/>
                <w:bCs/>
              </w:rPr>
              <w:t>项目区员工40人，厨房用水量约30L/（人.d），用水量为1.2m</w:t>
            </w:r>
            <w:r>
              <w:rPr>
                <w:rFonts w:cs="Times New Roman"/>
                <w:bCs/>
                <w:vertAlign w:val="superscript"/>
              </w:rPr>
              <w:t>3</w:t>
            </w:r>
            <w:r>
              <w:rPr>
                <w:rFonts w:cs="Times New Roman"/>
                <w:bCs/>
              </w:rPr>
              <w:t>/d、360m</w:t>
            </w:r>
            <w:r>
              <w:rPr>
                <w:rFonts w:cs="Times New Roman"/>
                <w:bCs/>
                <w:vertAlign w:val="superscript"/>
              </w:rPr>
              <w:t>3</w:t>
            </w:r>
            <w:r>
              <w:rPr>
                <w:rFonts w:cs="Times New Roman"/>
                <w:bCs/>
              </w:rPr>
              <w:t>/a，废水排放量按用水量的80%计，则项目厨房废水排放量为0.96m</w:t>
            </w:r>
            <w:r>
              <w:rPr>
                <w:rFonts w:cs="Times New Roman"/>
                <w:bCs/>
                <w:vertAlign w:val="superscript"/>
              </w:rPr>
              <w:t>3</w:t>
            </w:r>
            <w:r>
              <w:rPr>
                <w:rFonts w:cs="Times New Roman"/>
                <w:bCs/>
              </w:rPr>
              <w:t>/d、288m</w:t>
            </w:r>
            <w:r>
              <w:rPr>
                <w:rFonts w:cs="Times New Roman"/>
                <w:bCs/>
                <w:vertAlign w:val="superscript"/>
              </w:rPr>
              <w:t>3</w:t>
            </w:r>
            <w:r>
              <w:rPr>
                <w:rFonts w:cs="Times New Roman"/>
                <w:bCs/>
              </w:rPr>
              <w:t>/a，经隔油池处理再和其它生活污水一起经化粪池处理后用于绿化底肥，不外排。</w:t>
            </w:r>
          </w:p>
          <w:p w14:paraId="6B5E40C8">
            <w:pPr>
              <w:pStyle w:val="90"/>
              <w:numPr>
                <w:ilvl w:val="0"/>
                <w:numId w:val="3"/>
              </w:numPr>
              <w:ind w:firstLineChars="0"/>
              <w:rPr>
                <w:rFonts w:cs="Times New Roman"/>
                <w:bCs/>
              </w:rPr>
            </w:pPr>
            <w:r>
              <w:rPr>
                <w:rFonts w:cs="Times New Roman"/>
                <w:bCs/>
              </w:rPr>
              <w:t>项目员工办公、住宿用排水</w:t>
            </w:r>
          </w:p>
          <w:p w14:paraId="33FAE4CC">
            <w:pPr>
              <w:ind w:firstLine="480"/>
              <w:rPr>
                <w:rFonts w:cs="Times New Roman"/>
                <w:bCs/>
              </w:rPr>
            </w:pPr>
            <w:r>
              <w:rPr>
                <w:rFonts w:cs="Times New Roman"/>
                <w:bCs/>
              </w:rPr>
              <w:t>项目区员工40人，项目区设置员工宿舍，员工住宿、办公、洗手等会产生一部分办公等生活废水，员工住宿、办公用水量约70L/（人.d），用水量为2.8m</w:t>
            </w:r>
            <w:r>
              <w:rPr>
                <w:rFonts w:cs="Times New Roman"/>
                <w:bCs/>
                <w:vertAlign w:val="superscript"/>
              </w:rPr>
              <w:t>3</w:t>
            </w:r>
            <w:r>
              <w:rPr>
                <w:rFonts w:cs="Times New Roman"/>
                <w:bCs/>
              </w:rPr>
              <w:t>/d、840m</w:t>
            </w:r>
            <w:r>
              <w:rPr>
                <w:rFonts w:cs="Times New Roman"/>
                <w:bCs/>
                <w:vertAlign w:val="superscript"/>
              </w:rPr>
              <w:t>3</w:t>
            </w:r>
            <w:r>
              <w:rPr>
                <w:rFonts w:cs="Times New Roman"/>
                <w:bCs/>
              </w:rPr>
              <w:t>/a，废水排放量按用水量的80%计，则员工住宿、办公废水排放量为2.24m</w:t>
            </w:r>
            <w:r>
              <w:rPr>
                <w:rFonts w:cs="Times New Roman"/>
                <w:bCs/>
                <w:vertAlign w:val="superscript"/>
              </w:rPr>
              <w:t>3</w:t>
            </w:r>
            <w:r>
              <w:rPr>
                <w:rFonts w:cs="Times New Roman"/>
                <w:bCs/>
              </w:rPr>
              <w:t>/d、672m</w:t>
            </w:r>
            <w:r>
              <w:rPr>
                <w:rFonts w:cs="Times New Roman"/>
                <w:bCs/>
                <w:vertAlign w:val="superscript"/>
              </w:rPr>
              <w:t>3</w:t>
            </w:r>
            <w:r>
              <w:rPr>
                <w:rFonts w:cs="Times New Roman"/>
                <w:bCs/>
              </w:rPr>
              <w:t>/a，经化粪池处理后用于绿化底肥，不外排。</w:t>
            </w:r>
          </w:p>
          <w:p w14:paraId="18DCC50F">
            <w:pPr>
              <w:ind w:firstLine="480"/>
              <w:rPr>
                <w:rFonts w:cs="Times New Roman"/>
                <w:bCs/>
              </w:rPr>
            </w:pPr>
            <w:r>
              <w:rPr>
                <w:rFonts w:cs="Times New Roman"/>
                <w:bCs/>
              </w:rPr>
              <w:t>（2）项目凿岩用水</w:t>
            </w:r>
          </w:p>
          <w:p w14:paraId="7E221A5B">
            <w:pPr>
              <w:ind w:firstLine="480"/>
              <w:rPr>
                <w:rFonts w:cs="Times New Roman"/>
                <w:bCs/>
              </w:rPr>
            </w:pPr>
            <w:r>
              <w:rPr>
                <w:rFonts w:cs="Times New Roman"/>
                <w:bCs/>
              </w:rPr>
              <w:t>项目生产过程中凿岩用水量约为6m</w:t>
            </w:r>
            <w:r>
              <w:rPr>
                <w:rFonts w:cs="Times New Roman"/>
                <w:bCs/>
                <w:vertAlign w:val="superscript"/>
              </w:rPr>
              <w:t>3</w:t>
            </w:r>
            <w:r>
              <w:rPr>
                <w:rFonts w:cs="Times New Roman"/>
                <w:bCs/>
              </w:rPr>
              <w:t>/d，1800m</w:t>
            </w:r>
            <w:r>
              <w:rPr>
                <w:rFonts w:cs="Times New Roman"/>
                <w:bCs/>
                <w:vertAlign w:val="superscript"/>
              </w:rPr>
              <w:t>3</w:t>
            </w:r>
            <w:r>
              <w:rPr>
                <w:rFonts w:cs="Times New Roman"/>
                <w:bCs/>
              </w:rPr>
              <w:t>/a，此部分用水全部蒸发损耗，无废水产生。</w:t>
            </w:r>
          </w:p>
          <w:p w14:paraId="144865E8">
            <w:pPr>
              <w:ind w:firstLine="480"/>
              <w:rPr>
                <w:rFonts w:cs="Times New Roman"/>
                <w:bCs/>
              </w:rPr>
            </w:pPr>
            <w:r>
              <w:rPr>
                <w:rFonts w:cs="Times New Roman"/>
                <w:bCs/>
              </w:rPr>
              <w:t>（3）项目采场工作面防尘用水</w:t>
            </w:r>
          </w:p>
          <w:p w14:paraId="073B451E">
            <w:pPr>
              <w:ind w:firstLine="480"/>
              <w:rPr>
                <w:rFonts w:cs="Times New Roman"/>
                <w:bCs/>
              </w:rPr>
            </w:pPr>
            <w:r>
              <w:rPr>
                <w:rFonts w:cs="Times New Roman"/>
                <w:bCs/>
              </w:rPr>
              <w:t>项目矿石开采过程中为减少粉尘的产生量，旱季需在采场工作面进行洒水降尘，特别是爆破之后形成的爆堆应采取洒水降尘减少粉尘对周围环境的影响。</w:t>
            </w:r>
          </w:p>
          <w:p w14:paraId="42B11AD2">
            <w:pPr>
              <w:ind w:firstLine="480"/>
              <w:rPr>
                <w:rFonts w:cs="Times New Roman"/>
                <w:bCs/>
              </w:rPr>
            </w:pPr>
            <w:r>
              <w:rPr>
                <w:rFonts w:cs="Times New Roman"/>
                <w:bCs/>
              </w:rPr>
              <w:t>项目采场工作面洒水用水量为10m</w:t>
            </w:r>
            <w:r>
              <w:rPr>
                <w:rFonts w:cs="Times New Roman"/>
                <w:bCs/>
                <w:vertAlign w:val="superscript"/>
              </w:rPr>
              <w:t>3</w:t>
            </w:r>
            <w:r>
              <w:rPr>
                <w:rFonts w:cs="Times New Roman"/>
                <w:bCs/>
              </w:rPr>
              <w:t>/d，年工作300天，其中旱季以180天计，用水量为1800m</w:t>
            </w:r>
            <w:r>
              <w:rPr>
                <w:rFonts w:cs="Times New Roman"/>
                <w:bCs/>
                <w:vertAlign w:val="superscript"/>
              </w:rPr>
              <w:t>3</w:t>
            </w:r>
            <w:r>
              <w:rPr>
                <w:rFonts w:cs="Times New Roman"/>
                <w:bCs/>
              </w:rPr>
              <w:t>/a，此部分用水全部蒸发损耗，无废水产生。</w:t>
            </w:r>
          </w:p>
          <w:p w14:paraId="0A8987A6">
            <w:pPr>
              <w:ind w:firstLine="480"/>
              <w:rPr>
                <w:rFonts w:cs="Times New Roman"/>
                <w:bCs/>
              </w:rPr>
            </w:pPr>
            <w:r>
              <w:rPr>
                <w:rFonts w:cs="Times New Roman"/>
                <w:bCs/>
              </w:rPr>
              <w:t>（4）项目运输道路和堆场、转载点防尘用水</w:t>
            </w:r>
          </w:p>
          <w:p w14:paraId="2950F6D9">
            <w:pPr>
              <w:ind w:firstLine="480"/>
              <w:rPr>
                <w:rFonts w:cs="Times New Roman"/>
                <w:bCs/>
              </w:rPr>
            </w:pPr>
            <w:r>
              <w:rPr>
                <w:rFonts w:cs="Times New Roman"/>
                <w:bCs/>
              </w:rPr>
              <w:t>项目旱季由于空气干燥，运输道路和堆场容易产生粉尘，所以在旱季对运输道路、堆场转载点进行洒水降尘，以减少粉尘对环境空气的影响，用水量为1.5L/（m</w:t>
            </w:r>
            <w:r>
              <w:rPr>
                <w:rFonts w:cs="Times New Roman"/>
                <w:bCs/>
                <w:vertAlign w:val="superscript"/>
              </w:rPr>
              <w:t>2</w:t>
            </w:r>
            <w:r>
              <w:rPr>
                <w:rFonts w:cs="Times New Roman"/>
                <w:bCs/>
              </w:rPr>
              <w:t>•d），旱季按180天计算，项目道路及堆场需要洒水抑尘的面积约为18000m</w:t>
            </w:r>
            <w:r>
              <w:rPr>
                <w:rFonts w:cs="Times New Roman"/>
                <w:bCs/>
                <w:vertAlign w:val="superscript"/>
              </w:rPr>
              <w:t>2</w:t>
            </w:r>
            <w:r>
              <w:rPr>
                <w:rFonts w:cs="Times New Roman"/>
                <w:bCs/>
              </w:rPr>
              <w:t>，旱季降尘洒水用量为27m</w:t>
            </w:r>
            <w:r>
              <w:rPr>
                <w:rFonts w:cs="Times New Roman"/>
                <w:bCs/>
                <w:vertAlign w:val="superscript"/>
              </w:rPr>
              <w:t>3</w:t>
            </w:r>
            <w:r>
              <w:rPr>
                <w:rFonts w:cs="Times New Roman"/>
                <w:bCs/>
              </w:rPr>
              <w:t>/d，8100m</w:t>
            </w:r>
            <w:r>
              <w:rPr>
                <w:rFonts w:cs="Times New Roman"/>
                <w:bCs/>
                <w:vertAlign w:val="superscript"/>
              </w:rPr>
              <w:t>3</w:t>
            </w:r>
            <w:r>
              <w:rPr>
                <w:rFonts w:cs="Times New Roman"/>
                <w:bCs/>
              </w:rPr>
              <w:t>/a，全部消耗，无外排。</w:t>
            </w:r>
          </w:p>
          <w:p w14:paraId="4630B034">
            <w:pPr>
              <w:ind w:firstLine="480"/>
              <w:rPr>
                <w:rFonts w:cs="Times New Roman"/>
                <w:bCs/>
                <w:lang w:val="zh-CN"/>
              </w:rPr>
            </w:pPr>
            <w:r>
              <w:rPr>
                <w:rFonts w:cs="Times New Roman"/>
                <w:bCs/>
                <w:lang w:val="zh-CN"/>
              </w:rPr>
              <w:t>（5）项目绿化用水</w:t>
            </w:r>
          </w:p>
          <w:p w14:paraId="1F0A296C">
            <w:pPr>
              <w:ind w:firstLine="480"/>
              <w:rPr>
                <w:rFonts w:cs="Times New Roman"/>
                <w:bCs/>
              </w:rPr>
            </w:pPr>
            <w:bookmarkStart w:id="27" w:name="OLE_LINK1"/>
            <w:r>
              <w:rPr>
                <w:rFonts w:cs="Times New Roman"/>
                <w:bCs/>
              </w:rPr>
              <w:t>项目区及周边绿化面积5000m</w:t>
            </w:r>
            <w:r>
              <w:rPr>
                <w:rFonts w:cs="Times New Roman"/>
                <w:bCs/>
                <w:vertAlign w:val="superscript"/>
              </w:rPr>
              <w:t>2</w:t>
            </w:r>
            <w:r>
              <w:rPr>
                <w:rFonts w:cs="Times New Roman"/>
                <w:bCs/>
              </w:rPr>
              <w:t>，绿化用水为3.0L/（m</w:t>
            </w:r>
            <w:r>
              <w:rPr>
                <w:rFonts w:cs="Times New Roman"/>
                <w:bCs/>
                <w:vertAlign w:val="superscript"/>
              </w:rPr>
              <w:t>2</w:t>
            </w:r>
            <w:r>
              <w:rPr>
                <w:rFonts w:cs="Times New Roman"/>
                <w:bCs/>
              </w:rPr>
              <w:t>•d），旱季按180天计算，则旱季绿化用水为15m</w:t>
            </w:r>
            <w:r>
              <w:rPr>
                <w:rFonts w:cs="Times New Roman"/>
                <w:bCs/>
                <w:vertAlign w:val="superscript"/>
              </w:rPr>
              <w:t>3</w:t>
            </w:r>
            <w:r>
              <w:rPr>
                <w:rFonts w:cs="Times New Roman"/>
                <w:bCs/>
              </w:rPr>
              <w:t>/d，2700m</w:t>
            </w:r>
            <w:r>
              <w:rPr>
                <w:rFonts w:cs="Times New Roman"/>
                <w:bCs/>
                <w:vertAlign w:val="superscript"/>
              </w:rPr>
              <w:t>3</w:t>
            </w:r>
            <w:r>
              <w:rPr>
                <w:rFonts w:cs="Times New Roman"/>
                <w:bCs/>
              </w:rPr>
              <w:t>/a，此部分用水全部蒸发损耗，无废水产生。</w:t>
            </w:r>
          </w:p>
          <w:bookmarkEnd w:id="27"/>
          <w:p w14:paraId="640B72C5">
            <w:pPr>
              <w:ind w:firstLine="480"/>
              <w:rPr>
                <w:rFonts w:cs="Times New Roman"/>
                <w:bCs/>
                <w:lang w:val="zh-CN"/>
              </w:rPr>
            </w:pPr>
            <w:r>
              <w:rPr>
                <w:rFonts w:cs="Times New Roman"/>
                <w:bCs/>
                <w:lang w:val="zh-CN"/>
              </w:rPr>
              <w:t>（6）项目弃渣场和露天采场</w:t>
            </w:r>
            <w:r>
              <w:rPr>
                <w:rFonts w:hint="eastAsia" w:cs="Times New Roman"/>
                <w:bCs/>
                <w:color w:val="FF0000"/>
              </w:rPr>
              <w:t>初期雨水</w:t>
            </w:r>
          </w:p>
          <w:p w14:paraId="6EF2E80A">
            <w:pPr>
              <w:ind w:firstLine="480"/>
              <w:rPr>
                <w:rFonts w:cs="Times New Roman"/>
                <w:bCs/>
                <w:lang w:val="zh-CN"/>
              </w:rPr>
            </w:pPr>
            <w:r>
              <w:rPr>
                <w:rFonts w:cs="Times New Roman"/>
                <w:bCs/>
                <w:lang w:val="zh-CN"/>
              </w:rPr>
              <w:t>项目弃渣场及露天采场会产生</w:t>
            </w:r>
            <w:r>
              <w:rPr>
                <w:rFonts w:hint="eastAsia" w:cs="Times New Roman"/>
                <w:bCs/>
                <w:color w:val="FF0000"/>
              </w:rPr>
              <w:t>初期雨水</w:t>
            </w:r>
            <w:r>
              <w:rPr>
                <w:rFonts w:cs="Times New Roman"/>
                <w:bCs/>
                <w:lang w:val="zh-CN"/>
              </w:rPr>
              <w:t>，主要含SS。结合芒市多年气象水文统计资料分析，芒市雨季一般在5～10月，多年平均降雨量1959.4mm，弃渣场和露天采场</w:t>
            </w:r>
            <w:r>
              <w:rPr>
                <w:rFonts w:hint="eastAsia" w:cs="Times New Roman"/>
                <w:bCs/>
                <w:color w:val="FF0000"/>
              </w:rPr>
              <w:t>初期雨水</w:t>
            </w:r>
            <w:r>
              <w:rPr>
                <w:rFonts w:cs="Times New Roman"/>
                <w:bCs/>
                <w:lang w:val="zh-CN"/>
              </w:rPr>
              <w:t>产生量计算公式为：</w:t>
            </w:r>
          </w:p>
          <w:p w14:paraId="52C42166">
            <w:pPr>
              <w:ind w:firstLine="480"/>
              <w:rPr>
                <w:rFonts w:cs="Times New Roman"/>
                <w:bCs/>
              </w:rPr>
            </w:pPr>
            <w:r>
              <w:rPr>
                <w:rFonts w:cs="Times New Roman"/>
                <w:bCs/>
              </w:rPr>
              <w:t>Q=10</w:t>
            </w:r>
            <w:r>
              <w:rPr>
                <w:rFonts w:cs="Times New Roman"/>
                <w:bCs/>
                <w:vertAlign w:val="superscript"/>
              </w:rPr>
              <w:t>-3</w:t>
            </w:r>
            <w:r>
              <w:rPr>
                <w:rFonts w:cs="Times New Roman"/>
                <w:bCs/>
              </w:rPr>
              <w:t>·C·I·A</w:t>
            </w:r>
          </w:p>
          <w:p w14:paraId="1F667082">
            <w:pPr>
              <w:ind w:firstLine="480"/>
              <w:rPr>
                <w:rFonts w:cs="Times New Roman"/>
                <w:bCs/>
              </w:rPr>
            </w:pPr>
            <w:r>
              <w:rPr>
                <w:rFonts w:cs="Times New Roman"/>
                <w:bCs/>
              </w:rPr>
              <w:t>式中：Q—雨污水(m</w:t>
            </w:r>
            <w:r>
              <w:rPr>
                <w:rFonts w:cs="Times New Roman"/>
                <w:bCs/>
                <w:vertAlign w:val="superscript"/>
              </w:rPr>
              <w:t>3</w:t>
            </w:r>
            <w:r>
              <w:rPr>
                <w:rFonts w:cs="Times New Roman"/>
                <w:bCs/>
              </w:rPr>
              <w:t>/a)；</w:t>
            </w:r>
          </w:p>
          <w:p w14:paraId="041E01AA">
            <w:pPr>
              <w:ind w:firstLine="480"/>
              <w:rPr>
                <w:rFonts w:cs="Times New Roman"/>
                <w:bCs/>
              </w:rPr>
            </w:pPr>
            <w:r>
              <w:rPr>
                <w:rFonts w:cs="Times New Roman"/>
                <w:bCs/>
              </w:rPr>
              <w:t xml:space="preserve">      I—年平均降雨量(mm/a) ，本项目I为1959.4mm/a；</w:t>
            </w:r>
          </w:p>
          <w:p w14:paraId="0E6833FF">
            <w:pPr>
              <w:ind w:firstLine="480"/>
              <w:rPr>
                <w:rFonts w:cs="Times New Roman"/>
                <w:bCs/>
              </w:rPr>
            </w:pPr>
            <w:r>
              <w:rPr>
                <w:rFonts w:cs="Times New Roman"/>
                <w:bCs/>
              </w:rPr>
              <w:t xml:space="preserve">      A—汇水面积（m</w:t>
            </w:r>
            <w:r>
              <w:rPr>
                <w:rFonts w:cs="Times New Roman"/>
                <w:bCs/>
                <w:vertAlign w:val="superscript"/>
              </w:rPr>
              <w:t>2</w:t>
            </w:r>
            <w:r>
              <w:rPr>
                <w:rFonts w:cs="Times New Roman"/>
                <w:bCs/>
              </w:rPr>
              <w:t>），弃渣场面积60000m</w:t>
            </w:r>
            <w:r>
              <w:rPr>
                <w:rFonts w:cs="Times New Roman"/>
                <w:bCs/>
                <w:vertAlign w:val="superscript"/>
              </w:rPr>
              <w:t>2</w:t>
            </w:r>
            <w:r>
              <w:rPr>
                <w:rFonts w:cs="Times New Roman"/>
                <w:bCs/>
              </w:rPr>
              <w:t>、露天采场面积292000m</w:t>
            </w:r>
            <w:r>
              <w:rPr>
                <w:rFonts w:cs="Times New Roman"/>
                <w:bCs/>
                <w:vertAlign w:val="superscript"/>
              </w:rPr>
              <w:t>2</w:t>
            </w:r>
            <w:r>
              <w:rPr>
                <w:rFonts w:cs="Times New Roman"/>
                <w:bCs/>
              </w:rPr>
              <w:t>；</w:t>
            </w:r>
          </w:p>
          <w:p w14:paraId="1C9F0686">
            <w:pPr>
              <w:ind w:firstLine="480"/>
              <w:rPr>
                <w:rFonts w:cs="Times New Roman"/>
                <w:bCs/>
              </w:rPr>
            </w:pPr>
            <w:r>
              <w:rPr>
                <w:rFonts w:cs="Times New Roman"/>
                <w:bCs/>
              </w:rPr>
              <w:t xml:space="preserve">      C—渗出系数，一般取0.2～0.8，本项目取0.2。</w:t>
            </w:r>
          </w:p>
          <w:p w14:paraId="139F23A8">
            <w:pPr>
              <w:ind w:firstLine="480"/>
              <w:rPr>
                <w:rFonts w:cs="Times New Roman"/>
                <w:bCs/>
              </w:rPr>
            </w:pPr>
            <w:r>
              <w:rPr>
                <w:rFonts w:cs="Times New Roman"/>
                <w:bCs/>
              </w:rPr>
              <w:t>经计算，项目弃渣场和露天采场</w:t>
            </w:r>
            <w:r>
              <w:rPr>
                <w:rFonts w:hint="eastAsia" w:cs="Times New Roman"/>
                <w:bCs/>
                <w:color w:val="FF0000"/>
              </w:rPr>
              <w:t>初期雨水</w:t>
            </w:r>
            <w:r>
              <w:rPr>
                <w:rFonts w:cs="Times New Roman"/>
                <w:bCs/>
              </w:rPr>
              <w:t>产生量23512m</w:t>
            </w:r>
            <w:r>
              <w:rPr>
                <w:rFonts w:cs="Times New Roman"/>
                <w:bCs/>
                <w:vertAlign w:val="superscript"/>
              </w:rPr>
              <w:t>3</w:t>
            </w:r>
            <w:r>
              <w:rPr>
                <w:rFonts w:cs="Times New Roman"/>
                <w:bCs/>
              </w:rPr>
              <w:t>/a、114429 m</w:t>
            </w:r>
            <w:r>
              <w:rPr>
                <w:rFonts w:cs="Times New Roman"/>
                <w:bCs/>
                <w:vertAlign w:val="superscript"/>
              </w:rPr>
              <w:t xml:space="preserve"> 3</w:t>
            </w:r>
            <w:r>
              <w:rPr>
                <w:rFonts w:cs="Times New Roman"/>
                <w:bCs/>
              </w:rPr>
              <w:t>/a，即分别为127m</w:t>
            </w:r>
            <w:r>
              <w:rPr>
                <w:rFonts w:cs="Times New Roman"/>
                <w:bCs/>
                <w:vertAlign w:val="superscript"/>
              </w:rPr>
              <w:t>3</w:t>
            </w:r>
            <w:r>
              <w:rPr>
                <w:rFonts w:cs="Times New Roman"/>
                <w:bCs/>
              </w:rPr>
              <w:t>/d和618m</w:t>
            </w:r>
            <w:r>
              <w:rPr>
                <w:rFonts w:cs="Times New Roman"/>
                <w:bCs/>
                <w:vertAlign w:val="superscript"/>
              </w:rPr>
              <w:t>3</w:t>
            </w:r>
            <w:r>
              <w:rPr>
                <w:rFonts w:cs="Times New Roman"/>
                <w:bCs/>
              </w:rPr>
              <w:t>/d，经雨水沉淀池沉淀处理后外排。</w:t>
            </w:r>
          </w:p>
          <w:p w14:paraId="6A36EA6E">
            <w:pPr>
              <w:ind w:firstLine="480"/>
              <w:rPr>
                <w:rFonts w:cs="Times New Roman"/>
                <w:bCs/>
              </w:rPr>
            </w:pPr>
            <w:r>
              <w:rPr>
                <w:rFonts w:cs="Times New Roman"/>
                <w:bCs/>
              </w:rPr>
              <w:t>（7）小结</w:t>
            </w:r>
          </w:p>
          <w:p w14:paraId="3447EE22">
            <w:pPr>
              <w:ind w:firstLine="480"/>
              <w:jc w:val="both"/>
              <w:rPr>
                <w:rFonts w:cs="Times New Roman"/>
                <w:bCs/>
              </w:rPr>
            </w:pPr>
            <w:r>
              <w:rPr>
                <w:rFonts w:cs="Times New Roman"/>
                <w:bCs/>
              </w:rPr>
              <w:t>项目运营期间废水产排及处置措施详见表5-5。</w:t>
            </w:r>
          </w:p>
          <w:p w14:paraId="0D6E3AF2">
            <w:pPr>
              <w:pStyle w:val="31"/>
              <w:rPr>
                <w:rFonts w:cs="Times New Roman"/>
                <w:bCs/>
              </w:rPr>
            </w:pPr>
            <w:r>
              <w:rPr>
                <w:rFonts w:cs="Times New Roman"/>
              </w:rPr>
              <w:t>表5-5  项目区供排水及处理措施一览表（m</w:t>
            </w:r>
            <w:r>
              <w:rPr>
                <w:rFonts w:cs="Times New Roman"/>
                <w:vertAlign w:val="superscript"/>
              </w:rPr>
              <w:t>3</w:t>
            </w:r>
            <w:r>
              <w:rPr>
                <w:rFonts w:cs="Times New Roman"/>
              </w:rPr>
              <w:t>/d）</w:t>
            </w:r>
          </w:p>
          <w:tbl>
            <w:tblPr>
              <w:tblStyle w:val="21"/>
              <w:tblW w:w="96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4"/>
              <w:gridCol w:w="1842"/>
              <w:gridCol w:w="852"/>
              <w:gridCol w:w="996"/>
              <w:gridCol w:w="852"/>
              <w:gridCol w:w="994"/>
              <w:gridCol w:w="1133"/>
              <w:gridCol w:w="2424"/>
            </w:tblGrid>
            <w:tr w14:paraId="1F0D15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right w:val="single" w:color="auto" w:sz="4" w:space="0"/>
                  </w:tcBorders>
                  <w:vAlign w:val="center"/>
                </w:tcPr>
                <w:p w14:paraId="0ED624E9">
                  <w:pPr>
                    <w:pStyle w:val="52"/>
                    <w:rPr>
                      <w:color w:val="auto"/>
                    </w:rPr>
                  </w:pPr>
                  <w:r>
                    <w:rPr>
                      <w:color w:val="auto"/>
                    </w:rPr>
                    <w:t>序号</w:t>
                  </w:r>
                </w:p>
              </w:tc>
              <w:tc>
                <w:tcPr>
                  <w:tcW w:w="1842" w:type="dxa"/>
                  <w:tcBorders>
                    <w:left w:val="single" w:color="auto" w:sz="4" w:space="0"/>
                    <w:bottom w:val="single" w:color="auto" w:sz="4" w:space="0"/>
                  </w:tcBorders>
                  <w:vAlign w:val="center"/>
                </w:tcPr>
                <w:p w14:paraId="508A2CF3">
                  <w:pPr>
                    <w:pStyle w:val="52"/>
                    <w:rPr>
                      <w:color w:val="auto"/>
                    </w:rPr>
                  </w:pPr>
                  <w:r>
                    <w:rPr>
                      <w:color w:val="auto"/>
                    </w:rPr>
                    <w:t>排水项目</w:t>
                  </w:r>
                </w:p>
              </w:tc>
              <w:tc>
                <w:tcPr>
                  <w:tcW w:w="852" w:type="dxa"/>
                  <w:tcBorders>
                    <w:right w:val="single" w:color="auto" w:sz="4" w:space="0"/>
                  </w:tcBorders>
                  <w:vAlign w:val="center"/>
                </w:tcPr>
                <w:p w14:paraId="5907C51E">
                  <w:pPr>
                    <w:pStyle w:val="52"/>
                    <w:rPr>
                      <w:color w:val="auto"/>
                    </w:rPr>
                  </w:pPr>
                  <w:r>
                    <w:rPr>
                      <w:color w:val="auto"/>
                    </w:rPr>
                    <w:t>用水量</w:t>
                  </w:r>
                </w:p>
              </w:tc>
              <w:tc>
                <w:tcPr>
                  <w:tcW w:w="996" w:type="dxa"/>
                  <w:tcBorders>
                    <w:left w:val="single" w:color="auto" w:sz="4" w:space="0"/>
                    <w:right w:val="single" w:color="auto" w:sz="4" w:space="0"/>
                  </w:tcBorders>
                  <w:vAlign w:val="center"/>
                </w:tcPr>
                <w:p w14:paraId="671248EA">
                  <w:pPr>
                    <w:pStyle w:val="52"/>
                    <w:rPr>
                      <w:color w:val="auto"/>
                    </w:rPr>
                  </w:pPr>
                  <w:r>
                    <w:rPr>
                      <w:color w:val="auto"/>
                    </w:rPr>
                    <w:t>废水产生量</w:t>
                  </w:r>
                </w:p>
              </w:tc>
              <w:tc>
                <w:tcPr>
                  <w:tcW w:w="852" w:type="dxa"/>
                  <w:tcBorders>
                    <w:left w:val="single" w:color="auto" w:sz="4" w:space="0"/>
                    <w:bottom w:val="single" w:color="auto" w:sz="4" w:space="0"/>
                  </w:tcBorders>
                  <w:vAlign w:val="center"/>
                </w:tcPr>
                <w:p w14:paraId="07DB4B0D">
                  <w:pPr>
                    <w:pStyle w:val="52"/>
                    <w:rPr>
                      <w:color w:val="auto"/>
                    </w:rPr>
                  </w:pPr>
                  <w:r>
                    <w:rPr>
                      <w:color w:val="auto"/>
                    </w:rPr>
                    <w:t>回用量</w:t>
                  </w:r>
                </w:p>
              </w:tc>
              <w:tc>
                <w:tcPr>
                  <w:tcW w:w="994" w:type="dxa"/>
                  <w:tcBorders>
                    <w:bottom w:val="single" w:color="auto" w:sz="4" w:space="0"/>
                  </w:tcBorders>
                  <w:vAlign w:val="center"/>
                </w:tcPr>
                <w:p w14:paraId="10BB653C">
                  <w:pPr>
                    <w:pStyle w:val="52"/>
                    <w:rPr>
                      <w:color w:val="auto"/>
                    </w:rPr>
                  </w:pPr>
                  <w:r>
                    <w:rPr>
                      <w:color w:val="auto"/>
                    </w:rPr>
                    <w:t>排放量</w:t>
                  </w:r>
                </w:p>
              </w:tc>
              <w:tc>
                <w:tcPr>
                  <w:tcW w:w="1133" w:type="dxa"/>
                  <w:tcBorders>
                    <w:bottom w:val="single" w:color="auto" w:sz="4" w:space="0"/>
                    <w:right w:val="single" w:color="auto" w:sz="4" w:space="0"/>
                  </w:tcBorders>
                  <w:vAlign w:val="center"/>
                </w:tcPr>
                <w:p w14:paraId="4676FCAE">
                  <w:pPr>
                    <w:pStyle w:val="52"/>
                    <w:rPr>
                      <w:color w:val="auto"/>
                    </w:rPr>
                  </w:pPr>
                  <w:r>
                    <w:rPr>
                      <w:color w:val="auto"/>
                    </w:rPr>
                    <w:t>年排放量</w:t>
                  </w:r>
                </w:p>
              </w:tc>
              <w:tc>
                <w:tcPr>
                  <w:tcW w:w="2424" w:type="dxa"/>
                  <w:tcBorders>
                    <w:left w:val="single" w:color="auto" w:sz="4" w:space="0"/>
                    <w:bottom w:val="single" w:color="auto" w:sz="4" w:space="0"/>
                  </w:tcBorders>
                  <w:vAlign w:val="center"/>
                </w:tcPr>
                <w:p w14:paraId="679CA64E">
                  <w:pPr>
                    <w:pStyle w:val="52"/>
                    <w:rPr>
                      <w:color w:val="auto"/>
                    </w:rPr>
                  </w:pPr>
                  <w:r>
                    <w:rPr>
                      <w:color w:val="auto"/>
                    </w:rPr>
                    <w:t>备注</w:t>
                  </w:r>
                </w:p>
              </w:tc>
            </w:tr>
            <w:tr w14:paraId="2BDC6A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0A66C778">
                  <w:pPr>
                    <w:pStyle w:val="52"/>
                    <w:rPr>
                      <w:color w:val="auto"/>
                    </w:rPr>
                  </w:pPr>
                  <w:r>
                    <w:rPr>
                      <w:color w:val="auto"/>
                    </w:rPr>
                    <w:t>1</w:t>
                  </w:r>
                </w:p>
              </w:tc>
              <w:tc>
                <w:tcPr>
                  <w:tcW w:w="1842" w:type="dxa"/>
                  <w:tcBorders>
                    <w:top w:val="single" w:color="auto" w:sz="4" w:space="0"/>
                  </w:tcBorders>
                  <w:vAlign w:val="center"/>
                </w:tcPr>
                <w:p w14:paraId="0692D6FB">
                  <w:pPr>
                    <w:pStyle w:val="52"/>
                    <w:rPr>
                      <w:color w:val="auto"/>
                    </w:rPr>
                  </w:pPr>
                  <w:r>
                    <w:rPr>
                      <w:color w:val="auto"/>
                    </w:rPr>
                    <w:t>员工厨房废水</w:t>
                  </w:r>
                </w:p>
              </w:tc>
              <w:tc>
                <w:tcPr>
                  <w:tcW w:w="852" w:type="dxa"/>
                  <w:tcBorders>
                    <w:right w:val="single" w:color="auto" w:sz="4" w:space="0"/>
                  </w:tcBorders>
                  <w:vAlign w:val="center"/>
                </w:tcPr>
                <w:p w14:paraId="7682BE3E">
                  <w:pPr>
                    <w:pStyle w:val="52"/>
                    <w:rPr>
                      <w:color w:val="auto"/>
                    </w:rPr>
                  </w:pPr>
                  <w:r>
                    <w:rPr>
                      <w:color w:val="auto"/>
                    </w:rPr>
                    <w:t>1.2</w:t>
                  </w:r>
                </w:p>
              </w:tc>
              <w:tc>
                <w:tcPr>
                  <w:tcW w:w="996" w:type="dxa"/>
                  <w:tcBorders>
                    <w:left w:val="single" w:color="auto" w:sz="4" w:space="0"/>
                    <w:right w:val="single" w:color="auto" w:sz="4" w:space="0"/>
                  </w:tcBorders>
                  <w:vAlign w:val="center"/>
                </w:tcPr>
                <w:p w14:paraId="4A8E11C9">
                  <w:pPr>
                    <w:pStyle w:val="52"/>
                    <w:rPr>
                      <w:color w:val="auto"/>
                    </w:rPr>
                  </w:pPr>
                  <w:r>
                    <w:rPr>
                      <w:color w:val="auto"/>
                    </w:rPr>
                    <w:t>0.96</w:t>
                  </w:r>
                </w:p>
              </w:tc>
              <w:tc>
                <w:tcPr>
                  <w:tcW w:w="852" w:type="dxa"/>
                  <w:tcBorders>
                    <w:left w:val="single" w:color="auto" w:sz="4" w:space="0"/>
                  </w:tcBorders>
                  <w:vAlign w:val="center"/>
                </w:tcPr>
                <w:p w14:paraId="3D4CC468">
                  <w:pPr>
                    <w:pStyle w:val="52"/>
                    <w:rPr>
                      <w:color w:val="auto"/>
                    </w:rPr>
                  </w:pPr>
                  <w:r>
                    <w:rPr>
                      <w:color w:val="auto"/>
                    </w:rPr>
                    <w:t>0.96</w:t>
                  </w:r>
                </w:p>
              </w:tc>
              <w:tc>
                <w:tcPr>
                  <w:tcW w:w="994" w:type="dxa"/>
                  <w:vAlign w:val="center"/>
                </w:tcPr>
                <w:p w14:paraId="460A041F">
                  <w:pPr>
                    <w:pStyle w:val="52"/>
                    <w:rPr>
                      <w:color w:val="auto"/>
                    </w:rPr>
                  </w:pPr>
                  <w:r>
                    <w:rPr>
                      <w:color w:val="auto"/>
                    </w:rPr>
                    <w:t>/</w:t>
                  </w:r>
                </w:p>
              </w:tc>
              <w:tc>
                <w:tcPr>
                  <w:tcW w:w="1133" w:type="dxa"/>
                  <w:tcBorders>
                    <w:right w:val="single" w:color="auto" w:sz="4" w:space="0"/>
                  </w:tcBorders>
                  <w:vAlign w:val="center"/>
                </w:tcPr>
                <w:p w14:paraId="52705477">
                  <w:pPr>
                    <w:pStyle w:val="52"/>
                    <w:rPr>
                      <w:color w:val="auto"/>
                    </w:rPr>
                  </w:pPr>
                  <w:r>
                    <w:rPr>
                      <w:color w:val="auto"/>
                    </w:rPr>
                    <w:t>/</w:t>
                  </w:r>
                </w:p>
              </w:tc>
              <w:tc>
                <w:tcPr>
                  <w:tcW w:w="2424" w:type="dxa"/>
                  <w:vMerge w:val="restart"/>
                  <w:tcBorders>
                    <w:left w:val="single" w:color="auto" w:sz="4" w:space="0"/>
                  </w:tcBorders>
                  <w:vAlign w:val="center"/>
                </w:tcPr>
                <w:p w14:paraId="019AA87D">
                  <w:pPr>
                    <w:pStyle w:val="52"/>
                    <w:rPr>
                      <w:color w:val="auto"/>
                    </w:rPr>
                  </w:pPr>
                  <w:r>
                    <w:rPr>
                      <w:color w:val="auto"/>
                    </w:rPr>
                    <w:t>经隔油池处理后与其它生活污水经化粪池处理后用于绿化底肥，不外排</w:t>
                  </w:r>
                </w:p>
              </w:tc>
            </w:tr>
            <w:tr w14:paraId="1D740D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2DAB5562">
                  <w:pPr>
                    <w:pStyle w:val="52"/>
                    <w:rPr>
                      <w:color w:val="auto"/>
                    </w:rPr>
                  </w:pPr>
                  <w:r>
                    <w:rPr>
                      <w:color w:val="auto"/>
                    </w:rPr>
                    <w:t>2</w:t>
                  </w:r>
                </w:p>
              </w:tc>
              <w:tc>
                <w:tcPr>
                  <w:tcW w:w="1842" w:type="dxa"/>
                  <w:vAlign w:val="center"/>
                </w:tcPr>
                <w:p w14:paraId="7020901E">
                  <w:pPr>
                    <w:pStyle w:val="52"/>
                    <w:rPr>
                      <w:color w:val="auto"/>
                    </w:rPr>
                  </w:pPr>
                  <w:r>
                    <w:rPr>
                      <w:color w:val="auto"/>
                    </w:rPr>
                    <w:t>员工办公住宿废水</w:t>
                  </w:r>
                </w:p>
              </w:tc>
              <w:tc>
                <w:tcPr>
                  <w:tcW w:w="852" w:type="dxa"/>
                  <w:tcBorders>
                    <w:right w:val="single" w:color="auto" w:sz="4" w:space="0"/>
                  </w:tcBorders>
                  <w:vAlign w:val="center"/>
                </w:tcPr>
                <w:p w14:paraId="14719D57">
                  <w:pPr>
                    <w:pStyle w:val="52"/>
                    <w:rPr>
                      <w:color w:val="auto"/>
                    </w:rPr>
                  </w:pPr>
                  <w:r>
                    <w:rPr>
                      <w:color w:val="auto"/>
                    </w:rPr>
                    <w:t>2.8</w:t>
                  </w:r>
                </w:p>
              </w:tc>
              <w:tc>
                <w:tcPr>
                  <w:tcW w:w="996" w:type="dxa"/>
                  <w:tcBorders>
                    <w:left w:val="single" w:color="auto" w:sz="4" w:space="0"/>
                    <w:right w:val="single" w:color="auto" w:sz="4" w:space="0"/>
                  </w:tcBorders>
                  <w:vAlign w:val="center"/>
                </w:tcPr>
                <w:p w14:paraId="2A44BB97">
                  <w:pPr>
                    <w:pStyle w:val="52"/>
                    <w:rPr>
                      <w:color w:val="auto"/>
                    </w:rPr>
                  </w:pPr>
                  <w:r>
                    <w:rPr>
                      <w:color w:val="auto"/>
                    </w:rPr>
                    <w:t>2.24</w:t>
                  </w:r>
                </w:p>
              </w:tc>
              <w:tc>
                <w:tcPr>
                  <w:tcW w:w="852" w:type="dxa"/>
                  <w:tcBorders>
                    <w:left w:val="single" w:color="auto" w:sz="4" w:space="0"/>
                  </w:tcBorders>
                  <w:vAlign w:val="center"/>
                </w:tcPr>
                <w:p w14:paraId="34D57B37">
                  <w:pPr>
                    <w:pStyle w:val="52"/>
                    <w:rPr>
                      <w:color w:val="auto"/>
                    </w:rPr>
                  </w:pPr>
                  <w:r>
                    <w:rPr>
                      <w:color w:val="auto"/>
                    </w:rPr>
                    <w:t>2.24</w:t>
                  </w:r>
                </w:p>
              </w:tc>
              <w:tc>
                <w:tcPr>
                  <w:tcW w:w="994" w:type="dxa"/>
                  <w:vAlign w:val="center"/>
                </w:tcPr>
                <w:p w14:paraId="458D3E26">
                  <w:pPr>
                    <w:pStyle w:val="52"/>
                    <w:rPr>
                      <w:color w:val="auto"/>
                    </w:rPr>
                  </w:pPr>
                  <w:r>
                    <w:rPr>
                      <w:color w:val="auto"/>
                    </w:rPr>
                    <w:t>/</w:t>
                  </w:r>
                </w:p>
              </w:tc>
              <w:tc>
                <w:tcPr>
                  <w:tcW w:w="1133" w:type="dxa"/>
                  <w:tcBorders>
                    <w:top w:val="single" w:color="auto" w:sz="4" w:space="0"/>
                    <w:bottom w:val="single" w:color="auto" w:sz="4" w:space="0"/>
                    <w:right w:val="single" w:color="auto" w:sz="4" w:space="0"/>
                  </w:tcBorders>
                  <w:vAlign w:val="center"/>
                </w:tcPr>
                <w:p w14:paraId="3733AEAA">
                  <w:pPr>
                    <w:pStyle w:val="52"/>
                    <w:rPr>
                      <w:color w:val="auto"/>
                    </w:rPr>
                  </w:pPr>
                  <w:r>
                    <w:rPr>
                      <w:color w:val="auto"/>
                    </w:rPr>
                    <w:t>/</w:t>
                  </w:r>
                </w:p>
              </w:tc>
              <w:tc>
                <w:tcPr>
                  <w:tcW w:w="2424" w:type="dxa"/>
                  <w:vMerge w:val="continue"/>
                  <w:tcBorders>
                    <w:left w:val="single" w:color="auto" w:sz="4" w:space="0"/>
                  </w:tcBorders>
                  <w:vAlign w:val="center"/>
                </w:tcPr>
                <w:p w14:paraId="6E76FCC3">
                  <w:pPr>
                    <w:pStyle w:val="52"/>
                    <w:rPr>
                      <w:color w:val="auto"/>
                    </w:rPr>
                  </w:pPr>
                </w:p>
              </w:tc>
            </w:tr>
            <w:tr w14:paraId="0B0E5E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349C35E2">
                  <w:pPr>
                    <w:pStyle w:val="52"/>
                    <w:rPr>
                      <w:color w:val="auto"/>
                    </w:rPr>
                  </w:pPr>
                  <w:r>
                    <w:rPr>
                      <w:color w:val="auto"/>
                    </w:rPr>
                    <w:t>3</w:t>
                  </w:r>
                </w:p>
              </w:tc>
              <w:tc>
                <w:tcPr>
                  <w:tcW w:w="1842" w:type="dxa"/>
                  <w:vAlign w:val="center"/>
                </w:tcPr>
                <w:p w14:paraId="6F851186">
                  <w:pPr>
                    <w:pStyle w:val="52"/>
                    <w:rPr>
                      <w:color w:val="auto"/>
                    </w:rPr>
                  </w:pPr>
                  <w:r>
                    <w:rPr>
                      <w:color w:val="auto"/>
                    </w:rPr>
                    <w:t>凿岩用水</w:t>
                  </w:r>
                </w:p>
              </w:tc>
              <w:tc>
                <w:tcPr>
                  <w:tcW w:w="852" w:type="dxa"/>
                  <w:tcBorders>
                    <w:bottom w:val="single" w:color="auto" w:sz="4" w:space="0"/>
                    <w:right w:val="single" w:color="auto" w:sz="4" w:space="0"/>
                  </w:tcBorders>
                  <w:vAlign w:val="center"/>
                </w:tcPr>
                <w:p w14:paraId="5BF0A439">
                  <w:pPr>
                    <w:pStyle w:val="52"/>
                    <w:rPr>
                      <w:color w:val="auto"/>
                    </w:rPr>
                  </w:pPr>
                  <w:r>
                    <w:rPr>
                      <w:color w:val="auto"/>
                    </w:rPr>
                    <w:t>6</w:t>
                  </w:r>
                </w:p>
              </w:tc>
              <w:tc>
                <w:tcPr>
                  <w:tcW w:w="996" w:type="dxa"/>
                  <w:tcBorders>
                    <w:left w:val="single" w:color="auto" w:sz="4" w:space="0"/>
                    <w:bottom w:val="single" w:color="auto" w:sz="4" w:space="0"/>
                  </w:tcBorders>
                  <w:vAlign w:val="center"/>
                </w:tcPr>
                <w:p w14:paraId="3A6F38A6">
                  <w:pPr>
                    <w:pStyle w:val="52"/>
                    <w:rPr>
                      <w:color w:val="auto"/>
                    </w:rPr>
                  </w:pPr>
                  <w:r>
                    <w:rPr>
                      <w:color w:val="auto"/>
                    </w:rPr>
                    <w:t>/</w:t>
                  </w:r>
                </w:p>
              </w:tc>
              <w:tc>
                <w:tcPr>
                  <w:tcW w:w="852" w:type="dxa"/>
                  <w:tcBorders>
                    <w:bottom w:val="single" w:color="auto" w:sz="4" w:space="0"/>
                  </w:tcBorders>
                  <w:vAlign w:val="center"/>
                </w:tcPr>
                <w:p w14:paraId="3A5C46A0">
                  <w:pPr>
                    <w:pStyle w:val="52"/>
                    <w:rPr>
                      <w:color w:val="auto"/>
                    </w:rPr>
                  </w:pPr>
                  <w:r>
                    <w:rPr>
                      <w:color w:val="auto"/>
                    </w:rPr>
                    <w:t>/</w:t>
                  </w:r>
                </w:p>
              </w:tc>
              <w:tc>
                <w:tcPr>
                  <w:tcW w:w="994" w:type="dxa"/>
                  <w:tcBorders>
                    <w:bottom w:val="single" w:color="auto" w:sz="4" w:space="0"/>
                  </w:tcBorders>
                  <w:vAlign w:val="center"/>
                </w:tcPr>
                <w:p w14:paraId="15068B3A">
                  <w:pPr>
                    <w:pStyle w:val="52"/>
                    <w:rPr>
                      <w:color w:val="auto"/>
                    </w:rPr>
                  </w:pPr>
                  <w:r>
                    <w:rPr>
                      <w:color w:val="auto"/>
                    </w:rPr>
                    <w:t>/</w:t>
                  </w:r>
                </w:p>
              </w:tc>
              <w:tc>
                <w:tcPr>
                  <w:tcW w:w="1133" w:type="dxa"/>
                  <w:tcBorders>
                    <w:right w:val="single" w:color="auto" w:sz="4" w:space="0"/>
                  </w:tcBorders>
                  <w:vAlign w:val="center"/>
                </w:tcPr>
                <w:p w14:paraId="2E27584E">
                  <w:pPr>
                    <w:pStyle w:val="52"/>
                    <w:rPr>
                      <w:color w:val="auto"/>
                    </w:rPr>
                  </w:pPr>
                  <w:r>
                    <w:rPr>
                      <w:color w:val="auto"/>
                    </w:rPr>
                    <w:t>/</w:t>
                  </w:r>
                </w:p>
              </w:tc>
              <w:tc>
                <w:tcPr>
                  <w:tcW w:w="2424" w:type="dxa"/>
                  <w:tcBorders>
                    <w:left w:val="single" w:color="auto" w:sz="4" w:space="0"/>
                  </w:tcBorders>
                  <w:vAlign w:val="center"/>
                </w:tcPr>
                <w:p w14:paraId="7922737F">
                  <w:pPr>
                    <w:pStyle w:val="52"/>
                    <w:rPr>
                      <w:color w:val="auto"/>
                    </w:rPr>
                  </w:pPr>
                </w:p>
              </w:tc>
            </w:tr>
            <w:tr w14:paraId="21EADB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3A4D61B4">
                  <w:pPr>
                    <w:pStyle w:val="52"/>
                    <w:rPr>
                      <w:color w:val="auto"/>
                    </w:rPr>
                  </w:pPr>
                  <w:r>
                    <w:rPr>
                      <w:color w:val="auto"/>
                    </w:rPr>
                    <w:t>4</w:t>
                  </w:r>
                </w:p>
              </w:tc>
              <w:tc>
                <w:tcPr>
                  <w:tcW w:w="1842" w:type="dxa"/>
                  <w:vAlign w:val="center"/>
                </w:tcPr>
                <w:p w14:paraId="678885AC">
                  <w:pPr>
                    <w:pStyle w:val="52"/>
                    <w:rPr>
                      <w:color w:val="auto"/>
                    </w:rPr>
                  </w:pPr>
                  <w:r>
                    <w:rPr>
                      <w:color w:val="auto"/>
                    </w:rPr>
                    <w:t>采场工作面防尘用水</w:t>
                  </w:r>
                </w:p>
              </w:tc>
              <w:tc>
                <w:tcPr>
                  <w:tcW w:w="852" w:type="dxa"/>
                  <w:tcBorders>
                    <w:right w:val="single" w:color="auto" w:sz="4" w:space="0"/>
                  </w:tcBorders>
                  <w:vAlign w:val="center"/>
                </w:tcPr>
                <w:p w14:paraId="22E5166D">
                  <w:pPr>
                    <w:pStyle w:val="52"/>
                    <w:rPr>
                      <w:color w:val="auto"/>
                    </w:rPr>
                  </w:pPr>
                  <w:r>
                    <w:rPr>
                      <w:color w:val="auto"/>
                    </w:rPr>
                    <w:t>10</w:t>
                  </w:r>
                </w:p>
              </w:tc>
              <w:tc>
                <w:tcPr>
                  <w:tcW w:w="996" w:type="dxa"/>
                  <w:tcBorders>
                    <w:left w:val="single" w:color="auto" w:sz="4" w:space="0"/>
                  </w:tcBorders>
                  <w:vAlign w:val="center"/>
                </w:tcPr>
                <w:p w14:paraId="3B619D79">
                  <w:pPr>
                    <w:pStyle w:val="52"/>
                    <w:rPr>
                      <w:color w:val="auto"/>
                    </w:rPr>
                  </w:pPr>
                  <w:r>
                    <w:rPr>
                      <w:color w:val="auto"/>
                    </w:rPr>
                    <w:t>/</w:t>
                  </w:r>
                </w:p>
              </w:tc>
              <w:tc>
                <w:tcPr>
                  <w:tcW w:w="852" w:type="dxa"/>
                  <w:vAlign w:val="center"/>
                </w:tcPr>
                <w:p w14:paraId="3C9079D2">
                  <w:pPr>
                    <w:pStyle w:val="52"/>
                    <w:rPr>
                      <w:color w:val="auto"/>
                    </w:rPr>
                  </w:pPr>
                  <w:r>
                    <w:rPr>
                      <w:color w:val="auto"/>
                    </w:rPr>
                    <w:t>/</w:t>
                  </w:r>
                </w:p>
              </w:tc>
              <w:tc>
                <w:tcPr>
                  <w:tcW w:w="994" w:type="dxa"/>
                  <w:vAlign w:val="center"/>
                </w:tcPr>
                <w:p w14:paraId="78530413">
                  <w:pPr>
                    <w:pStyle w:val="52"/>
                    <w:rPr>
                      <w:color w:val="auto"/>
                    </w:rPr>
                  </w:pPr>
                  <w:r>
                    <w:rPr>
                      <w:color w:val="auto"/>
                    </w:rPr>
                    <w:t>/</w:t>
                  </w:r>
                </w:p>
              </w:tc>
              <w:tc>
                <w:tcPr>
                  <w:tcW w:w="1133" w:type="dxa"/>
                  <w:tcBorders>
                    <w:top w:val="single" w:color="auto" w:sz="4" w:space="0"/>
                    <w:right w:val="single" w:color="auto" w:sz="4" w:space="0"/>
                  </w:tcBorders>
                  <w:vAlign w:val="center"/>
                </w:tcPr>
                <w:p w14:paraId="36F09B34">
                  <w:pPr>
                    <w:pStyle w:val="52"/>
                    <w:rPr>
                      <w:color w:val="auto"/>
                    </w:rPr>
                  </w:pPr>
                  <w:r>
                    <w:rPr>
                      <w:color w:val="auto"/>
                    </w:rPr>
                    <w:t>/</w:t>
                  </w:r>
                </w:p>
              </w:tc>
              <w:tc>
                <w:tcPr>
                  <w:tcW w:w="2424" w:type="dxa"/>
                  <w:tcBorders>
                    <w:top w:val="single" w:color="auto" w:sz="4" w:space="0"/>
                    <w:left w:val="single" w:color="auto" w:sz="4" w:space="0"/>
                  </w:tcBorders>
                  <w:vAlign w:val="center"/>
                </w:tcPr>
                <w:p w14:paraId="2101033B">
                  <w:pPr>
                    <w:pStyle w:val="52"/>
                    <w:rPr>
                      <w:color w:val="auto"/>
                    </w:rPr>
                  </w:pPr>
                  <w:r>
                    <w:rPr>
                      <w:color w:val="auto"/>
                    </w:rPr>
                    <w:t>蒸发</w:t>
                  </w:r>
                </w:p>
              </w:tc>
            </w:tr>
            <w:tr w14:paraId="272F07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563EB8EE">
                  <w:pPr>
                    <w:pStyle w:val="52"/>
                    <w:rPr>
                      <w:color w:val="auto"/>
                    </w:rPr>
                  </w:pPr>
                  <w:r>
                    <w:rPr>
                      <w:color w:val="auto"/>
                    </w:rPr>
                    <w:t>5</w:t>
                  </w:r>
                </w:p>
              </w:tc>
              <w:tc>
                <w:tcPr>
                  <w:tcW w:w="1842" w:type="dxa"/>
                  <w:vAlign w:val="center"/>
                </w:tcPr>
                <w:p w14:paraId="599B2E29">
                  <w:pPr>
                    <w:pStyle w:val="52"/>
                    <w:rPr>
                      <w:color w:val="auto"/>
                    </w:rPr>
                  </w:pPr>
                  <w:r>
                    <w:rPr>
                      <w:color w:val="auto"/>
                    </w:rPr>
                    <w:t>运输道路、堆场和转载点防尘用水</w:t>
                  </w:r>
                </w:p>
              </w:tc>
              <w:tc>
                <w:tcPr>
                  <w:tcW w:w="852" w:type="dxa"/>
                  <w:tcBorders>
                    <w:right w:val="single" w:color="auto" w:sz="4" w:space="0"/>
                  </w:tcBorders>
                  <w:vAlign w:val="center"/>
                </w:tcPr>
                <w:p w14:paraId="683EABF9">
                  <w:pPr>
                    <w:pStyle w:val="52"/>
                    <w:rPr>
                      <w:color w:val="auto"/>
                    </w:rPr>
                  </w:pPr>
                  <w:r>
                    <w:rPr>
                      <w:color w:val="auto"/>
                    </w:rPr>
                    <w:t>27</w:t>
                  </w:r>
                </w:p>
              </w:tc>
              <w:tc>
                <w:tcPr>
                  <w:tcW w:w="996" w:type="dxa"/>
                  <w:tcBorders>
                    <w:left w:val="single" w:color="auto" w:sz="4" w:space="0"/>
                  </w:tcBorders>
                  <w:vAlign w:val="center"/>
                </w:tcPr>
                <w:p w14:paraId="1AA14978">
                  <w:pPr>
                    <w:pStyle w:val="52"/>
                    <w:rPr>
                      <w:color w:val="auto"/>
                    </w:rPr>
                  </w:pPr>
                  <w:r>
                    <w:rPr>
                      <w:color w:val="auto"/>
                    </w:rPr>
                    <w:t>/</w:t>
                  </w:r>
                </w:p>
              </w:tc>
              <w:tc>
                <w:tcPr>
                  <w:tcW w:w="852" w:type="dxa"/>
                  <w:vAlign w:val="center"/>
                </w:tcPr>
                <w:p w14:paraId="63624F51">
                  <w:pPr>
                    <w:pStyle w:val="52"/>
                    <w:rPr>
                      <w:color w:val="auto"/>
                    </w:rPr>
                  </w:pPr>
                  <w:r>
                    <w:rPr>
                      <w:color w:val="auto"/>
                    </w:rPr>
                    <w:t>/</w:t>
                  </w:r>
                </w:p>
              </w:tc>
              <w:tc>
                <w:tcPr>
                  <w:tcW w:w="994" w:type="dxa"/>
                  <w:vAlign w:val="center"/>
                </w:tcPr>
                <w:p w14:paraId="3E86DA85">
                  <w:pPr>
                    <w:pStyle w:val="52"/>
                    <w:rPr>
                      <w:color w:val="auto"/>
                    </w:rPr>
                  </w:pPr>
                  <w:r>
                    <w:rPr>
                      <w:color w:val="auto"/>
                    </w:rPr>
                    <w:t>/</w:t>
                  </w:r>
                </w:p>
              </w:tc>
              <w:tc>
                <w:tcPr>
                  <w:tcW w:w="1133" w:type="dxa"/>
                  <w:tcBorders>
                    <w:top w:val="single" w:color="auto" w:sz="4" w:space="0"/>
                    <w:right w:val="single" w:color="auto" w:sz="4" w:space="0"/>
                  </w:tcBorders>
                  <w:vAlign w:val="center"/>
                </w:tcPr>
                <w:p w14:paraId="3DA5BA2A">
                  <w:pPr>
                    <w:pStyle w:val="52"/>
                    <w:rPr>
                      <w:color w:val="auto"/>
                    </w:rPr>
                  </w:pPr>
                  <w:r>
                    <w:rPr>
                      <w:color w:val="auto"/>
                    </w:rPr>
                    <w:t>/</w:t>
                  </w:r>
                </w:p>
              </w:tc>
              <w:tc>
                <w:tcPr>
                  <w:tcW w:w="2424" w:type="dxa"/>
                  <w:tcBorders>
                    <w:top w:val="single" w:color="auto" w:sz="4" w:space="0"/>
                    <w:left w:val="single" w:color="auto" w:sz="4" w:space="0"/>
                  </w:tcBorders>
                  <w:vAlign w:val="center"/>
                </w:tcPr>
                <w:p w14:paraId="069AF4D3">
                  <w:pPr>
                    <w:pStyle w:val="52"/>
                    <w:rPr>
                      <w:color w:val="auto"/>
                    </w:rPr>
                  </w:pPr>
                  <w:r>
                    <w:rPr>
                      <w:color w:val="auto"/>
                    </w:rPr>
                    <w:t>蒸发</w:t>
                  </w:r>
                </w:p>
              </w:tc>
            </w:tr>
            <w:tr w14:paraId="3F1206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219D06B3">
                  <w:pPr>
                    <w:pStyle w:val="52"/>
                    <w:rPr>
                      <w:color w:val="auto"/>
                    </w:rPr>
                  </w:pPr>
                  <w:r>
                    <w:rPr>
                      <w:color w:val="auto"/>
                    </w:rPr>
                    <w:t>6</w:t>
                  </w:r>
                </w:p>
              </w:tc>
              <w:tc>
                <w:tcPr>
                  <w:tcW w:w="1842" w:type="dxa"/>
                  <w:vAlign w:val="center"/>
                </w:tcPr>
                <w:p w14:paraId="1B8FD3B6">
                  <w:pPr>
                    <w:pStyle w:val="52"/>
                    <w:rPr>
                      <w:color w:val="auto"/>
                    </w:rPr>
                  </w:pPr>
                  <w:r>
                    <w:rPr>
                      <w:color w:val="auto"/>
                    </w:rPr>
                    <w:t>绿化用水</w:t>
                  </w:r>
                </w:p>
              </w:tc>
              <w:tc>
                <w:tcPr>
                  <w:tcW w:w="852" w:type="dxa"/>
                  <w:tcBorders>
                    <w:right w:val="single" w:color="auto" w:sz="4" w:space="0"/>
                  </w:tcBorders>
                  <w:vAlign w:val="center"/>
                </w:tcPr>
                <w:p w14:paraId="35FA58B2">
                  <w:pPr>
                    <w:pStyle w:val="52"/>
                    <w:rPr>
                      <w:color w:val="auto"/>
                    </w:rPr>
                  </w:pPr>
                  <w:r>
                    <w:rPr>
                      <w:color w:val="auto"/>
                    </w:rPr>
                    <w:t>15</w:t>
                  </w:r>
                </w:p>
              </w:tc>
              <w:tc>
                <w:tcPr>
                  <w:tcW w:w="996" w:type="dxa"/>
                  <w:tcBorders>
                    <w:left w:val="single" w:color="auto" w:sz="4" w:space="0"/>
                  </w:tcBorders>
                  <w:vAlign w:val="center"/>
                </w:tcPr>
                <w:p w14:paraId="0BF3D126">
                  <w:pPr>
                    <w:pStyle w:val="52"/>
                    <w:rPr>
                      <w:color w:val="auto"/>
                    </w:rPr>
                  </w:pPr>
                  <w:r>
                    <w:rPr>
                      <w:color w:val="auto"/>
                    </w:rPr>
                    <w:t>/</w:t>
                  </w:r>
                </w:p>
              </w:tc>
              <w:tc>
                <w:tcPr>
                  <w:tcW w:w="852" w:type="dxa"/>
                  <w:vAlign w:val="center"/>
                </w:tcPr>
                <w:p w14:paraId="4513CA0A">
                  <w:pPr>
                    <w:pStyle w:val="52"/>
                    <w:rPr>
                      <w:color w:val="auto"/>
                    </w:rPr>
                  </w:pPr>
                  <w:r>
                    <w:rPr>
                      <w:color w:val="auto"/>
                    </w:rPr>
                    <w:t>/</w:t>
                  </w:r>
                </w:p>
              </w:tc>
              <w:tc>
                <w:tcPr>
                  <w:tcW w:w="994" w:type="dxa"/>
                  <w:vAlign w:val="center"/>
                </w:tcPr>
                <w:p w14:paraId="5AFDAE9B">
                  <w:pPr>
                    <w:pStyle w:val="52"/>
                    <w:rPr>
                      <w:color w:val="auto"/>
                    </w:rPr>
                  </w:pPr>
                  <w:r>
                    <w:rPr>
                      <w:color w:val="auto"/>
                    </w:rPr>
                    <w:t>/</w:t>
                  </w:r>
                </w:p>
              </w:tc>
              <w:tc>
                <w:tcPr>
                  <w:tcW w:w="1133" w:type="dxa"/>
                  <w:tcBorders>
                    <w:top w:val="single" w:color="auto" w:sz="4" w:space="0"/>
                    <w:right w:val="single" w:color="auto" w:sz="4" w:space="0"/>
                  </w:tcBorders>
                  <w:vAlign w:val="center"/>
                </w:tcPr>
                <w:p w14:paraId="339A300F">
                  <w:pPr>
                    <w:pStyle w:val="52"/>
                    <w:rPr>
                      <w:color w:val="auto"/>
                    </w:rPr>
                  </w:pPr>
                  <w:r>
                    <w:rPr>
                      <w:color w:val="auto"/>
                    </w:rPr>
                    <w:t>/</w:t>
                  </w:r>
                </w:p>
              </w:tc>
              <w:tc>
                <w:tcPr>
                  <w:tcW w:w="2424" w:type="dxa"/>
                  <w:tcBorders>
                    <w:top w:val="single" w:color="auto" w:sz="4" w:space="0"/>
                    <w:left w:val="single" w:color="auto" w:sz="4" w:space="0"/>
                  </w:tcBorders>
                  <w:vAlign w:val="center"/>
                </w:tcPr>
                <w:p w14:paraId="31FD0824">
                  <w:pPr>
                    <w:pStyle w:val="52"/>
                    <w:rPr>
                      <w:color w:val="auto"/>
                    </w:rPr>
                  </w:pPr>
                  <w:r>
                    <w:rPr>
                      <w:color w:val="auto"/>
                    </w:rPr>
                    <w:t>蒸发</w:t>
                  </w:r>
                </w:p>
              </w:tc>
            </w:tr>
            <w:tr w14:paraId="41F9FE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tcBorders>
                  <w:vAlign w:val="center"/>
                </w:tcPr>
                <w:p w14:paraId="39F355D0">
                  <w:pPr>
                    <w:pStyle w:val="52"/>
                    <w:rPr>
                      <w:color w:val="auto"/>
                    </w:rPr>
                  </w:pPr>
                  <w:r>
                    <w:rPr>
                      <w:color w:val="auto"/>
                    </w:rPr>
                    <w:t>7</w:t>
                  </w:r>
                </w:p>
              </w:tc>
              <w:tc>
                <w:tcPr>
                  <w:tcW w:w="1842" w:type="dxa"/>
                  <w:tcBorders>
                    <w:bottom w:val="single" w:color="auto" w:sz="4" w:space="0"/>
                  </w:tcBorders>
                  <w:vAlign w:val="center"/>
                </w:tcPr>
                <w:p w14:paraId="5F5CE6CF">
                  <w:pPr>
                    <w:pStyle w:val="52"/>
                    <w:rPr>
                      <w:color w:val="auto"/>
                    </w:rPr>
                  </w:pPr>
                  <w:r>
                    <w:rPr>
                      <w:color w:val="auto"/>
                    </w:rPr>
                    <w:t>弃渣场</w:t>
                  </w:r>
                  <w:r>
                    <w:rPr>
                      <w:rFonts w:hint="eastAsia"/>
                      <w:bCs/>
                      <w:color w:val="FF0000"/>
                    </w:rPr>
                    <w:t>初期雨水</w:t>
                  </w:r>
                  <w:r>
                    <w:rPr>
                      <w:color w:val="auto"/>
                    </w:rPr>
                    <w:t>（雨天）</w:t>
                  </w:r>
                </w:p>
              </w:tc>
              <w:tc>
                <w:tcPr>
                  <w:tcW w:w="852" w:type="dxa"/>
                  <w:tcBorders>
                    <w:bottom w:val="single" w:color="auto" w:sz="4" w:space="0"/>
                    <w:right w:val="single" w:color="auto" w:sz="4" w:space="0"/>
                  </w:tcBorders>
                  <w:vAlign w:val="center"/>
                </w:tcPr>
                <w:p w14:paraId="14AE76EC">
                  <w:pPr>
                    <w:pStyle w:val="52"/>
                    <w:rPr>
                      <w:color w:val="auto"/>
                    </w:rPr>
                  </w:pPr>
                  <w:r>
                    <w:rPr>
                      <w:color w:val="auto"/>
                    </w:rPr>
                    <w:t>/</w:t>
                  </w:r>
                </w:p>
              </w:tc>
              <w:tc>
                <w:tcPr>
                  <w:tcW w:w="996" w:type="dxa"/>
                  <w:tcBorders>
                    <w:left w:val="single" w:color="auto" w:sz="4" w:space="0"/>
                    <w:bottom w:val="single" w:color="auto" w:sz="4" w:space="0"/>
                  </w:tcBorders>
                  <w:vAlign w:val="center"/>
                </w:tcPr>
                <w:p w14:paraId="5E706B45">
                  <w:pPr>
                    <w:pStyle w:val="52"/>
                    <w:rPr>
                      <w:color w:val="auto"/>
                    </w:rPr>
                  </w:pPr>
                  <w:r>
                    <w:rPr>
                      <w:bCs/>
                      <w:color w:val="auto"/>
                    </w:rPr>
                    <w:t>127</w:t>
                  </w:r>
                </w:p>
              </w:tc>
              <w:tc>
                <w:tcPr>
                  <w:tcW w:w="852" w:type="dxa"/>
                  <w:tcBorders>
                    <w:bottom w:val="single" w:color="auto" w:sz="4" w:space="0"/>
                  </w:tcBorders>
                  <w:vAlign w:val="center"/>
                </w:tcPr>
                <w:p w14:paraId="4FDF12B3">
                  <w:pPr>
                    <w:pStyle w:val="52"/>
                    <w:rPr>
                      <w:color w:val="auto"/>
                    </w:rPr>
                  </w:pPr>
                  <w:r>
                    <w:rPr>
                      <w:color w:val="auto"/>
                    </w:rPr>
                    <w:t>/</w:t>
                  </w:r>
                </w:p>
              </w:tc>
              <w:tc>
                <w:tcPr>
                  <w:tcW w:w="994" w:type="dxa"/>
                  <w:tcBorders>
                    <w:bottom w:val="single" w:color="auto" w:sz="4" w:space="0"/>
                  </w:tcBorders>
                  <w:vAlign w:val="center"/>
                </w:tcPr>
                <w:p w14:paraId="4996EF27">
                  <w:pPr>
                    <w:pStyle w:val="52"/>
                    <w:rPr>
                      <w:color w:val="auto"/>
                    </w:rPr>
                  </w:pPr>
                  <w:r>
                    <w:rPr>
                      <w:bCs/>
                      <w:color w:val="auto"/>
                    </w:rPr>
                    <w:t>127</w:t>
                  </w:r>
                </w:p>
              </w:tc>
              <w:tc>
                <w:tcPr>
                  <w:tcW w:w="1133" w:type="dxa"/>
                  <w:tcBorders>
                    <w:bottom w:val="single" w:color="auto" w:sz="4" w:space="0"/>
                    <w:right w:val="single" w:color="auto" w:sz="4" w:space="0"/>
                  </w:tcBorders>
                  <w:vAlign w:val="center"/>
                </w:tcPr>
                <w:p w14:paraId="5791C65E">
                  <w:pPr>
                    <w:pStyle w:val="52"/>
                    <w:rPr>
                      <w:color w:val="auto"/>
                    </w:rPr>
                  </w:pPr>
                  <w:r>
                    <w:rPr>
                      <w:color w:val="auto"/>
                    </w:rPr>
                    <w:t>/</w:t>
                  </w:r>
                </w:p>
              </w:tc>
              <w:tc>
                <w:tcPr>
                  <w:tcW w:w="2424" w:type="dxa"/>
                  <w:tcBorders>
                    <w:left w:val="single" w:color="auto" w:sz="4" w:space="0"/>
                    <w:bottom w:val="single" w:color="auto" w:sz="4" w:space="0"/>
                  </w:tcBorders>
                  <w:vAlign w:val="center"/>
                </w:tcPr>
                <w:p w14:paraId="1F6742CF">
                  <w:pPr>
                    <w:pStyle w:val="52"/>
                    <w:rPr>
                      <w:color w:val="auto"/>
                    </w:rPr>
                  </w:pPr>
                  <w:r>
                    <w:rPr>
                      <w:color w:val="auto"/>
                    </w:rPr>
                    <w:t>经雨水沉淀池沉淀处理后外排</w:t>
                  </w:r>
                </w:p>
              </w:tc>
            </w:tr>
            <w:tr w14:paraId="600CEC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tcBorders>
                  <w:vAlign w:val="center"/>
                </w:tcPr>
                <w:p w14:paraId="29B5BAD9">
                  <w:pPr>
                    <w:pStyle w:val="52"/>
                    <w:rPr>
                      <w:color w:val="auto"/>
                    </w:rPr>
                  </w:pPr>
                </w:p>
              </w:tc>
              <w:tc>
                <w:tcPr>
                  <w:tcW w:w="1842" w:type="dxa"/>
                  <w:tcBorders>
                    <w:bottom w:val="single" w:color="auto" w:sz="4" w:space="0"/>
                  </w:tcBorders>
                  <w:vAlign w:val="center"/>
                </w:tcPr>
                <w:p w14:paraId="19D02796">
                  <w:pPr>
                    <w:pStyle w:val="52"/>
                    <w:rPr>
                      <w:color w:val="auto"/>
                    </w:rPr>
                  </w:pPr>
                  <w:r>
                    <w:rPr>
                      <w:color w:val="auto"/>
                    </w:rPr>
                    <w:t>露天采场</w:t>
                  </w:r>
                  <w:r>
                    <w:rPr>
                      <w:rFonts w:hint="eastAsia"/>
                      <w:bCs/>
                      <w:color w:val="FF0000"/>
                    </w:rPr>
                    <w:t>初期雨水</w:t>
                  </w:r>
                  <w:r>
                    <w:rPr>
                      <w:color w:val="auto"/>
                    </w:rPr>
                    <w:t>（雨天）</w:t>
                  </w:r>
                </w:p>
              </w:tc>
              <w:tc>
                <w:tcPr>
                  <w:tcW w:w="852" w:type="dxa"/>
                  <w:tcBorders>
                    <w:bottom w:val="single" w:color="auto" w:sz="4" w:space="0"/>
                    <w:right w:val="single" w:color="auto" w:sz="4" w:space="0"/>
                  </w:tcBorders>
                  <w:vAlign w:val="center"/>
                </w:tcPr>
                <w:p w14:paraId="73D48197">
                  <w:pPr>
                    <w:pStyle w:val="52"/>
                    <w:rPr>
                      <w:color w:val="auto"/>
                    </w:rPr>
                  </w:pPr>
                </w:p>
              </w:tc>
              <w:tc>
                <w:tcPr>
                  <w:tcW w:w="996" w:type="dxa"/>
                  <w:tcBorders>
                    <w:left w:val="single" w:color="auto" w:sz="4" w:space="0"/>
                    <w:bottom w:val="single" w:color="auto" w:sz="4" w:space="0"/>
                  </w:tcBorders>
                  <w:vAlign w:val="center"/>
                </w:tcPr>
                <w:p w14:paraId="5CD9ED47">
                  <w:pPr>
                    <w:pStyle w:val="52"/>
                    <w:rPr>
                      <w:color w:val="auto"/>
                    </w:rPr>
                  </w:pPr>
                  <w:r>
                    <w:rPr>
                      <w:bCs/>
                      <w:color w:val="auto"/>
                    </w:rPr>
                    <w:t>618</w:t>
                  </w:r>
                </w:p>
              </w:tc>
              <w:tc>
                <w:tcPr>
                  <w:tcW w:w="852" w:type="dxa"/>
                  <w:tcBorders>
                    <w:bottom w:val="single" w:color="auto" w:sz="4" w:space="0"/>
                  </w:tcBorders>
                  <w:vAlign w:val="center"/>
                </w:tcPr>
                <w:p w14:paraId="2E308208">
                  <w:pPr>
                    <w:pStyle w:val="52"/>
                    <w:rPr>
                      <w:color w:val="auto"/>
                    </w:rPr>
                  </w:pPr>
                </w:p>
              </w:tc>
              <w:tc>
                <w:tcPr>
                  <w:tcW w:w="994" w:type="dxa"/>
                  <w:tcBorders>
                    <w:bottom w:val="single" w:color="auto" w:sz="4" w:space="0"/>
                  </w:tcBorders>
                  <w:vAlign w:val="center"/>
                </w:tcPr>
                <w:p w14:paraId="33910AD2">
                  <w:pPr>
                    <w:pStyle w:val="52"/>
                    <w:rPr>
                      <w:color w:val="auto"/>
                    </w:rPr>
                  </w:pPr>
                  <w:r>
                    <w:rPr>
                      <w:bCs/>
                      <w:color w:val="auto"/>
                    </w:rPr>
                    <w:t>618</w:t>
                  </w:r>
                </w:p>
              </w:tc>
              <w:tc>
                <w:tcPr>
                  <w:tcW w:w="1133" w:type="dxa"/>
                  <w:tcBorders>
                    <w:bottom w:val="single" w:color="auto" w:sz="4" w:space="0"/>
                    <w:right w:val="single" w:color="auto" w:sz="4" w:space="0"/>
                  </w:tcBorders>
                  <w:vAlign w:val="center"/>
                </w:tcPr>
                <w:p w14:paraId="6002E701">
                  <w:pPr>
                    <w:pStyle w:val="52"/>
                    <w:rPr>
                      <w:color w:val="auto"/>
                    </w:rPr>
                  </w:pPr>
                </w:p>
              </w:tc>
              <w:tc>
                <w:tcPr>
                  <w:tcW w:w="2424" w:type="dxa"/>
                  <w:tcBorders>
                    <w:left w:val="single" w:color="auto" w:sz="4" w:space="0"/>
                    <w:bottom w:val="single" w:color="auto" w:sz="4" w:space="0"/>
                  </w:tcBorders>
                  <w:vAlign w:val="center"/>
                </w:tcPr>
                <w:p w14:paraId="347FC46E">
                  <w:pPr>
                    <w:pStyle w:val="52"/>
                    <w:rPr>
                      <w:color w:val="auto"/>
                    </w:rPr>
                  </w:pPr>
                  <w:r>
                    <w:rPr>
                      <w:color w:val="auto"/>
                    </w:rPr>
                    <w:t>经雨水沉淀池沉淀处理后外排</w:t>
                  </w:r>
                </w:p>
              </w:tc>
            </w:tr>
            <w:tr w14:paraId="21137A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436" w:type="dxa"/>
                  <w:gridSpan w:val="2"/>
                  <w:vMerge w:val="restart"/>
                  <w:vAlign w:val="center"/>
                </w:tcPr>
                <w:p w14:paraId="7F5DC3C4">
                  <w:pPr>
                    <w:pStyle w:val="52"/>
                    <w:rPr>
                      <w:color w:val="auto"/>
                    </w:rPr>
                  </w:pPr>
                  <w:r>
                    <w:rPr>
                      <w:color w:val="auto"/>
                    </w:rPr>
                    <w:t>总废水量</w:t>
                  </w:r>
                  <w:r>
                    <w:rPr>
                      <w:rFonts w:hint="eastAsia"/>
                      <w:color w:val="auto"/>
                    </w:rPr>
                    <w:t xml:space="preserve"> </w:t>
                  </w:r>
                </w:p>
              </w:tc>
              <w:tc>
                <w:tcPr>
                  <w:tcW w:w="852" w:type="dxa"/>
                  <w:tcBorders>
                    <w:right w:val="single" w:color="auto" w:sz="4" w:space="0"/>
                  </w:tcBorders>
                  <w:vAlign w:val="center"/>
                </w:tcPr>
                <w:p w14:paraId="7070F140">
                  <w:pPr>
                    <w:pStyle w:val="52"/>
                    <w:rPr>
                      <w:color w:val="auto"/>
                    </w:rPr>
                  </w:pPr>
                  <w:r>
                    <w:rPr>
                      <w:color w:val="auto"/>
                    </w:rPr>
                    <w:t>旱季</w:t>
                  </w:r>
                </w:p>
              </w:tc>
              <w:tc>
                <w:tcPr>
                  <w:tcW w:w="996" w:type="dxa"/>
                  <w:tcBorders>
                    <w:left w:val="single" w:color="auto" w:sz="4" w:space="0"/>
                  </w:tcBorders>
                  <w:vAlign w:val="center"/>
                </w:tcPr>
                <w:p w14:paraId="36ABDE30">
                  <w:pPr>
                    <w:pStyle w:val="52"/>
                    <w:rPr>
                      <w:color w:val="auto"/>
                    </w:rPr>
                  </w:pPr>
                  <w:r>
                    <w:rPr>
                      <w:color w:val="auto"/>
                    </w:rPr>
                    <w:t>3.2</w:t>
                  </w:r>
                </w:p>
              </w:tc>
              <w:tc>
                <w:tcPr>
                  <w:tcW w:w="852" w:type="dxa"/>
                  <w:vAlign w:val="center"/>
                </w:tcPr>
                <w:p w14:paraId="37C55828">
                  <w:pPr>
                    <w:pStyle w:val="52"/>
                    <w:rPr>
                      <w:color w:val="auto"/>
                    </w:rPr>
                  </w:pPr>
                  <w:r>
                    <w:rPr>
                      <w:color w:val="auto"/>
                    </w:rPr>
                    <w:t>3.2</w:t>
                  </w:r>
                </w:p>
              </w:tc>
              <w:tc>
                <w:tcPr>
                  <w:tcW w:w="994" w:type="dxa"/>
                  <w:vAlign w:val="center"/>
                </w:tcPr>
                <w:p w14:paraId="0CD5B87B">
                  <w:pPr>
                    <w:pStyle w:val="52"/>
                    <w:rPr>
                      <w:color w:val="auto"/>
                    </w:rPr>
                  </w:pPr>
                  <w:r>
                    <w:rPr>
                      <w:color w:val="auto"/>
                    </w:rPr>
                    <w:t>0</w:t>
                  </w:r>
                </w:p>
              </w:tc>
              <w:tc>
                <w:tcPr>
                  <w:tcW w:w="1133" w:type="dxa"/>
                  <w:vMerge w:val="restart"/>
                  <w:tcBorders>
                    <w:right w:val="single" w:color="auto" w:sz="4" w:space="0"/>
                  </w:tcBorders>
                  <w:vAlign w:val="center"/>
                </w:tcPr>
                <w:p w14:paraId="687201EB">
                  <w:pPr>
                    <w:pStyle w:val="52"/>
                    <w:rPr>
                      <w:color w:val="auto"/>
                    </w:rPr>
                  </w:pPr>
                  <w:r>
                    <w:rPr>
                      <w:color w:val="auto"/>
                    </w:rPr>
                    <w:t>/</w:t>
                  </w:r>
                </w:p>
              </w:tc>
              <w:tc>
                <w:tcPr>
                  <w:tcW w:w="2424" w:type="dxa"/>
                  <w:vMerge w:val="restart"/>
                  <w:tcBorders>
                    <w:left w:val="single" w:color="auto" w:sz="4" w:space="0"/>
                  </w:tcBorders>
                  <w:vAlign w:val="center"/>
                </w:tcPr>
                <w:p w14:paraId="130D2F5A">
                  <w:pPr>
                    <w:pStyle w:val="52"/>
                    <w:rPr>
                      <w:color w:val="auto"/>
                    </w:rPr>
                  </w:pPr>
                  <w:r>
                    <w:rPr>
                      <w:color w:val="auto"/>
                    </w:rPr>
                    <w:t>/</w:t>
                  </w:r>
                </w:p>
              </w:tc>
            </w:tr>
            <w:tr w14:paraId="5FCAC8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436" w:type="dxa"/>
                  <w:gridSpan w:val="2"/>
                  <w:vMerge w:val="continue"/>
                  <w:vAlign w:val="center"/>
                </w:tcPr>
                <w:p w14:paraId="5C48FD8C">
                  <w:pPr>
                    <w:pStyle w:val="52"/>
                    <w:rPr>
                      <w:color w:val="auto"/>
                    </w:rPr>
                  </w:pPr>
                </w:p>
              </w:tc>
              <w:tc>
                <w:tcPr>
                  <w:tcW w:w="852" w:type="dxa"/>
                  <w:tcBorders>
                    <w:right w:val="single" w:color="auto" w:sz="4" w:space="0"/>
                  </w:tcBorders>
                  <w:vAlign w:val="center"/>
                </w:tcPr>
                <w:p w14:paraId="2D97B51A">
                  <w:pPr>
                    <w:pStyle w:val="52"/>
                    <w:rPr>
                      <w:color w:val="auto"/>
                    </w:rPr>
                  </w:pPr>
                  <w:r>
                    <w:rPr>
                      <w:color w:val="auto"/>
                    </w:rPr>
                    <w:t>雨季</w:t>
                  </w:r>
                </w:p>
              </w:tc>
              <w:tc>
                <w:tcPr>
                  <w:tcW w:w="996" w:type="dxa"/>
                  <w:tcBorders>
                    <w:left w:val="single" w:color="auto" w:sz="4" w:space="0"/>
                  </w:tcBorders>
                  <w:vAlign w:val="center"/>
                </w:tcPr>
                <w:p w14:paraId="3725C608">
                  <w:pPr>
                    <w:pStyle w:val="52"/>
                    <w:rPr>
                      <w:color w:val="auto"/>
                    </w:rPr>
                  </w:pPr>
                  <w:r>
                    <w:rPr>
                      <w:color w:val="auto"/>
                    </w:rPr>
                    <w:t>748.2</w:t>
                  </w:r>
                </w:p>
              </w:tc>
              <w:tc>
                <w:tcPr>
                  <w:tcW w:w="852" w:type="dxa"/>
                  <w:vAlign w:val="center"/>
                </w:tcPr>
                <w:p w14:paraId="22DC5941">
                  <w:pPr>
                    <w:pStyle w:val="52"/>
                    <w:rPr>
                      <w:color w:val="auto"/>
                    </w:rPr>
                  </w:pPr>
                  <w:r>
                    <w:rPr>
                      <w:color w:val="auto"/>
                    </w:rPr>
                    <w:t>3.2</w:t>
                  </w:r>
                </w:p>
              </w:tc>
              <w:tc>
                <w:tcPr>
                  <w:tcW w:w="994" w:type="dxa"/>
                  <w:vAlign w:val="center"/>
                </w:tcPr>
                <w:p w14:paraId="07049025">
                  <w:pPr>
                    <w:pStyle w:val="52"/>
                    <w:rPr>
                      <w:color w:val="auto"/>
                    </w:rPr>
                  </w:pPr>
                  <w:r>
                    <w:rPr>
                      <w:color w:val="auto"/>
                    </w:rPr>
                    <w:t>748.2</w:t>
                  </w:r>
                </w:p>
              </w:tc>
              <w:tc>
                <w:tcPr>
                  <w:tcW w:w="1133" w:type="dxa"/>
                  <w:vMerge w:val="continue"/>
                  <w:tcBorders>
                    <w:right w:val="single" w:color="auto" w:sz="4" w:space="0"/>
                  </w:tcBorders>
                  <w:vAlign w:val="center"/>
                </w:tcPr>
                <w:p w14:paraId="449A4B23">
                  <w:pPr>
                    <w:pStyle w:val="52"/>
                    <w:rPr>
                      <w:color w:val="auto"/>
                    </w:rPr>
                  </w:pPr>
                </w:p>
              </w:tc>
              <w:tc>
                <w:tcPr>
                  <w:tcW w:w="2424" w:type="dxa"/>
                  <w:vMerge w:val="continue"/>
                  <w:tcBorders>
                    <w:left w:val="single" w:color="auto" w:sz="4" w:space="0"/>
                  </w:tcBorders>
                  <w:vAlign w:val="center"/>
                </w:tcPr>
                <w:p w14:paraId="22C5FF00">
                  <w:pPr>
                    <w:pStyle w:val="52"/>
                    <w:rPr>
                      <w:color w:val="auto"/>
                    </w:rPr>
                  </w:pPr>
                </w:p>
              </w:tc>
            </w:tr>
            <w:tr w14:paraId="71ABAB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687" w:type="dxa"/>
                  <w:gridSpan w:val="8"/>
                  <w:vAlign w:val="center"/>
                </w:tcPr>
                <w:p w14:paraId="40D1745B">
                  <w:pPr>
                    <w:pStyle w:val="52"/>
                    <w:jc w:val="left"/>
                    <w:rPr>
                      <w:color w:val="auto"/>
                    </w:rPr>
                  </w:pPr>
                  <w:r>
                    <w:rPr>
                      <w:color w:val="auto"/>
                    </w:rPr>
                    <w:t>注：1、全年工作300天，非雨天按180天计，雨天按120天计；</w:t>
                  </w:r>
                </w:p>
                <w:p w14:paraId="257F11A9">
                  <w:pPr>
                    <w:pStyle w:val="52"/>
                    <w:ind w:firstLine="420" w:firstLineChars="200"/>
                    <w:jc w:val="left"/>
                    <w:rPr>
                      <w:color w:val="auto"/>
                    </w:rPr>
                  </w:pPr>
                  <w:r>
                    <w:rPr>
                      <w:color w:val="auto"/>
                    </w:rPr>
                    <w:t>2、采场及弃渣场</w:t>
                  </w:r>
                  <w:r>
                    <w:rPr>
                      <w:rFonts w:hint="eastAsia"/>
                      <w:bCs/>
                      <w:color w:val="FF0000"/>
                    </w:rPr>
                    <w:t>初期雨水</w:t>
                  </w:r>
                  <w:r>
                    <w:rPr>
                      <w:color w:val="auto"/>
                    </w:rPr>
                    <w:t>经排水沟收集后进入雨水沉淀池处理后排放，不计入废水排放总量。</w:t>
                  </w:r>
                </w:p>
              </w:tc>
            </w:tr>
          </w:tbl>
          <w:p w14:paraId="39BACC9C">
            <w:pPr>
              <w:ind w:firstLine="480"/>
              <w:jc w:val="both"/>
              <w:rPr>
                <w:rFonts w:cs="Times New Roman"/>
              </w:rPr>
            </w:pPr>
            <w:r>
              <w:rPr>
                <w:rFonts w:cs="Times New Roman"/>
              </w:rPr>
              <w:t>综上，项目区废水产生量90744m</w:t>
            </w:r>
            <w:r>
              <w:rPr>
                <w:rFonts w:cs="Times New Roman"/>
                <w:vertAlign w:val="superscript"/>
              </w:rPr>
              <w:t>3</w:t>
            </w:r>
            <w:r>
              <w:rPr>
                <w:rFonts w:cs="Times New Roman"/>
              </w:rPr>
              <w:t>/a（生活污水产生量960m</w:t>
            </w:r>
            <w:r>
              <w:rPr>
                <w:rFonts w:cs="Times New Roman"/>
                <w:vertAlign w:val="superscript"/>
              </w:rPr>
              <w:t>3</w:t>
            </w:r>
            <w:r>
              <w:rPr>
                <w:rFonts w:cs="Times New Roman"/>
              </w:rPr>
              <w:t>/a、弃渣场和露天采场</w:t>
            </w:r>
            <w:r>
              <w:rPr>
                <w:rFonts w:hint="eastAsia" w:cs="Times New Roman"/>
                <w:bCs/>
                <w:color w:val="FF0000"/>
              </w:rPr>
              <w:t>初期雨水</w:t>
            </w:r>
            <w:r>
              <w:rPr>
                <w:rFonts w:cs="Times New Roman"/>
              </w:rPr>
              <w:t>产生量为89784m</w:t>
            </w:r>
            <w:r>
              <w:rPr>
                <w:rFonts w:cs="Times New Roman"/>
                <w:vertAlign w:val="superscript"/>
              </w:rPr>
              <w:t>3</w:t>
            </w:r>
            <w:r>
              <w:rPr>
                <w:rFonts w:cs="Times New Roman"/>
              </w:rPr>
              <w:t>/a）。生活污水中的员工厨房废水经隔油池处理后和员工办公住宿废水一起经化粪池处理后用于绿化底肥，不外排；弃渣场和露天采场</w:t>
            </w:r>
            <w:r>
              <w:rPr>
                <w:rFonts w:hint="eastAsia" w:cs="Times New Roman"/>
                <w:bCs/>
                <w:color w:val="FF0000"/>
              </w:rPr>
              <w:t>初期雨水</w:t>
            </w:r>
            <w:r>
              <w:rPr>
                <w:rFonts w:cs="Times New Roman"/>
              </w:rPr>
              <w:t>经雨水沉淀池处理后外排，故项目区废水排放量为89784m</w:t>
            </w:r>
            <w:r>
              <w:rPr>
                <w:rFonts w:cs="Times New Roman"/>
                <w:vertAlign w:val="superscript"/>
              </w:rPr>
              <w:t>3</w:t>
            </w:r>
            <w:r>
              <w:rPr>
                <w:rFonts w:cs="Times New Roman"/>
              </w:rPr>
              <w:t>/a。</w:t>
            </w:r>
          </w:p>
          <w:p w14:paraId="0698FF01">
            <w:pPr>
              <w:pStyle w:val="31"/>
              <w:rPr>
                <w:rFonts w:cs="Times New Roman"/>
              </w:rPr>
            </w:pPr>
            <w:bookmarkStart w:id="28" w:name="OLE_LINK5"/>
            <w:bookmarkStart w:id="29" w:name="OLE_LINK4"/>
            <w:r>
              <w:rPr>
                <w:rFonts w:cs="Times New Roman"/>
              </w:rPr>
              <w:object>
                <v:shape id="_x0000_i1027" o:spt="75" type="#_x0000_t75" style="height:159pt;width:476.25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bookmarkEnd w:id="28"/>
            <w:bookmarkEnd w:id="29"/>
          </w:p>
          <w:p w14:paraId="11B200C5">
            <w:pPr>
              <w:pStyle w:val="31"/>
              <w:rPr>
                <w:rFonts w:cs="Times New Roman"/>
              </w:rPr>
            </w:pPr>
            <w:r>
              <w:rPr>
                <w:rFonts w:cs="Times New Roman"/>
              </w:rPr>
              <w:t>图5-3  项目区雨天水量平衡图  单位：m</w:t>
            </w:r>
            <w:r>
              <w:rPr>
                <w:rFonts w:cs="Times New Roman"/>
                <w:vertAlign w:val="superscript"/>
              </w:rPr>
              <w:t>3</w:t>
            </w:r>
            <w:r>
              <w:rPr>
                <w:rFonts w:cs="Times New Roman"/>
              </w:rPr>
              <w:t>/d</w:t>
            </w:r>
          </w:p>
          <w:p w14:paraId="701037E4">
            <w:pPr>
              <w:ind w:firstLine="199" w:firstLineChars="83"/>
              <w:jc w:val="both"/>
              <w:rPr>
                <w:rFonts w:cs="Times New Roman"/>
              </w:rPr>
            </w:pPr>
          </w:p>
          <w:p w14:paraId="10E5B723">
            <w:pPr>
              <w:ind w:firstLine="0" w:firstLineChars="0"/>
              <w:jc w:val="center"/>
              <w:rPr>
                <w:rFonts w:cs="Times New Roman"/>
                <w:bCs/>
              </w:rPr>
            </w:pPr>
            <w:r>
              <w:rPr>
                <w:rFonts w:cs="Times New Roman"/>
                <w:bCs/>
              </w:rPr>
              <w:object>
                <v:shape id="_x0000_i1028" o:spt="75" type="#_x0000_t75" style="height:284.25pt;width:470.25pt;" o:ole="t" filled="f" o:preferrelative="t" stroked="f" coordsize="21600,21600">
                  <v:path/>
                  <v:fill on="f" focussize="0,0"/>
                  <v:stroke on="f" joinstyle="miter"/>
                  <v:imagedata r:id="rId21" o:title=""/>
                  <o:lock v:ext="edit" aspectratio="t"/>
                  <w10:wrap type="none"/>
                  <w10:anchorlock/>
                </v:shape>
                <o:OLEObject Type="Embed" ProgID="Visio.Drawing.11" ShapeID="_x0000_i1028" DrawAspect="Content" ObjectID="_1468075728" r:id="rId20">
                  <o:LockedField>false</o:LockedField>
                </o:OLEObject>
              </w:object>
            </w:r>
          </w:p>
          <w:p w14:paraId="696F70D4">
            <w:pPr>
              <w:ind w:firstLine="0" w:firstLineChars="0"/>
              <w:jc w:val="center"/>
              <w:rPr>
                <w:rFonts w:cs="Times New Roman"/>
              </w:rPr>
            </w:pPr>
            <w:r>
              <w:rPr>
                <w:rFonts w:cs="Times New Roman"/>
              </w:rPr>
              <w:t>图5-2  项目区非雨天水量平衡图  单位：m</w:t>
            </w:r>
            <w:r>
              <w:rPr>
                <w:rFonts w:cs="Times New Roman"/>
                <w:vertAlign w:val="superscript"/>
              </w:rPr>
              <w:t>3</w:t>
            </w:r>
            <w:r>
              <w:rPr>
                <w:rFonts w:cs="Times New Roman"/>
              </w:rPr>
              <w:t>/d</w:t>
            </w:r>
          </w:p>
          <w:p w14:paraId="4246D09F">
            <w:pPr>
              <w:ind w:firstLine="480"/>
              <w:rPr>
                <w:rFonts w:cs="Times New Roman"/>
              </w:rPr>
            </w:pPr>
            <w:r>
              <w:rPr>
                <w:rFonts w:cs="Times New Roman"/>
              </w:rPr>
              <w:t>项目区废水及产生及排放源强详见表5-6。</w:t>
            </w:r>
          </w:p>
          <w:p w14:paraId="4F763C2F">
            <w:pPr>
              <w:pStyle w:val="31"/>
              <w:rPr>
                <w:rFonts w:cs="Times New Roman"/>
              </w:rPr>
            </w:pPr>
            <w:r>
              <w:rPr>
                <w:rFonts w:cs="Times New Roman"/>
              </w:rPr>
              <w:t>表5-6  项目区废水产生及排放源强</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17"/>
              <w:gridCol w:w="1231"/>
              <w:gridCol w:w="1557"/>
              <w:gridCol w:w="1748"/>
              <w:gridCol w:w="2251"/>
            </w:tblGrid>
            <w:tr w14:paraId="3E49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072514C6">
                  <w:pPr>
                    <w:pStyle w:val="52"/>
                    <w:rPr>
                      <w:color w:val="auto"/>
                    </w:rPr>
                  </w:pPr>
                  <w:r>
                    <w:rPr>
                      <w:color w:val="auto"/>
                    </w:rPr>
                    <w:t>污染物名称</w:t>
                  </w:r>
                </w:p>
              </w:tc>
              <w:tc>
                <w:tcPr>
                  <w:tcW w:w="1417" w:type="dxa"/>
                  <w:vAlign w:val="center"/>
                </w:tcPr>
                <w:p w14:paraId="6AB8512D">
                  <w:pPr>
                    <w:pStyle w:val="52"/>
                    <w:rPr>
                      <w:color w:val="auto"/>
                    </w:rPr>
                  </w:pPr>
                  <w:r>
                    <w:rPr>
                      <w:color w:val="auto"/>
                    </w:rPr>
                    <w:t>污染物产生浓度（mg/L）</w:t>
                  </w:r>
                </w:p>
              </w:tc>
              <w:tc>
                <w:tcPr>
                  <w:tcW w:w="1231" w:type="dxa"/>
                  <w:vAlign w:val="center"/>
                </w:tcPr>
                <w:p w14:paraId="0FFB8812">
                  <w:pPr>
                    <w:pStyle w:val="52"/>
                    <w:rPr>
                      <w:color w:val="auto"/>
                    </w:rPr>
                  </w:pPr>
                  <w:r>
                    <w:rPr>
                      <w:color w:val="auto"/>
                    </w:rPr>
                    <w:t>污染物产生量(t/a)</w:t>
                  </w:r>
                </w:p>
              </w:tc>
              <w:tc>
                <w:tcPr>
                  <w:tcW w:w="1557" w:type="dxa"/>
                  <w:vAlign w:val="center"/>
                </w:tcPr>
                <w:p w14:paraId="4151A502">
                  <w:pPr>
                    <w:pStyle w:val="52"/>
                    <w:rPr>
                      <w:color w:val="auto"/>
                    </w:rPr>
                  </w:pPr>
                  <w:r>
                    <w:rPr>
                      <w:color w:val="auto"/>
                    </w:rPr>
                    <w:t>污染物产生浓度（mg/L）</w:t>
                  </w:r>
                </w:p>
              </w:tc>
              <w:tc>
                <w:tcPr>
                  <w:tcW w:w="1748" w:type="dxa"/>
                </w:tcPr>
                <w:p w14:paraId="133A8A9A">
                  <w:pPr>
                    <w:pStyle w:val="52"/>
                    <w:rPr>
                      <w:color w:val="auto"/>
                    </w:rPr>
                  </w:pPr>
                  <w:r>
                    <w:rPr>
                      <w:color w:val="auto"/>
                    </w:rPr>
                    <w:t>污染物排放量(t/a)</w:t>
                  </w:r>
                </w:p>
              </w:tc>
              <w:tc>
                <w:tcPr>
                  <w:tcW w:w="2251" w:type="dxa"/>
                  <w:vAlign w:val="center"/>
                </w:tcPr>
                <w:p w14:paraId="7F661285">
                  <w:pPr>
                    <w:pStyle w:val="52"/>
                    <w:rPr>
                      <w:color w:val="auto"/>
                    </w:rPr>
                  </w:pPr>
                  <w:r>
                    <w:rPr>
                      <w:color w:val="auto"/>
                    </w:rPr>
                    <w:t>处理后去向</w:t>
                  </w:r>
                </w:p>
              </w:tc>
            </w:tr>
            <w:tr w14:paraId="011E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6A605549">
                  <w:pPr>
                    <w:pStyle w:val="52"/>
                    <w:rPr>
                      <w:color w:val="auto"/>
                    </w:rPr>
                  </w:pPr>
                  <w:r>
                    <w:rPr>
                      <w:color w:val="auto"/>
                    </w:rPr>
                    <w:t>生活废水量</w:t>
                  </w:r>
                </w:p>
              </w:tc>
              <w:tc>
                <w:tcPr>
                  <w:tcW w:w="2648" w:type="dxa"/>
                  <w:gridSpan w:val="2"/>
                  <w:vAlign w:val="center"/>
                </w:tcPr>
                <w:p w14:paraId="1683B998">
                  <w:pPr>
                    <w:pStyle w:val="52"/>
                    <w:rPr>
                      <w:color w:val="auto"/>
                    </w:rPr>
                  </w:pPr>
                  <w:r>
                    <w:rPr>
                      <w:color w:val="auto"/>
                    </w:rPr>
                    <w:t>0.096万m</w:t>
                  </w:r>
                  <w:r>
                    <w:rPr>
                      <w:color w:val="auto"/>
                      <w:vertAlign w:val="superscript"/>
                    </w:rPr>
                    <w:t>3</w:t>
                  </w:r>
                  <w:r>
                    <w:rPr>
                      <w:color w:val="auto"/>
                    </w:rPr>
                    <w:t>/a</w:t>
                  </w:r>
                </w:p>
              </w:tc>
              <w:tc>
                <w:tcPr>
                  <w:tcW w:w="3305" w:type="dxa"/>
                  <w:gridSpan w:val="2"/>
                  <w:vAlign w:val="center"/>
                </w:tcPr>
                <w:p w14:paraId="0FE61849">
                  <w:pPr>
                    <w:pStyle w:val="52"/>
                    <w:rPr>
                      <w:color w:val="auto"/>
                    </w:rPr>
                  </w:pPr>
                  <w:r>
                    <w:rPr>
                      <w:color w:val="auto"/>
                    </w:rPr>
                    <w:t>0万m</w:t>
                  </w:r>
                  <w:r>
                    <w:rPr>
                      <w:color w:val="auto"/>
                      <w:vertAlign w:val="superscript"/>
                    </w:rPr>
                    <w:t>3</w:t>
                  </w:r>
                  <w:r>
                    <w:rPr>
                      <w:color w:val="auto"/>
                    </w:rPr>
                    <w:t>/a</w:t>
                  </w:r>
                </w:p>
              </w:tc>
              <w:tc>
                <w:tcPr>
                  <w:tcW w:w="2251" w:type="dxa"/>
                  <w:vMerge w:val="restart"/>
                  <w:vAlign w:val="center"/>
                </w:tcPr>
                <w:p w14:paraId="63BFA805">
                  <w:pPr>
                    <w:pStyle w:val="52"/>
                    <w:rPr>
                      <w:color w:val="auto"/>
                    </w:rPr>
                  </w:pPr>
                  <w:r>
                    <w:rPr>
                      <w:color w:val="auto"/>
                    </w:rPr>
                    <w:t>员工厨房废水经隔油池处理后和员工办公、住宿废水一起经化粪池处理后用于绿化底肥，不外排</w:t>
                  </w:r>
                </w:p>
              </w:tc>
            </w:tr>
            <w:tr w14:paraId="3EB2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69C8AF37">
                  <w:pPr>
                    <w:pStyle w:val="52"/>
                    <w:rPr>
                      <w:color w:val="auto"/>
                    </w:rPr>
                  </w:pPr>
                  <w:r>
                    <w:rPr>
                      <w:color w:val="auto"/>
                    </w:rPr>
                    <w:t>COD</w:t>
                  </w:r>
                </w:p>
              </w:tc>
              <w:tc>
                <w:tcPr>
                  <w:tcW w:w="1417" w:type="dxa"/>
                  <w:vAlign w:val="center"/>
                </w:tcPr>
                <w:p w14:paraId="397EE886">
                  <w:pPr>
                    <w:pStyle w:val="52"/>
                    <w:rPr>
                      <w:color w:val="auto"/>
                    </w:rPr>
                  </w:pPr>
                  <w:r>
                    <w:rPr>
                      <w:color w:val="auto"/>
                    </w:rPr>
                    <w:t>350</w:t>
                  </w:r>
                </w:p>
              </w:tc>
              <w:tc>
                <w:tcPr>
                  <w:tcW w:w="1231" w:type="dxa"/>
                  <w:vAlign w:val="center"/>
                </w:tcPr>
                <w:p w14:paraId="21B8D711">
                  <w:pPr>
                    <w:ind w:firstLine="420"/>
                    <w:rPr>
                      <w:rFonts w:cs="Times New Roman"/>
                      <w:kern w:val="0"/>
                      <w:sz w:val="21"/>
                      <w:szCs w:val="20"/>
                    </w:rPr>
                  </w:pPr>
                  <w:r>
                    <w:rPr>
                      <w:rFonts w:cs="Times New Roman"/>
                      <w:kern w:val="0"/>
                      <w:sz w:val="21"/>
                      <w:szCs w:val="20"/>
                    </w:rPr>
                    <w:t>0.336</w:t>
                  </w:r>
                </w:p>
              </w:tc>
              <w:tc>
                <w:tcPr>
                  <w:tcW w:w="1557" w:type="dxa"/>
                  <w:vAlign w:val="center"/>
                </w:tcPr>
                <w:p w14:paraId="7A85C80F">
                  <w:pPr>
                    <w:pStyle w:val="52"/>
                    <w:rPr>
                      <w:color w:val="auto"/>
                    </w:rPr>
                  </w:pPr>
                  <w:r>
                    <w:rPr>
                      <w:color w:val="auto"/>
                    </w:rPr>
                    <w:t>0</w:t>
                  </w:r>
                </w:p>
              </w:tc>
              <w:tc>
                <w:tcPr>
                  <w:tcW w:w="1748" w:type="dxa"/>
                </w:tcPr>
                <w:p w14:paraId="0951C8ED">
                  <w:pPr>
                    <w:pStyle w:val="52"/>
                    <w:rPr>
                      <w:color w:val="auto"/>
                    </w:rPr>
                  </w:pPr>
                  <w:r>
                    <w:rPr>
                      <w:color w:val="auto"/>
                    </w:rPr>
                    <w:t>0</w:t>
                  </w:r>
                </w:p>
              </w:tc>
              <w:tc>
                <w:tcPr>
                  <w:tcW w:w="2251" w:type="dxa"/>
                  <w:vMerge w:val="continue"/>
                  <w:vAlign w:val="center"/>
                </w:tcPr>
                <w:p w14:paraId="6BADAA05">
                  <w:pPr>
                    <w:pStyle w:val="52"/>
                    <w:rPr>
                      <w:color w:val="auto"/>
                    </w:rPr>
                  </w:pPr>
                </w:p>
              </w:tc>
            </w:tr>
            <w:tr w14:paraId="14F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10E9A049">
                  <w:pPr>
                    <w:pStyle w:val="52"/>
                    <w:rPr>
                      <w:color w:val="auto"/>
                    </w:rPr>
                  </w:pPr>
                  <w:r>
                    <w:rPr>
                      <w:color w:val="auto"/>
                    </w:rPr>
                    <w:t>BOD</w:t>
                  </w:r>
                  <w:r>
                    <w:rPr>
                      <w:color w:val="auto"/>
                      <w:vertAlign w:val="subscript"/>
                    </w:rPr>
                    <w:t>5</w:t>
                  </w:r>
                </w:p>
              </w:tc>
              <w:tc>
                <w:tcPr>
                  <w:tcW w:w="1417" w:type="dxa"/>
                  <w:vAlign w:val="center"/>
                </w:tcPr>
                <w:p w14:paraId="2CD06835">
                  <w:pPr>
                    <w:pStyle w:val="52"/>
                    <w:rPr>
                      <w:color w:val="auto"/>
                    </w:rPr>
                  </w:pPr>
                  <w:r>
                    <w:rPr>
                      <w:color w:val="auto"/>
                    </w:rPr>
                    <w:t>300</w:t>
                  </w:r>
                </w:p>
              </w:tc>
              <w:tc>
                <w:tcPr>
                  <w:tcW w:w="1231" w:type="dxa"/>
                  <w:vAlign w:val="center"/>
                </w:tcPr>
                <w:p w14:paraId="66416701">
                  <w:pPr>
                    <w:ind w:firstLine="420"/>
                    <w:rPr>
                      <w:rFonts w:cs="Times New Roman"/>
                      <w:kern w:val="0"/>
                      <w:sz w:val="21"/>
                      <w:szCs w:val="20"/>
                    </w:rPr>
                  </w:pPr>
                  <w:r>
                    <w:rPr>
                      <w:rFonts w:cs="Times New Roman"/>
                      <w:kern w:val="0"/>
                      <w:sz w:val="21"/>
                      <w:szCs w:val="20"/>
                    </w:rPr>
                    <w:t>0.288</w:t>
                  </w:r>
                </w:p>
              </w:tc>
              <w:tc>
                <w:tcPr>
                  <w:tcW w:w="1557" w:type="dxa"/>
                  <w:vAlign w:val="center"/>
                </w:tcPr>
                <w:p w14:paraId="3CA3A431">
                  <w:pPr>
                    <w:pStyle w:val="52"/>
                    <w:rPr>
                      <w:color w:val="auto"/>
                    </w:rPr>
                  </w:pPr>
                  <w:r>
                    <w:rPr>
                      <w:color w:val="auto"/>
                    </w:rPr>
                    <w:t>0</w:t>
                  </w:r>
                </w:p>
              </w:tc>
              <w:tc>
                <w:tcPr>
                  <w:tcW w:w="1748" w:type="dxa"/>
                </w:tcPr>
                <w:p w14:paraId="3482D363">
                  <w:pPr>
                    <w:pStyle w:val="52"/>
                    <w:rPr>
                      <w:color w:val="auto"/>
                    </w:rPr>
                  </w:pPr>
                  <w:r>
                    <w:rPr>
                      <w:color w:val="auto"/>
                    </w:rPr>
                    <w:t>0</w:t>
                  </w:r>
                </w:p>
              </w:tc>
              <w:tc>
                <w:tcPr>
                  <w:tcW w:w="2251" w:type="dxa"/>
                  <w:vMerge w:val="continue"/>
                  <w:vAlign w:val="center"/>
                </w:tcPr>
                <w:p w14:paraId="1FCFB890">
                  <w:pPr>
                    <w:pStyle w:val="52"/>
                    <w:rPr>
                      <w:color w:val="auto"/>
                    </w:rPr>
                  </w:pPr>
                </w:p>
              </w:tc>
            </w:tr>
            <w:tr w14:paraId="766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5867DF31">
                  <w:pPr>
                    <w:pStyle w:val="52"/>
                    <w:rPr>
                      <w:color w:val="auto"/>
                    </w:rPr>
                  </w:pPr>
                  <w:r>
                    <w:rPr>
                      <w:color w:val="auto"/>
                    </w:rPr>
                    <w:t>SS</w:t>
                  </w:r>
                </w:p>
              </w:tc>
              <w:tc>
                <w:tcPr>
                  <w:tcW w:w="1417" w:type="dxa"/>
                  <w:vAlign w:val="center"/>
                </w:tcPr>
                <w:p w14:paraId="56323C9E">
                  <w:pPr>
                    <w:pStyle w:val="52"/>
                    <w:rPr>
                      <w:color w:val="auto"/>
                    </w:rPr>
                  </w:pPr>
                  <w:r>
                    <w:rPr>
                      <w:color w:val="auto"/>
                    </w:rPr>
                    <w:t>200</w:t>
                  </w:r>
                </w:p>
              </w:tc>
              <w:tc>
                <w:tcPr>
                  <w:tcW w:w="1231" w:type="dxa"/>
                  <w:vAlign w:val="center"/>
                </w:tcPr>
                <w:p w14:paraId="17CA30ED">
                  <w:pPr>
                    <w:ind w:firstLine="420"/>
                    <w:rPr>
                      <w:rFonts w:cs="Times New Roman"/>
                      <w:kern w:val="0"/>
                      <w:sz w:val="21"/>
                      <w:szCs w:val="20"/>
                    </w:rPr>
                  </w:pPr>
                  <w:r>
                    <w:rPr>
                      <w:rFonts w:cs="Times New Roman"/>
                      <w:kern w:val="0"/>
                      <w:sz w:val="21"/>
                      <w:szCs w:val="20"/>
                    </w:rPr>
                    <w:t>0.192</w:t>
                  </w:r>
                </w:p>
              </w:tc>
              <w:tc>
                <w:tcPr>
                  <w:tcW w:w="1557" w:type="dxa"/>
                  <w:vAlign w:val="center"/>
                </w:tcPr>
                <w:p w14:paraId="1E7D3FC7">
                  <w:pPr>
                    <w:pStyle w:val="52"/>
                    <w:rPr>
                      <w:color w:val="auto"/>
                    </w:rPr>
                  </w:pPr>
                  <w:r>
                    <w:rPr>
                      <w:color w:val="auto"/>
                    </w:rPr>
                    <w:t>0</w:t>
                  </w:r>
                </w:p>
              </w:tc>
              <w:tc>
                <w:tcPr>
                  <w:tcW w:w="1748" w:type="dxa"/>
                </w:tcPr>
                <w:p w14:paraId="2ECF0480">
                  <w:pPr>
                    <w:pStyle w:val="52"/>
                    <w:rPr>
                      <w:color w:val="auto"/>
                    </w:rPr>
                  </w:pPr>
                  <w:r>
                    <w:rPr>
                      <w:color w:val="auto"/>
                    </w:rPr>
                    <w:t>0</w:t>
                  </w:r>
                </w:p>
              </w:tc>
              <w:tc>
                <w:tcPr>
                  <w:tcW w:w="2251" w:type="dxa"/>
                  <w:vMerge w:val="continue"/>
                  <w:vAlign w:val="center"/>
                </w:tcPr>
                <w:p w14:paraId="631D9293">
                  <w:pPr>
                    <w:pStyle w:val="52"/>
                    <w:rPr>
                      <w:color w:val="auto"/>
                    </w:rPr>
                  </w:pPr>
                </w:p>
              </w:tc>
            </w:tr>
            <w:tr w14:paraId="2760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3EE7E685">
                  <w:pPr>
                    <w:pStyle w:val="52"/>
                    <w:rPr>
                      <w:color w:val="auto"/>
                    </w:rPr>
                  </w:pPr>
                  <w:r>
                    <w:rPr>
                      <w:color w:val="auto"/>
                    </w:rPr>
                    <w:t>动植物油</w:t>
                  </w:r>
                </w:p>
              </w:tc>
              <w:tc>
                <w:tcPr>
                  <w:tcW w:w="1417" w:type="dxa"/>
                  <w:vAlign w:val="center"/>
                </w:tcPr>
                <w:p w14:paraId="2A0860AE">
                  <w:pPr>
                    <w:pStyle w:val="52"/>
                    <w:rPr>
                      <w:color w:val="auto"/>
                    </w:rPr>
                  </w:pPr>
                  <w:r>
                    <w:rPr>
                      <w:color w:val="auto"/>
                    </w:rPr>
                    <w:t>50</w:t>
                  </w:r>
                </w:p>
              </w:tc>
              <w:tc>
                <w:tcPr>
                  <w:tcW w:w="1231" w:type="dxa"/>
                  <w:vAlign w:val="center"/>
                </w:tcPr>
                <w:p w14:paraId="459658A7">
                  <w:pPr>
                    <w:ind w:firstLine="420"/>
                    <w:rPr>
                      <w:rFonts w:cs="Times New Roman"/>
                      <w:kern w:val="0"/>
                      <w:sz w:val="21"/>
                      <w:szCs w:val="20"/>
                    </w:rPr>
                  </w:pPr>
                  <w:r>
                    <w:rPr>
                      <w:rFonts w:cs="Times New Roman"/>
                      <w:kern w:val="0"/>
                      <w:sz w:val="21"/>
                      <w:szCs w:val="20"/>
                    </w:rPr>
                    <w:t>0.048</w:t>
                  </w:r>
                </w:p>
              </w:tc>
              <w:tc>
                <w:tcPr>
                  <w:tcW w:w="1557" w:type="dxa"/>
                  <w:vAlign w:val="center"/>
                </w:tcPr>
                <w:p w14:paraId="2FC285DB">
                  <w:pPr>
                    <w:pStyle w:val="52"/>
                    <w:rPr>
                      <w:color w:val="auto"/>
                    </w:rPr>
                  </w:pPr>
                  <w:r>
                    <w:rPr>
                      <w:color w:val="auto"/>
                    </w:rPr>
                    <w:t>0</w:t>
                  </w:r>
                </w:p>
              </w:tc>
              <w:tc>
                <w:tcPr>
                  <w:tcW w:w="1748" w:type="dxa"/>
                </w:tcPr>
                <w:p w14:paraId="7E0ADB72">
                  <w:pPr>
                    <w:pStyle w:val="52"/>
                    <w:rPr>
                      <w:color w:val="auto"/>
                    </w:rPr>
                  </w:pPr>
                  <w:r>
                    <w:rPr>
                      <w:color w:val="auto"/>
                    </w:rPr>
                    <w:t>0</w:t>
                  </w:r>
                </w:p>
              </w:tc>
              <w:tc>
                <w:tcPr>
                  <w:tcW w:w="2251" w:type="dxa"/>
                  <w:vMerge w:val="continue"/>
                  <w:vAlign w:val="center"/>
                </w:tcPr>
                <w:p w14:paraId="244D8E53">
                  <w:pPr>
                    <w:pStyle w:val="52"/>
                    <w:rPr>
                      <w:color w:val="auto"/>
                    </w:rPr>
                  </w:pPr>
                </w:p>
              </w:tc>
            </w:tr>
            <w:tr w14:paraId="7B70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3993A40B">
                  <w:pPr>
                    <w:pStyle w:val="52"/>
                    <w:rPr>
                      <w:color w:val="auto"/>
                    </w:rPr>
                  </w:pPr>
                  <w:r>
                    <w:rPr>
                      <w:color w:val="auto"/>
                    </w:rPr>
                    <w:t>氨氮</w:t>
                  </w:r>
                </w:p>
              </w:tc>
              <w:tc>
                <w:tcPr>
                  <w:tcW w:w="1417" w:type="dxa"/>
                  <w:vAlign w:val="center"/>
                </w:tcPr>
                <w:p w14:paraId="5963D800">
                  <w:pPr>
                    <w:pStyle w:val="52"/>
                    <w:rPr>
                      <w:color w:val="auto"/>
                    </w:rPr>
                  </w:pPr>
                  <w:r>
                    <w:rPr>
                      <w:color w:val="auto"/>
                    </w:rPr>
                    <w:t>35</w:t>
                  </w:r>
                </w:p>
              </w:tc>
              <w:tc>
                <w:tcPr>
                  <w:tcW w:w="1231" w:type="dxa"/>
                  <w:vAlign w:val="center"/>
                </w:tcPr>
                <w:p w14:paraId="5D5F25B0">
                  <w:pPr>
                    <w:ind w:firstLine="420"/>
                    <w:rPr>
                      <w:rFonts w:cs="Times New Roman"/>
                      <w:kern w:val="0"/>
                      <w:sz w:val="21"/>
                      <w:szCs w:val="20"/>
                    </w:rPr>
                  </w:pPr>
                  <w:r>
                    <w:rPr>
                      <w:rFonts w:cs="Times New Roman"/>
                      <w:kern w:val="0"/>
                      <w:sz w:val="21"/>
                      <w:szCs w:val="20"/>
                    </w:rPr>
                    <w:t>0.034</w:t>
                  </w:r>
                </w:p>
              </w:tc>
              <w:tc>
                <w:tcPr>
                  <w:tcW w:w="1557" w:type="dxa"/>
                  <w:vAlign w:val="center"/>
                </w:tcPr>
                <w:p w14:paraId="78CE253A">
                  <w:pPr>
                    <w:pStyle w:val="52"/>
                    <w:rPr>
                      <w:color w:val="auto"/>
                    </w:rPr>
                  </w:pPr>
                  <w:r>
                    <w:rPr>
                      <w:color w:val="auto"/>
                    </w:rPr>
                    <w:t>0</w:t>
                  </w:r>
                </w:p>
              </w:tc>
              <w:tc>
                <w:tcPr>
                  <w:tcW w:w="1748" w:type="dxa"/>
                </w:tcPr>
                <w:p w14:paraId="21A73AA9">
                  <w:pPr>
                    <w:pStyle w:val="52"/>
                    <w:rPr>
                      <w:color w:val="auto"/>
                    </w:rPr>
                  </w:pPr>
                  <w:r>
                    <w:rPr>
                      <w:color w:val="auto"/>
                    </w:rPr>
                    <w:t>0</w:t>
                  </w:r>
                </w:p>
              </w:tc>
              <w:tc>
                <w:tcPr>
                  <w:tcW w:w="2251" w:type="dxa"/>
                  <w:vMerge w:val="continue"/>
                  <w:vAlign w:val="center"/>
                </w:tcPr>
                <w:p w14:paraId="780FE582">
                  <w:pPr>
                    <w:pStyle w:val="52"/>
                    <w:rPr>
                      <w:color w:val="auto"/>
                    </w:rPr>
                  </w:pPr>
                </w:p>
              </w:tc>
            </w:tr>
            <w:tr w14:paraId="316A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4BC18830">
                  <w:pPr>
                    <w:pStyle w:val="52"/>
                    <w:rPr>
                      <w:color w:val="auto"/>
                    </w:rPr>
                  </w:pPr>
                  <w:r>
                    <w:rPr>
                      <w:color w:val="auto"/>
                    </w:rPr>
                    <w:t>磷酸盐</w:t>
                  </w:r>
                </w:p>
              </w:tc>
              <w:tc>
                <w:tcPr>
                  <w:tcW w:w="1417" w:type="dxa"/>
                  <w:vAlign w:val="center"/>
                </w:tcPr>
                <w:p w14:paraId="7264EE0D">
                  <w:pPr>
                    <w:pStyle w:val="52"/>
                    <w:rPr>
                      <w:color w:val="auto"/>
                    </w:rPr>
                  </w:pPr>
                  <w:r>
                    <w:rPr>
                      <w:color w:val="auto"/>
                    </w:rPr>
                    <w:t>8</w:t>
                  </w:r>
                </w:p>
              </w:tc>
              <w:tc>
                <w:tcPr>
                  <w:tcW w:w="1231" w:type="dxa"/>
                  <w:vAlign w:val="center"/>
                </w:tcPr>
                <w:p w14:paraId="43CFB48D">
                  <w:pPr>
                    <w:ind w:firstLine="420"/>
                    <w:rPr>
                      <w:rFonts w:cs="Times New Roman"/>
                      <w:kern w:val="0"/>
                      <w:sz w:val="21"/>
                      <w:szCs w:val="20"/>
                    </w:rPr>
                  </w:pPr>
                  <w:r>
                    <w:rPr>
                      <w:rFonts w:cs="Times New Roman"/>
                      <w:kern w:val="0"/>
                      <w:sz w:val="21"/>
                      <w:szCs w:val="20"/>
                    </w:rPr>
                    <w:t>0.008</w:t>
                  </w:r>
                </w:p>
              </w:tc>
              <w:tc>
                <w:tcPr>
                  <w:tcW w:w="1557" w:type="dxa"/>
                  <w:vAlign w:val="center"/>
                </w:tcPr>
                <w:p w14:paraId="33D44F3D">
                  <w:pPr>
                    <w:pStyle w:val="52"/>
                    <w:rPr>
                      <w:color w:val="auto"/>
                    </w:rPr>
                  </w:pPr>
                  <w:r>
                    <w:rPr>
                      <w:color w:val="auto"/>
                    </w:rPr>
                    <w:t>0</w:t>
                  </w:r>
                </w:p>
              </w:tc>
              <w:tc>
                <w:tcPr>
                  <w:tcW w:w="1748" w:type="dxa"/>
                </w:tcPr>
                <w:p w14:paraId="6626A239">
                  <w:pPr>
                    <w:pStyle w:val="52"/>
                    <w:rPr>
                      <w:color w:val="auto"/>
                    </w:rPr>
                  </w:pPr>
                  <w:r>
                    <w:rPr>
                      <w:color w:val="auto"/>
                    </w:rPr>
                    <w:t>0</w:t>
                  </w:r>
                </w:p>
              </w:tc>
              <w:tc>
                <w:tcPr>
                  <w:tcW w:w="2251" w:type="dxa"/>
                  <w:vMerge w:val="continue"/>
                  <w:vAlign w:val="center"/>
                </w:tcPr>
                <w:p w14:paraId="3334F7C5">
                  <w:pPr>
                    <w:pStyle w:val="52"/>
                    <w:rPr>
                      <w:color w:val="auto"/>
                    </w:rPr>
                  </w:pPr>
                </w:p>
              </w:tc>
            </w:tr>
            <w:tr w14:paraId="6E10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51975DCF">
                  <w:pPr>
                    <w:pStyle w:val="52"/>
                    <w:rPr>
                      <w:color w:val="auto"/>
                    </w:rPr>
                  </w:pPr>
                  <w:r>
                    <w:rPr>
                      <w:rFonts w:hint="eastAsia"/>
                      <w:bCs/>
                      <w:color w:val="FF0000"/>
                    </w:rPr>
                    <w:t>初期雨水</w:t>
                  </w:r>
                  <w:r>
                    <w:rPr>
                      <w:color w:val="auto"/>
                    </w:rPr>
                    <w:t>量</w:t>
                  </w:r>
                </w:p>
              </w:tc>
              <w:tc>
                <w:tcPr>
                  <w:tcW w:w="2648" w:type="dxa"/>
                  <w:gridSpan w:val="2"/>
                  <w:vAlign w:val="center"/>
                </w:tcPr>
                <w:p w14:paraId="60677A23">
                  <w:pPr>
                    <w:pStyle w:val="52"/>
                    <w:rPr>
                      <w:color w:val="auto"/>
                    </w:rPr>
                  </w:pPr>
                  <w:r>
                    <w:rPr>
                      <w:color w:val="auto"/>
                    </w:rPr>
                    <w:t>8.9784万m</w:t>
                  </w:r>
                  <w:r>
                    <w:rPr>
                      <w:color w:val="auto"/>
                      <w:vertAlign w:val="superscript"/>
                    </w:rPr>
                    <w:t>3</w:t>
                  </w:r>
                  <w:r>
                    <w:rPr>
                      <w:color w:val="auto"/>
                    </w:rPr>
                    <w:t>/a</w:t>
                  </w:r>
                </w:p>
              </w:tc>
              <w:tc>
                <w:tcPr>
                  <w:tcW w:w="3305" w:type="dxa"/>
                  <w:gridSpan w:val="2"/>
                  <w:vAlign w:val="center"/>
                </w:tcPr>
                <w:p w14:paraId="5F14A6FA">
                  <w:pPr>
                    <w:pStyle w:val="52"/>
                    <w:rPr>
                      <w:color w:val="auto"/>
                    </w:rPr>
                  </w:pPr>
                  <w:r>
                    <w:rPr>
                      <w:color w:val="auto"/>
                    </w:rPr>
                    <w:t>8.9784万m</w:t>
                  </w:r>
                  <w:r>
                    <w:rPr>
                      <w:color w:val="auto"/>
                      <w:vertAlign w:val="superscript"/>
                    </w:rPr>
                    <w:t>3</w:t>
                  </w:r>
                  <w:r>
                    <w:rPr>
                      <w:color w:val="auto"/>
                    </w:rPr>
                    <w:t>/a</w:t>
                  </w:r>
                </w:p>
              </w:tc>
              <w:tc>
                <w:tcPr>
                  <w:tcW w:w="2251" w:type="dxa"/>
                  <w:vMerge w:val="restart"/>
                  <w:vAlign w:val="center"/>
                </w:tcPr>
                <w:p w14:paraId="04E0DFBC">
                  <w:pPr>
                    <w:pStyle w:val="52"/>
                    <w:rPr>
                      <w:color w:val="auto"/>
                    </w:rPr>
                  </w:pPr>
                  <w:r>
                    <w:rPr>
                      <w:color w:val="auto"/>
                    </w:rPr>
                    <w:t>排水沟收集后经雨水沉淀池处理后外排</w:t>
                  </w:r>
                </w:p>
              </w:tc>
            </w:tr>
            <w:tr w14:paraId="544B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3" w:type="dxa"/>
                  <w:vAlign w:val="center"/>
                </w:tcPr>
                <w:p w14:paraId="79FE9381">
                  <w:pPr>
                    <w:pStyle w:val="52"/>
                    <w:rPr>
                      <w:color w:val="auto"/>
                    </w:rPr>
                  </w:pPr>
                  <w:r>
                    <w:rPr>
                      <w:color w:val="auto"/>
                    </w:rPr>
                    <w:t>SS</w:t>
                  </w:r>
                </w:p>
              </w:tc>
              <w:tc>
                <w:tcPr>
                  <w:tcW w:w="1417" w:type="dxa"/>
                  <w:vAlign w:val="center"/>
                </w:tcPr>
                <w:p w14:paraId="0DD371F4">
                  <w:pPr>
                    <w:pStyle w:val="52"/>
                    <w:rPr>
                      <w:color w:val="auto"/>
                    </w:rPr>
                  </w:pPr>
                  <w:r>
                    <w:rPr>
                      <w:color w:val="auto"/>
                    </w:rPr>
                    <w:t>4000</w:t>
                  </w:r>
                </w:p>
              </w:tc>
              <w:tc>
                <w:tcPr>
                  <w:tcW w:w="1231" w:type="dxa"/>
                  <w:vAlign w:val="center"/>
                </w:tcPr>
                <w:p w14:paraId="1732B470">
                  <w:pPr>
                    <w:pStyle w:val="52"/>
                    <w:rPr>
                      <w:color w:val="auto"/>
                    </w:rPr>
                  </w:pPr>
                  <w:r>
                    <w:rPr>
                      <w:color w:val="auto"/>
                    </w:rPr>
                    <w:t>359.1</w:t>
                  </w:r>
                </w:p>
              </w:tc>
              <w:tc>
                <w:tcPr>
                  <w:tcW w:w="1557" w:type="dxa"/>
                  <w:vAlign w:val="center"/>
                </w:tcPr>
                <w:p w14:paraId="65B80A19">
                  <w:pPr>
                    <w:pStyle w:val="52"/>
                    <w:rPr>
                      <w:color w:val="auto"/>
                    </w:rPr>
                  </w:pPr>
                  <w:r>
                    <w:rPr>
                      <w:color w:val="auto"/>
                    </w:rPr>
                    <w:t>400</w:t>
                  </w:r>
                </w:p>
              </w:tc>
              <w:tc>
                <w:tcPr>
                  <w:tcW w:w="1748" w:type="dxa"/>
                  <w:vAlign w:val="center"/>
                </w:tcPr>
                <w:p w14:paraId="13DCE14F">
                  <w:pPr>
                    <w:pStyle w:val="52"/>
                    <w:rPr>
                      <w:color w:val="auto"/>
                    </w:rPr>
                  </w:pPr>
                  <w:r>
                    <w:rPr>
                      <w:color w:val="auto"/>
                    </w:rPr>
                    <w:t>35.91</w:t>
                  </w:r>
                </w:p>
              </w:tc>
              <w:tc>
                <w:tcPr>
                  <w:tcW w:w="2251" w:type="dxa"/>
                  <w:vMerge w:val="continue"/>
                  <w:vAlign w:val="center"/>
                </w:tcPr>
                <w:p w14:paraId="5AE20FD6">
                  <w:pPr>
                    <w:pStyle w:val="52"/>
                    <w:rPr>
                      <w:color w:val="auto"/>
                    </w:rPr>
                  </w:pPr>
                </w:p>
              </w:tc>
            </w:tr>
          </w:tbl>
          <w:p w14:paraId="57A35D3A">
            <w:pPr>
              <w:ind w:firstLine="482"/>
              <w:rPr>
                <w:rFonts w:cs="Times New Roman"/>
                <w:b/>
                <w:bCs/>
              </w:rPr>
            </w:pPr>
            <w:r>
              <w:rPr>
                <w:rFonts w:cs="Times New Roman"/>
                <w:b/>
                <w:bCs/>
              </w:rPr>
              <w:t>3、噪声</w:t>
            </w:r>
          </w:p>
          <w:p w14:paraId="299CF1C0">
            <w:pPr>
              <w:ind w:firstLine="480"/>
              <w:rPr>
                <w:rFonts w:cs="Times New Roman"/>
              </w:rPr>
            </w:pPr>
            <w:r>
              <w:rPr>
                <w:rFonts w:cs="Times New Roman"/>
              </w:rPr>
              <w:t>项目开采期主要噪声源有爆破、潜孔钻和装载机等，其源强为75～110dB(A)，具体见表5-7。</w:t>
            </w:r>
          </w:p>
          <w:p w14:paraId="16DB8E6D">
            <w:pPr>
              <w:pStyle w:val="31"/>
              <w:rPr>
                <w:rFonts w:cs="Times New Roman"/>
              </w:rPr>
            </w:pPr>
            <w:r>
              <w:rPr>
                <w:rFonts w:cs="Times New Roman"/>
              </w:rPr>
              <w:t>表5-7  项目主要设备噪声源强表</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2686"/>
              <w:gridCol w:w="2674"/>
              <w:gridCol w:w="2614"/>
            </w:tblGrid>
            <w:tr w14:paraId="1DE898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Align w:val="center"/>
                </w:tcPr>
                <w:p w14:paraId="2E59C549">
                  <w:pPr>
                    <w:pStyle w:val="52"/>
                    <w:rPr>
                      <w:color w:val="auto"/>
                    </w:rPr>
                  </w:pPr>
                  <w:r>
                    <w:rPr>
                      <w:color w:val="auto"/>
                    </w:rPr>
                    <w:t>噪声源位置</w:t>
                  </w:r>
                </w:p>
              </w:tc>
              <w:tc>
                <w:tcPr>
                  <w:tcW w:w="2686" w:type="dxa"/>
                  <w:vAlign w:val="center"/>
                </w:tcPr>
                <w:p w14:paraId="06F2725C">
                  <w:pPr>
                    <w:pStyle w:val="52"/>
                    <w:rPr>
                      <w:color w:val="auto"/>
                    </w:rPr>
                  </w:pPr>
                  <w:r>
                    <w:rPr>
                      <w:color w:val="auto"/>
                    </w:rPr>
                    <w:t>主要噪声源</w:t>
                  </w:r>
                </w:p>
              </w:tc>
              <w:tc>
                <w:tcPr>
                  <w:tcW w:w="2674" w:type="dxa"/>
                  <w:vAlign w:val="center"/>
                </w:tcPr>
                <w:p w14:paraId="743F1FBE">
                  <w:pPr>
                    <w:pStyle w:val="52"/>
                    <w:rPr>
                      <w:color w:val="auto"/>
                    </w:rPr>
                  </w:pPr>
                  <w:r>
                    <w:rPr>
                      <w:color w:val="auto"/>
                    </w:rPr>
                    <w:t>声源分类</w:t>
                  </w:r>
                </w:p>
              </w:tc>
              <w:tc>
                <w:tcPr>
                  <w:tcW w:w="2614" w:type="dxa"/>
                  <w:vAlign w:val="center"/>
                </w:tcPr>
                <w:p w14:paraId="77B578EA">
                  <w:pPr>
                    <w:pStyle w:val="52"/>
                    <w:rPr>
                      <w:color w:val="auto"/>
                    </w:rPr>
                  </w:pPr>
                  <w:r>
                    <w:rPr>
                      <w:color w:val="auto"/>
                    </w:rPr>
                    <w:t xml:space="preserve">声级值dB(A) </w:t>
                  </w:r>
                </w:p>
              </w:tc>
            </w:tr>
            <w:tr w14:paraId="6D87E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restart"/>
                  <w:vAlign w:val="center"/>
                </w:tcPr>
                <w:p w14:paraId="41983831">
                  <w:pPr>
                    <w:pStyle w:val="52"/>
                    <w:rPr>
                      <w:color w:val="auto"/>
                    </w:rPr>
                  </w:pPr>
                  <w:r>
                    <w:rPr>
                      <w:color w:val="auto"/>
                    </w:rPr>
                    <w:t>采掘工作面</w:t>
                  </w:r>
                </w:p>
              </w:tc>
              <w:tc>
                <w:tcPr>
                  <w:tcW w:w="2686" w:type="dxa"/>
                  <w:vAlign w:val="center"/>
                </w:tcPr>
                <w:p w14:paraId="66AEE052">
                  <w:pPr>
                    <w:pStyle w:val="52"/>
                    <w:rPr>
                      <w:color w:val="auto"/>
                    </w:rPr>
                  </w:pPr>
                  <w:r>
                    <w:rPr>
                      <w:color w:val="auto"/>
                    </w:rPr>
                    <w:t>潜孔钻</w:t>
                  </w:r>
                </w:p>
              </w:tc>
              <w:tc>
                <w:tcPr>
                  <w:tcW w:w="2674" w:type="dxa"/>
                  <w:vAlign w:val="center"/>
                </w:tcPr>
                <w:p w14:paraId="71E415C0">
                  <w:pPr>
                    <w:pStyle w:val="52"/>
                    <w:rPr>
                      <w:color w:val="auto"/>
                    </w:rPr>
                  </w:pPr>
                  <w:r>
                    <w:rPr>
                      <w:color w:val="auto"/>
                    </w:rPr>
                    <w:t>空气动力性</w:t>
                  </w:r>
                </w:p>
              </w:tc>
              <w:tc>
                <w:tcPr>
                  <w:tcW w:w="2614" w:type="dxa"/>
                  <w:vAlign w:val="center"/>
                </w:tcPr>
                <w:p w14:paraId="2C3B2250">
                  <w:pPr>
                    <w:pStyle w:val="52"/>
                    <w:rPr>
                      <w:color w:val="auto"/>
                    </w:rPr>
                  </w:pPr>
                  <w:r>
                    <w:rPr>
                      <w:color w:val="auto"/>
                    </w:rPr>
                    <w:t>75～85</w:t>
                  </w:r>
                </w:p>
              </w:tc>
            </w:tr>
            <w:tr w14:paraId="2DC89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4C336701">
                  <w:pPr>
                    <w:pStyle w:val="52"/>
                    <w:rPr>
                      <w:color w:val="auto"/>
                    </w:rPr>
                  </w:pPr>
                </w:p>
              </w:tc>
              <w:tc>
                <w:tcPr>
                  <w:tcW w:w="2686" w:type="dxa"/>
                  <w:vAlign w:val="center"/>
                </w:tcPr>
                <w:p w14:paraId="55B178D9">
                  <w:pPr>
                    <w:pStyle w:val="52"/>
                    <w:rPr>
                      <w:color w:val="auto"/>
                    </w:rPr>
                  </w:pPr>
                  <w:r>
                    <w:rPr>
                      <w:color w:val="auto"/>
                    </w:rPr>
                    <w:t>爆破</w:t>
                  </w:r>
                </w:p>
              </w:tc>
              <w:tc>
                <w:tcPr>
                  <w:tcW w:w="2674" w:type="dxa"/>
                  <w:vAlign w:val="center"/>
                </w:tcPr>
                <w:p w14:paraId="4B63CD5D">
                  <w:pPr>
                    <w:pStyle w:val="52"/>
                    <w:rPr>
                      <w:color w:val="auto"/>
                    </w:rPr>
                  </w:pPr>
                  <w:r>
                    <w:rPr>
                      <w:color w:val="auto"/>
                    </w:rPr>
                    <w:t>空气动力性</w:t>
                  </w:r>
                </w:p>
              </w:tc>
              <w:tc>
                <w:tcPr>
                  <w:tcW w:w="2614" w:type="dxa"/>
                  <w:vAlign w:val="center"/>
                </w:tcPr>
                <w:p w14:paraId="03A2528F">
                  <w:pPr>
                    <w:pStyle w:val="52"/>
                    <w:rPr>
                      <w:color w:val="auto"/>
                    </w:rPr>
                  </w:pPr>
                  <w:r>
                    <w:rPr>
                      <w:color w:val="auto"/>
                    </w:rPr>
                    <w:t>110</w:t>
                  </w:r>
                </w:p>
              </w:tc>
            </w:tr>
            <w:tr w14:paraId="2E51B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25AC4ED6">
                  <w:pPr>
                    <w:pStyle w:val="52"/>
                    <w:rPr>
                      <w:color w:val="auto"/>
                    </w:rPr>
                  </w:pPr>
                </w:p>
              </w:tc>
              <w:tc>
                <w:tcPr>
                  <w:tcW w:w="2686" w:type="dxa"/>
                  <w:vAlign w:val="center"/>
                </w:tcPr>
                <w:p w14:paraId="42529C02">
                  <w:pPr>
                    <w:pStyle w:val="52"/>
                    <w:rPr>
                      <w:color w:val="auto"/>
                    </w:rPr>
                  </w:pPr>
                  <w:r>
                    <w:rPr>
                      <w:color w:val="auto"/>
                    </w:rPr>
                    <w:t>挖掘机</w:t>
                  </w:r>
                </w:p>
              </w:tc>
              <w:tc>
                <w:tcPr>
                  <w:tcW w:w="2674" w:type="dxa"/>
                  <w:vAlign w:val="center"/>
                </w:tcPr>
                <w:p w14:paraId="43C8C589">
                  <w:pPr>
                    <w:pStyle w:val="52"/>
                    <w:rPr>
                      <w:color w:val="auto"/>
                    </w:rPr>
                  </w:pPr>
                  <w:r>
                    <w:rPr>
                      <w:color w:val="auto"/>
                    </w:rPr>
                    <w:t>机械性</w:t>
                  </w:r>
                </w:p>
              </w:tc>
              <w:tc>
                <w:tcPr>
                  <w:tcW w:w="2614" w:type="dxa"/>
                  <w:vAlign w:val="center"/>
                </w:tcPr>
                <w:p w14:paraId="19956858">
                  <w:pPr>
                    <w:pStyle w:val="52"/>
                    <w:rPr>
                      <w:color w:val="auto"/>
                    </w:rPr>
                  </w:pPr>
                  <w:r>
                    <w:rPr>
                      <w:color w:val="auto"/>
                    </w:rPr>
                    <w:t>85～95</w:t>
                  </w:r>
                </w:p>
              </w:tc>
            </w:tr>
            <w:tr w14:paraId="34CA0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restart"/>
                  <w:vAlign w:val="center"/>
                </w:tcPr>
                <w:p w14:paraId="0B1422C3">
                  <w:pPr>
                    <w:pStyle w:val="52"/>
                    <w:rPr>
                      <w:color w:val="auto"/>
                    </w:rPr>
                  </w:pPr>
                  <w:r>
                    <w:rPr>
                      <w:color w:val="auto"/>
                    </w:rPr>
                    <w:t>堆料场、弃渣场</w:t>
                  </w:r>
                </w:p>
              </w:tc>
              <w:tc>
                <w:tcPr>
                  <w:tcW w:w="2686" w:type="dxa"/>
                  <w:vAlign w:val="center"/>
                </w:tcPr>
                <w:p w14:paraId="7E8BECFF">
                  <w:pPr>
                    <w:pStyle w:val="52"/>
                    <w:rPr>
                      <w:color w:val="auto"/>
                    </w:rPr>
                  </w:pPr>
                  <w:r>
                    <w:rPr>
                      <w:color w:val="auto"/>
                    </w:rPr>
                    <w:t>车辆噪声</w:t>
                  </w:r>
                </w:p>
              </w:tc>
              <w:tc>
                <w:tcPr>
                  <w:tcW w:w="2674" w:type="dxa"/>
                  <w:vAlign w:val="center"/>
                </w:tcPr>
                <w:p w14:paraId="211C3127">
                  <w:pPr>
                    <w:pStyle w:val="52"/>
                    <w:rPr>
                      <w:color w:val="auto"/>
                    </w:rPr>
                  </w:pPr>
                  <w:r>
                    <w:rPr>
                      <w:color w:val="auto"/>
                    </w:rPr>
                    <w:t>机械性</w:t>
                  </w:r>
                </w:p>
              </w:tc>
              <w:tc>
                <w:tcPr>
                  <w:tcW w:w="2614" w:type="dxa"/>
                  <w:vAlign w:val="center"/>
                </w:tcPr>
                <w:p w14:paraId="5801F825">
                  <w:pPr>
                    <w:pStyle w:val="52"/>
                    <w:rPr>
                      <w:color w:val="auto"/>
                    </w:rPr>
                  </w:pPr>
                  <w:r>
                    <w:rPr>
                      <w:color w:val="auto"/>
                    </w:rPr>
                    <w:t>85</w:t>
                  </w:r>
                </w:p>
              </w:tc>
            </w:tr>
            <w:tr w14:paraId="67CE6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36E67097">
                  <w:pPr>
                    <w:pStyle w:val="52"/>
                    <w:rPr>
                      <w:color w:val="auto"/>
                    </w:rPr>
                  </w:pPr>
                </w:p>
              </w:tc>
              <w:tc>
                <w:tcPr>
                  <w:tcW w:w="2686" w:type="dxa"/>
                  <w:vAlign w:val="center"/>
                </w:tcPr>
                <w:p w14:paraId="0D42B1F9">
                  <w:pPr>
                    <w:pStyle w:val="52"/>
                    <w:rPr>
                      <w:color w:val="auto"/>
                    </w:rPr>
                  </w:pPr>
                  <w:r>
                    <w:rPr>
                      <w:color w:val="auto"/>
                    </w:rPr>
                    <w:t>装载机</w:t>
                  </w:r>
                </w:p>
              </w:tc>
              <w:tc>
                <w:tcPr>
                  <w:tcW w:w="2674" w:type="dxa"/>
                  <w:vAlign w:val="center"/>
                </w:tcPr>
                <w:p w14:paraId="684AF98E">
                  <w:pPr>
                    <w:pStyle w:val="52"/>
                    <w:rPr>
                      <w:color w:val="auto"/>
                    </w:rPr>
                  </w:pPr>
                  <w:r>
                    <w:rPr>
                      <w:color w:val="auto"/>
                    </w:rPr>
                    <w:t>机械性</w:t>
                  </w:r>
                </w:p>
              </w:tc>
              <w:tc>
                <w:tcPr>
                  <w:tcW w:w="2614" w:type="dxa"/>
                  <w:vAlign w:val="center"/>
                </w:tcPr>
                <w:p w14:paraId="566AD198">
                  <w:pPr>
                    <w:pStyle w:val="52"/>
                    <w:rPr>
                      <w:color w:val="auto"/>
                    </w:rPr>
                  </w:pPr>
                  <w:r>
                    <w:rPr>
                      <w:color w:val="auto"/>
                    </w:rPr>
                    <w:t>90</w:t>
                  </w:r>
                </w:p>
              </w:tc>
            </w:tr>
            <w:tr w14:paraId="4F9A25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23" w:type="dxa"/>
                  <w:vMerge w:val="restart"/>
                  <w:vAlign w:val="center"/>
                </w:tcPr>
                <w:p w14:paraId="7400CF00">
                  <w:pPr>
                    <w:pStyle w:val="52"/>
                    <w:rPr>
                      <w:color w:val="auto"/>
                    </w:rPr>
                  </w:pPr>
                  <w:r>
                    <w:rPr>
                      <w:color w:val="auto"/>
                    </w:rPr>
                    <w:t>生产加工区</w:t>
                  </w:r>
                </w:p>
              </w:tc>
              <w:tc>
                <w:tcPr>
                  <w:tcW w:w="2686" w:type="dxa"/>
                  <w:vAlign w:val="center"/>
                </w:tcPr>
                <w:p w14:paraId="6B089ABB">
                  <w:pPr>
                    <w:pStyle w:val="52"/>
                    <w:rPr>
                      <w:color w:val="auto"/>
                    </w:rPr>
                  </w:pPr>
                  <w:r>
                    <w:rPr>
                      <w:color w:val="auto"/>
                    </w:rPr>
                    <w:t>破碎机</w:t>
                  </w:r>
                </w:p>
              </w:tc>
              <w:tc>
                <w:tcPr>
                  <w:tcW w:w="2674" w:type="dxa"/>
                  <w:vAlign w:val="center"/>
                </w:tcPr>
                <w:p w14:paraId="1546DE1D">
                  <w:pPr>
                    <w:pStyle w:val="52"/>
                    <w:rPr>
                      <w:color w:val="auto"/>
                    </w:rPr>
                  </w:pPr>
                  <w:r>
                    <w:rPr>
                      <w:color w:val="auto"/>
                    </w:rPr>
                    <w:t>机械性</w:t>
                  </w:r>
                </w:p>
              </w:tc>
              <w:tc>
                <w:tcPr>
                  <w:tcW w:w="2614" w:type="dxa"/>
                  <w:vAlign w:val="center"/>
                </w:tcPr>
                <w:p w14:paraId="16049331">
                  <w:pPr>
                    <w:pStyle w:val="52"/>
                    <w:rPr>
                      <w:color w:val="auto"/>
                    </w:rPr>
                  </w:pPr>
                  <w:r>
                    <w:rPr>
                      <w:color w:val="auto"/>
                    </w:rPr>
                    <w:t>85～95</w:t>
                  </w:r>
                </w:p>
              </w:tc>
            </w:tr>
            <w:tr w14:paraId="5169E9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23" w:type="dxa"/>
                  <w:vMerge w:val="continue"/>
                  <w:vAlign w:val="center"/>
                </w:tcPr>
                <w:p w14:paraId="3476C09D">
                  <w:pPr>
                    <w:pStyle w:val="52"/>
                    <w:rPr>
                      <w:color w:val="auto"/>
                    </w:rPr>
                  </w:pPr>
                </w:p>
              </w:tc>
              <w:tc>
                <w:tcPr>
                  <w:tcW w:w="2686" w:type="dxa"/>
                  <w:vAlign w:val="center"/>
                </w:tcPr>
                <w:p w14:paraId="23F51DE5">
                  <w:pPr>
                    <w:pStyle w:val="52"/>
                    <w:rPr>
                      <w:color w:val="auto"/>
                    </w:rPr>
                  </w:pPr>
                  <w:r>
                    <w:rPr>
                      <w:color w:val="auto"/>
                    </w:rPr>
                    <w:t>空压机</w:t>
                  </w:r>
                </w:p>
              </w:tc>
              <w:tc>
                <w:tcPr>
                  <w:tcW w:w="2674" w:type="dxa"/>
                  <w:vAlign w:val="center"/>
                </w:tcPr>
                <w:p w14:paraId="031D4115">
                  <w:pPr>
                    <w:pStyle w:val="52"/>
                    <w:rPr>
                      <w:color w:val="auto"/>
                    </w:rPr>
                  </w:pPr>
                  <w:r>
                    <w:rPr>
                      <w:color w:val="auto"/>
                    </w:rPr>
                    <w:t>机械性</w:t>
                  </w:r>
                </w:p>
              </w:tc>
              <w:tc>
                <w:tcPr>
                  <w:tcW w:w="2614" w:type="dxa"/>
                  <w:vAlign w:val="center"/>
                </w:tcPr>
                <w:p w14:paraId="51576AB6">
                  <w:pPr>
                    <w:pStyle w:val="52"/>
                    <w:rPr>
                      <w:color w:val="auto"/>
                    </w:rPr>
                  </w:pPr>
                  <w:r>
                    <w:rPr>
                      <w:color w:val="auto"/>
                    </w:rPr>
                    <w:t>85～95</w:t>
                  </w:r>
                </w:p>
              </w:tc>
            </w:tr>
          </w:tbl>
          <w:p w14:paraId="7D326746">
            <w:pPr>
              <w:ind w:firstLine="482"/>
              <w:rPr>
                <w:rFonts w:cs="Times New Roman"/>
                <w:b/>
                <w:bCs/>
              </w:rPr>
            </w:pPr>
            <w:r>
              <w:rPr>
                <w:rFonts w:cs="Times New Roman"/>
                <w:b/>
                <w:bCs/>
              </w:rPr>
              <w:t>4、项目固体废物</w:t>
            </w:r>
          </w:p>
          <w:p w14:paraId="73737263">
            <w:pPr>
              <w:ind w:firstLine="480"/>
              <w:rPr>
                <w:rFonts w:cs="Times New Roman"/>
              </w:rPr>
            </w:pPr>
            <w:r>
              <w:rPr>
                <w:rFonts w:cs="Times New Roman"/>
              </w:rPr>
              <w:t>项目开采期产生的固体废弃物主要是废土石，其次是少量的隔油池废油、厨房泔水、化粪池污泥、雨水沉淀池沉渣、生活垃圾及机修废油等。</w:t>
            </w:r>
          </w:p>
          <w:p w14:paraId="1D3CC3A7">
            <w:pPr>
              <w:ind w:firstLine="480"/>
              <w:rPr>
                <w:rFonts w:cs="Times New Roman"/>
              </w:rPr>
            </w:pPr>
            <w:r>
              <w:rPr>
                <w:rFonts w:cs="Times New Roman"/>
              </w:rPr>
              <w:t>（1）项目废土石</w:t>
            </w:r>
          </w:p>
          <w:p w14:paraId="55F239CC">
            <w:pPr>
              <w:ind w:firstLine="480"/>
              <w:rPr>
                <w:rFonts w:cs="Times New Roman"/>
                <w:szCs w:val="24"/>
                <w:lang w:val="zh-CN"/>
              </w:rPr>
            </w:pPr>
            <w:r>
              <w:rPr>
                <w:rFonts w:cs="Times New Roman"/>
                <w:szCs w:val="24"/>
                <w:lang w:val="zh-CN"/>
              </w:rPr>
              <w:t>根据《开发利用方案》，项目矿山设计</w:t>
            </w:r>
            <w:r>
              <w:rPr>
                <w:rFonts w:cs="Times New Roman"/>
                <w:szCs w:val="24"/>
              </w:rPr>
              <w:t>剥采比0.28:1</w:t>
            </w:r>
            <w:r>
              <w:rPr>
                <w:rFonts w:cs="Times New Roman"/>
                <w:szCs w:val="24"/>
                <w:lang w:val="zh-CN"/>
              </w:rPr>
              <w:t>，剥离废土石量为6.437万m</w:t>
            </w:r>
            <w:r>
              <w:rPr>
                <w:rFonts w:cs="Times New Roman"/>
                <w:szCs w:val="24"/>
                <w:vertAlign w:val="superscript"/>
                <w:lang w:val="zh-CN"/>
              </w:rPr>
              <w:t>3</w:t>
            </w:r>
            <w:r>
              <w:rPr>
                <w:rFonts w:cs="Times New Roman"/>
                <w:szCs w:val="24"/>
                <w:lang w:val="zh-CN"/>
              </w:rPr>
              <w:t>/年，服务期内共产生废石量为145.47万m</w:t>
            </w:r>
            <w:r>
              <w:rPr>
                <w:rFonts w:cs="Times New Roman"/>
                <w:szCs w:val="24"/>
                <w:vertAlign w:val="superscript"/>
                <w:lang w:val="zh-CN"/>
              </w:rPr>
              <w:t>3</w:t>
            </w:r>
            <w:r>
              <w:rPr>
                <w:rFonts w:cs="Times New Roman"/>
                <w:szCs w:val="24"/>
                <w:lang w:val="zh-CN"/>
              </w:rPr>
              <w:t>，废土石堆放于弃渣场。</w:t>
            </w:r>
          </w:p>
          <w:p w14:paraId="40A10A9D">
            <w:pPr>
              <w:ind w:firstLine="480"/>
              <w:rPr>
                <w:rFonts w:cs="Times New Roman"/>
              </w:rPr>
            </w:pPr>
            <w:r>
              <w:rPr>
                <w:rFonts w:cs="Times New Roman"/>
              </w:rPr>
              <w:t>（2）项目化粪池污泥</w:t>
            </w:r>
          </w:p>
          <w:p w14:paraId="47EFF756">
            <w:pPr>
              <w:ind w:firstLine="480"/>
              <w:rPr>
                <w:rFonts w:cs="Times New Roman"/>
              </w:rPr>
            </w:pPr>
            <w:r>
              <w:rPr>
                <w:rFonts w:cs="Times New Roman"/>
              </w:rPr>
              <w:t>类比同类项目，项目化粪池污泥产生量按（4.5t污泥/1万t废水）计算，则化粪池污泥产生量为0.432t/a，用来作为绿化底肥。</w:t>
            </w:r>
          </w:p>
          <w:p w14:paraId="29A21838">
            <w:pPr>
              <w:ind w:firstLine="480"/>
              <w:rPr>
                <w:rFonts w:cs="Times New Roman"/>
              </w:rPr>
            </w:pPr>
            <w:r>
              <w:rPr>
                <w:rFonts w:cs="Times New Roman"/>
              </w:rPr>
              <w:t>（3）项目雨水沉淀池沉渣</w:t>
            </w:r>
          </w:p>
          <w:p w14:paraId="46692248">
            <w:pPr>
              <w:ind w:firstLine="480"/>
              <w:rPr>
                <w:rFonts w:cs="Times New Roman"/>
              </w:rPr>
            </w:pPr>
            <w:r>
              <w:rPr>
                <w:rFonts w:cs="Times New Roman"/>
              </w:rPr>
              <w:t>雨水沉淀池沉渣主要为矿石、废石等粘附的土壤，其污染物主要为SS。按废水悬浮物消减量的90%计，本项目采场及弃渣场</w:t>
            </w:r>
            <w:r>
              <w:rPr>
                <w:rFonts w:hint="eastAsia" w:cs="Times New Roman"/>
                <w:bCs/>
                <w:color w:val="FF0000"/>
              </w:rPr>
              <w:t>初期雨水</w:t>
            </w:r>
            <w:r>
              <w:rPr>
                <w:rFonts w:cs="Times New Roman"/>
              </w:rPr>
              <w:t>产生量为89784m</w:t>
            </w:r>
            <w:r>
              <w:rPr>
                <w:rFonts w:cs="Times New Roman"/>
                <w:vertAlign w:val="superscript"/>
              </w:rPr>
              <w:t>3</w:t>
            </w:r>
            <w:r>
              <w:rPr>
                <w:rFonts w:cs="Times New Roman"/>
              </w:rPr>
              <w:t>/a，SS浓度为4000mg/L，则雨水沉淀池沉渣产生量约为323.19t/a，定期清掏后运至弃渣场堆存。</w:t>
            </w:r>
          </w:p>
          <w:p w14:paraId="63059A69">
            <w:pPr>
              <w:ind w:firstLine="480"/>
              <w:rPr>
                <w:rFonts w:cs="Times New Roman"/>
              </w:rPr>
            </w:pPr>
            <w:r>
              <w:rPr>
                <w:rFonts w:cs="Times New Roman"/>
              </w:rPr>
              <w:t>（4）项目生活垃圾</w:t>
            </w:r>
          </w:p>
          <w:p w14:paraId="1EC96A6C">
            <w:pPr>
              <w:ind w:firstLine="480"/>
              <w:rPr>
                <w:rFonts w:cs="Times New Roman"/>
              </w:rPr>
            </w:pPr>
            <w:r>
              <w:rPr>
                <w:rFonts w:cs="Times New Roman"/>
              </w:rPr>
              <w:t>项目员工共40人，生活垃圾按0.5kg/人·d计，则生活垃圾产生量约20kg/d、6.0t/a。生活垃圾利用垃圾桶收集后，定期外运至附近乡镇垃圾集中处置点处置。</w:t>
            </w:r>
          </w:p>
          <w:p w14:paraId="55B526EC">
            <w:pPr>
              <w:ind w:firstLine="480"/>
              <w:rPr>
                <w:rFonts w:cs="Times New Roman"/>
              </w:rPr>
            </w:pPr>
            <w:r>
              <w:rPr>
                <w:rFonts w:cs="Times New Roman"/>
              </w:rPr>
              <w:t>（5）项目厨房泔水和隔油池废油</w:t>
            </w:r>
          </w:p>
          <w:p w14:paraId="65479317">
            <w:pPr>
              <w:ind w:firstLine="480"/>
              <w:rPr>
                <w:rFonts w:cs="Times New Roman"/>
              </w:rPr>
            </w:pPr>
            <w:r>
              <w:rPr>
                <w:rFonts w:cs="Times New Roman"/>
              </w:rPr>
              <w:t>项目厨房泔水和隔油池废油产生量按0.2kg/人·d计，员工共40人，产生量为8.0kg/d、2.4t/a，用带盖泔水收集桶收集后运至环卫部门指定的场所进行处置。</w:t>
            </w:r>
          </w:p>
          <w:p w14:paraId="02E20A4C">
            <w:pPr>
              <w:ind w:firstLine="480"/>
              <w:rPr>
                <w:rFonts w:cs="Times New Roman"/>
              </w:rPr>
            </w:pPr>
            <w:r>
              <w:rPr>
                <w:rFonts w:cs="Times New Roman"/>
              </w:rPr>
              <w:t>（6）项目机修废油</w:t>
            </w:r>
          </w:p>
          <w:p w14:paraId="5A09D262">
            <w:pPr>
              <w:ind w:firstLine="480"/>
              <w:rPr>
                <w:rFonts w:cs="Times New Roman"/>
              </w:rPr>
            </w:pPr>
            <w:r>
              <w:rPr>
                <w:rFonts w:cs="Times New Roman"/>
              </w:rPr>
              <w:t>项目废机油产生量约为0.03t/a，经废油收集桶收集后暂存于危废间全部回用于破碎设备保养维护。</w:t>
            </w:r>
          </w:p>
          <w:p w14:paraId="3520263A">
            <w:pPr>
              <w:ind w:firstLine="480"/>
              <w:rPr>
                <w:rFonts w:cs="Times New Roman"/>
                <w:lang w:val="zh-CN"/>
              </w:rPr>
            </w:pPr>
            <w:r>
              <w:rPr>
                <w:rFonts w:cs="Times New Roman"/>
                <w:lang w:val="zh-CN"/>
              </w:rPr>
              <w:t>（7）小结</w:t>
            </w:r>
          </w:p>
          <w:p w14:paraId="3BD2B8B6">
            <w:pPr>
              <w:ind w:firstLine="480"/>
              <w:rPr>
                <w:rFonts w:cs="Times New Roman"/>
              </w:rPr>
            </w:pPr>
            <w:r>
              <w:rPr>
                <w:rFonts w:cs="Times New Roman"/>
              </w:rPr>
              <w:t>项目运营期间固体废物产排情况及治理措施详见表5-8。</w:t>
            </w:r>
          </w:p>
          <w:p w14:paraId="72FF0F8F">
            <w:pPr>
              <w:pStyle w:val="31"/>
              <w:rPr>
                <w:rFonts w:cs="Times New Roman"/>
              </w:rPr>
            </w:pPr>
            <w:r>
              <w:rPr>
                <w:rFonts w:cs="Times New Roman"/>
              </w:rPr>
              <w:t>表5-8  项目区固体废物产排情况汇总表</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844"/>
              <w:gridCol w:w="1842"/>
              <w:gridCol w:w="4139"/>
            </w:tblGrid>
            <w:tr w14:paraId="3928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2E568C02">
                  <w:pPr>
                    <w:pStyle w:val="52"/>
                    <w:rPr>
                      <w:color w:val="auto"/>
                    </w:rPr>
                  </w:pPr>
                  <w:bookmarkStart w:id="30" w:name="_Toc457996957"/>
                  <w:bookmarkStart w:id="31" w:name="_Toc459747028"/>
                  <w:bookmarkStart w:id="32" w:name="_Toc459045558"/>
                  <w:bookmarkStart w:id="33" w:name="_Toc456785560"/>
                  <w:r>
                    <w:rPr>
                      <w:color w:val="auto"/>
                    </w:rPr>
                    <w:t>污染物类型</w:t>
                  </w:r>
                  <w:bookmarkEnd w:id="30"/>
                  <w:bookmarkEnd w:id="31"/>
                  <w:bookmarkEnd w:id="32"/>
                  <w:bookmarkEnd w:id="33"/>
                </w:p>
              </w:tc>
              <w:tc>
                <w:tcPr>
                  <w:tcW w:w="1844" w:type="dxa"/>
                  <w:vAlign w:val="center"/>
                </w:tcPr>
                <w:p w14:paraId="22BADA74">
                  <w:pPr>
                    <w:pStyle w:val="52"/>
                    <w:rPr>
                      <w:color w:val="auto"/>
                    </w:rPr>
                  </w:pPr>
                  <w:r>
                    <w:rPr>
                      <w:color w:val="auto"/>
                    </w:rPr>
                    <w:t>处理前产生量t/a</w:t>
                  </w:r>
                </w:p>
              </w:tc>
              <w:tc>
                <w:tcPr>
                  <w:tcW w:w="1842" w:type="dxa"/>
                  <w:vAlign w:val="center"/>
                </w:tcPr>
                <w:p w14:paraId="41040205">
                  <w:pPr>
                    <w:pStyle w:val="52"/>
                    <w:rPr>
                      <w:bCs/>
                      <w:color w:val="auto"/>
                    </w:rPr>
                  </w:pPr>
                  <w:r>
                    <w:rPr>
                      <w:color w:val="auto"/>
                    </w:rPr>
                    <w:t>处理后</w:t>
                  </w:r>
                  <w:r>
                    <w:rPr>
                      <w:bCs/>
                      <w:color w:val="auto"/>
                    </w:rPr>
                    <w:t>排放量</w:t>
                  </w:r>
                  <w:r>
                    <w:rPr>
                      <w:color w:val="auto"/>
                    </w:rPr>
                    <w:t>t/a</w:t>
                  </w:r>
                </w:p>
              </w:tc>
              <w:tc>
                <w:tcPr>
                  <w:tcW w:w="4139" w:type="dxa"/>
                  <w:vAlign w:val="center"/>
                </w:tcPr>
                <w:p w14:paraId="185E9CAE">
                  <w:pPr>
                    <w:pStyle w:val="52"/>
                    <w:rPr>
                      <w:bCs/>
                      <w:color w:val="auto"/>
                    </w:rPr>
                  </w:pPr>
                  <w:r>
                    <w:rPr>
                      <w:bCs/>
                      <w:color w:val="auto"/>
                    </w:rPr>
                    <w:t>备注</w:t>
                  </w:r>
                </w:p>
              </w:tc>
            </w:tr>
            <w:tr w14:paraId="0800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2A485045">
                  <w:pPr>
                    <w:pStyle w:val="52"/>
                    <w:rPr>
                      <w:bCs/>
                      <w:color w:val="auto"/>
                    </w:rPr>
                  </w:pPr>
                  <w:r>
                    <w:rPr>
                      <w:bCs/>
                      <w:color w:val="auto"/>
                    </w:rPr>
                    <w:t>废土石</w:t>
                  </w:r>
                </w:p>
              </w:tc>
              <w:tc>
                <w:tcPr>
                  <w:tcW w:w="1844" w:type="dxa"/>
                  <w:vAlign w:val="center"/>
                </w:tcPr>
                <w:p w14:paraId="7AAF73ED">
                  <w:pPr>
                    <w:pStyle w:val="52"/>
                    <w:rPr>
                      <w:color w:val="auto"/>
                    </w:rPr>
                  </w:pPr>
                  <w:r>
                    <w:rPr>
                      <w:color w:val="auto"/>
                    </w:rPr>
                    <w:t>6.437万m</w:t>
                  </w:r>
                  <w:r>
                    <w:rPr>
                      <w:color w:val="auto"/>
                      <w:vertAlign w:val="superscript"/>
                    </w:rPr>
                    <w:t>3</w:t>
                  </w:r>
                  <w:r>
                    <w:rPr>
                      <w:color w:val="auto"/>
                    </w:rPr>
                    <w:t>/年</w:t>
                  </w:r>
                </w:p>
              </w:tc>
              <w:tc>
                <w:tcPr>
                  <w:tcW w:w="1842" w:type="dxa"/>
                  <w:vAlign w:val="center"/>
                </w:tcPr>
                <w:p w14:paraId="4662CA99">
                  <w:pPr>
                    <w:pStyle w:val="52"/>
                    <w:rPr>
                      <w:color w:val="auto"/>
                    </w:rPr>
                  </w:pPr>
                  <w:r>
                    <w:rPr>
                      <w:color w:val="auto"/>
                    </w:rPr>
                    <w:t>0</w:t>
                  </w:r>
                </w:p>
              </w:tc>
              <w:tc>
                <w:tcPr>
                  <w:tcW w:w="4139" w:type="dxa"/>
                  <w:vAlign w:val="center"/>
                </w:tcPr>
                <w:p w14:paraId="4C8A1C40">
                  <w:pPr>
                    <w:pStyle w:val="52"/>
                    <w:rPr>
                      <w:color w:val="auto"/>
                    </w:rPr>
                  </w:pPr>
                  <w:r>
                    <w:rPr>
                      <w:color w:val="auto"/>
                    </w:rPr>
                    <w:t>运至弃渣场堆存</w:t>
                  </w:r>
                </w:p>
              </w:tc>
            </w:tr>
            <w:tr w14:paraId="1A70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4F7D4005">
                  <w:pPr>
                    <w:pStyle w:val="52"/>
                    <w:rPr>
                      <w:bCs/>
                      <w:color w:val="auto"/>
                    </w:rPr>
                  </w:pPr>
                  <w:r>
                    <w:rPr>
                      <w:bCs/>
                      <w:color w:val="auto"/>
                    </w:rPr>
                    <w:t>化粪池污泥</w:t>
                  </w:r>
                </w:p>
              </w:tc>
              <w:tc>
                <w:tcPr>
                  <w:tcW w:w="1844" w:type="dxa"/>
                  <w:vAlign w:val="center"/>
                </w:tcPr>
                <w:p w14:paraId="78B0E59C">
                  <w:pPr>
                    <w:pStyle w:val="52"/>
                    <w:rPr>
                      <w:color w:val="auto"/>
                    </w:rPr>
                  </w:pPr>
                  <w:r>
                    <w:rPr>
                      <w:color w:val="auto"/>
                    </w:rPr>
                    <w:t>0.432t/a</w:t>
                  </w:r>
                </w:p>
              </w:tc>
              <w:tc>
                <w:tcPr>
                  <w:tcW w:w="1842" w:type="dxa"/>
                  <w:vAlign w:val="center"/>
                </w:tcPr>
                <w:p w14:paraId="5095C8DF">
                  <w:pPr>
                    <w:pStyle w:val="52"/>
                    <w:rPr>
                      <w:color w:val="auto"/>
                    </w:rPr>
                  </w:pPr>
                  <w:r>
                    <w:rPr>
                      <w:color w:val="auto"/>
                    </w:rPr>
                    <w:t>0</w:t>
                  </w:r>
                </w:p>
              </w:tc>
              <w:tc>
                <w:tcPr>
                  <w:tcW w:w="4139" w:type="dxa"/>
                  <w:vAlign w:val="center"/>
                </w:tcPr>
                <w:p w14:paraId="79A1361F">
                  <w:pPr>
                    <w:pStyle w:val="52"/>
                    <w:rPr>
                      <w:color w:val="auto"/>
                    </w:rPr>
                  </w:pPr>
                  <w:r>
                    <w:rPr>
                      <w:color w:val="auto"/>
                    </w:rPr>
                    <w:t>用来作为绿化施肥</w:t>
                  </w:r>
                </w:p>
              </w:tc>
            </w:tr>
            <w:tr w14:paraId="120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1B881564">
                  <w:pPr>
                    <w:pStyle w:val="52"/>
                    <w:rPr>
                      <w:bCs/>
                      <w:color w:val="auto"/>
                    </w:rPr>
                  </w:pPr>
                  <w:r>
                    <w:rPr>
                      <w:bCs/>
                      <w:color w:val="auto"/>
                    </w:rPr>
                    <w:t>雨水沉淀池沉渣</w:t>
                  </w:r>
                </w:p>
              </w:tc>
              <w:tc>
                <w:tcPr>
                  <w:tcW w:w="1844" w:type="dxa"/>
                  <w:vAlign w:val="center"/>
                </w:tcPr>
                <w:p w14:paraId="5681567E">
                  <w:pPr>
                    <w:pStyle w:val="52"/>
                    <w:rPr>
                      <w:color w:val="auto"/>
                    </w:rPr>
                  </w:pPr>
                  <w:r>
                    <w:rPr>
                      <w:color w:val="auto"/>
                    </w:rPr>
                    <w:t>323.19t/a</w:t>
                  </w:r>
                </w:p>
              </w:tc>
              <w:tc>
                <w:tcPr>
                  <w:tcW w:w="1842" w:type="dxa"/>
                  <w:vAlign w:val="center"/>
                </w:tcPr>
                <w:p w14:paraId="52DEDA2C">
                  <w:pPr>
                    <w:pStyle w:val="52"/>
                    <w:rPr>
                      <w:color w:val="auto"/>
                    </w:rPr>
                  </w:pPr>
                  <w:r>
                    <w:rPr>
                      <w:color w:val="auto"/>
                    </w:rPr>
                    <w:t>0</w:t>
                  </w:r>
                </w:p>
              </w:tc>
              <w:tc>
                <w:tcPr>
                  <w:tcW w:w="4139" w:type="dxa"/>
                  <w:vAlign w:val="center"/>
                </w:tcPr>
                <w:p w14:paraId="06C61078">
                  <w:pPr>
                    <w:pStyle w:val="52"/>
                    <w:rPr>
                      <w:color w:val="auto"/>
                    </w:rPr>
                  </w:pPr>
                  <w:r>
                    <w:rPr>
                      <w:color w:val="auto"/>
                    </w:rPr>
                    <w:t>运至弃渣场堆存</w:t>
                  </w:r>
                </w:p>
              </w:tc>
            </w:tr>
            <w:tr w14:paraId="30E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62F38C97">
                  <w:pPr>
                    <w:pStyle w:val="52"/>
                    <w:rPr>
                      <w:color w:val="auto"/>
                    </w:rPr>
                  </w:pPr>
                  <w:r>
                    <w:rPr>
                      <w:color w:val="auto"/>
                    </w:rPr>
                    <w:t>生活垃圾</w:t>
                  </w:r>
                </w:p>
              </w:tc>
              <w:tc>
                <w:tcPr>
                  <w:tcW w:w="1844" w:type="dxa"/>
                  <w:vAlign w:val="center"/>
                </w:tcPr>
                <w:p w14:paraId="10CC51D6">
                  <w:pPr>
                    <w:pStyle w:val="52"/>
                    <w:rPr>
                      <w:color w:val="auto"/>
                    </w:rPr>
                  </w:pPr>
                  <w:r>
                    <w:rPr>
                      <w:color w:val="auto"/>
                    </w:rPr>
                    <w:t>6.0t/a</w:t>
                  </w:r>
                </w:p>
              </w:tc>
              <w:tc>
                <w:tcPr>
                  <w:tcW w:w="1842" w:type="dxa"/>
                  <w:vAlign w:val="center"/>
                </w:tcPr>
                <w:p w14:paraId="24AE8C84">
                  <w:pPr>
                    <w:pStyle w:val="52"/>
                    <w:rPr>
                      <w:color w:val="auto"/>
                    </w:rPr>
                  </w:pPr>
                  <w:r>
                    <w:rPr>
                      <w:color w:val="auto"/>
                    </w:rPr>
                    <w:t>0</w:t>
                  </w:r>
                </w:p>
              </w:tc>
              <w:tc>
                <w:tcPr>
                  <w:tcW w:w="4139" w:type="dxa"/>
                  <w:vAlign w:val="center"/>
                </w:tcPr>
                <w:p w14:paraId="03481E4E">
                  <w:pPr>
                    <w:pStyle w:val="52"/>
                    <w:rPr>
                      <w:bCs/>
                      <w:color w:val="auto"/>
                    </w:rPr>
                  </w:pPr>
                  <w:r>
                    <w:rPr>
                      <w:color w:val="auto"/>
                    </w:rPr>
                    <w:t>定期外运至</w:t>
                  </w:r>
                  <w:bookmarkStart w:id="34" w:name="OLE_LINK7"/>
                  <w:r>
                    <w:rPr>
                      <w:color w:val="auto"/>
                    </w:rPr>
                    <w:t>附近乡镇垃圾集中处置点处置</w:t>
                  </w:r>
                  <w:bookmarkEnd w:id="34"/>
                </w:p>
              </w:tc>
            </w:tr>
            <w:tr w14:paraId="692D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06CB7E2D">
                  <w:pPr>
                    <w:pStyle w:val="52"/>
                    <w:rPr>
                      <w:color w:val="auto"/>
                    </w:rPr>
                  </w:pPr>
                  <w:r>
                    <w:rPr>
                      <w:color w:val="auto"/>
                    </w:rPr>
                    <w:t>厨房泔水和隔油池废油</w:t>
                  </w:r>
                </w:p>
              </w:tc>
              <w:tc>
                <w:tcPr>
                  <w:tcW w:w="1844" w:type="dxa"/>
                  <w:vAlign w:val="center"/>
                </w:tcPr>
                <w:p w14:paraId="03C6AFE5">
                  <w:pPr>
                    <w:pStyle w:val="52"/>
                    <w:rPr>
                      <w:color w:val="auto"/>
                    </w:rPr>
                  </w:pPr>
                  <w:r>
                    <w:rPr>
                      <w:color w:val="auto"/>
                    </w:rPr>
                    <w:t>2.4t/a</w:t>
                  </w:r>
                </w:p>
              </w:tc>
              <w:tc>
                <w:tcPr>
                  <w:tcW w:w="1842" w:type="dxa"/>
                  <w:vAlign w:val="center"/>
                </w:tcPr>
                <w:p w14:paraId="6FA9408D">
                  <w:pPr>
                    <w:pStyle w:val="52"/>
                    <w:rPr>
                      <w:color w:val="auto"/>
                    </w:rPr>
                  </w:pPr>
                  <w:r>
                    <w:rPr>
                      <w:color w:val="auto"/>
                    </w:rPr>
                    <w:t>0</w:t>
                  </w:r>
                </w:p>
              </w:tc>
              <w:tc>
                <w:tcPr>
                  <w:tcW w:w="4139" w:type="dxa"/>
                  <w:vAlign w:val="center"/>
                </w:tcPr>
                <w:p w14:paraId="71F67DDD">
                  <w:pPr>
                    <w:pStyle w:val="52"/>
                    <w:rPr>
                      <w:color w:val="auto"/>
                    </w:rPr>
                  </w:pPr>
                  <w:r>
                    <w:rPr>
                      <w:color w:val="auto"/>
                    </w:rPr>
                    <w:t>用带盖泔水收集桶收集后，运至环卫部门指定的场所进行处置</w:t>
                  </w:r>
                </w:p>
              </w:tc>
            </w:tr>
            <w:tr w14:paraId="3C50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2963A3B4">
                  <w:pPr>
                    <w:pStyle w:val="52"/>
                    <w:rPr>
                      <w:color w:val="auto"/>
                    </w:rPr>
                  </w:pPr>
                  <w:r>
                    <w:rPr>
                      <w:color w:val="auto"/>
                    </w:rPr>
                    <w:t>机修废油</w:t>
                  </w:r>
                </w:p>
              </w:tc>
              <w:tc>
                <w:tcPr>
                  <w:tcW w:w="1844" w:type="dxa"/>
                  <w:vAlign w:val="center"/>
                </w:tcPr>
                <w:p w14:paraId="6209D0D8">
                  <w:pPr>
                    <w:pStyle w:val="52"/>
                    <w:rPr>
                      <w:color w:val="auto"/>
                    </w:rPr>
                  </w:pPr>
                  <w:r>
                    <w:rPr>
                      <w:color w:val="auto"/>
                    </w:rPr>
                    <w:t>0.03t/a</w:t>
                  </w:r>
                </w:p>
              </w:tc>
              <w:tc>
                <w:tcPr>
                  <w:tcW w:w="1842" w:type="dxa"/>
                  <w:vAlign w:val="center"/>
                </w:tcPr>
                <w:p w14:paraId="75CF6BE4">
                  <w:pPr>
                    <w:pStyle w:val="52"/>
                    <w:rPr>
                      <w:color w:val="auto"/>
                    </w:rPr>
                  </w:pPr>
                  <w:r>
                    <w:rPr>
                      <w:color w:val="auto"/>
                    </w:rPr>
                    <w:t>0</w:t>
                  </w:r>
                </w:p>
              </w:tc>
              <w:tc>
                <w:tcPr>
                  <w:tcW w:w="4139" w:type="dxa"/>
                  <w:vAlign w:val="center"/>
                </w:tcPr>
                <w:p w14:paraId="265F0DA3">
                  <w:pPr>
                    <w:pStyle w:val="52"/>
                    <w:rPr>
                      <w:color w:val="auto"/>
                    </w:rPr>
                  </w:pPr>
                  <w:r>
                    <w:rPr>
                      <w:color w:val="auto"/>
                    </w:rPr>
                    <w:t>统一收集暂存于危废间用于项目区设备保养维护</w:t>
                  </w:r>
                </w:p>
              </w:tc>
            </w:tr>
          </w:tbl>
          <w:p w14:paraId="26D01825">
            <w:pPr>
              <w:ind w:firstLine="482"/>
              <w:rPr>
                <w:rFonts w:cs="Times New Roman"/>
                <w:b/>
              </w:rPr>
            </w:pPr>
            <w:r>
              <w:rPr>
                <w:rFonts w:cs="Times New Roman"/>
                <w:b/>
              </w:rPr>
              <w:t>5、项目污染物产生与排放汇总</w:t>
            </w:r>
          </w:p>
          <w:p w14:paraId="5D962EDC">
            <w:pPr>
              <w:ind w:firstLine="480"/>
              <w:rPr>
                <w:rFonts w:cs="Times New Roman"/>
              </w:rPr>
            </w:pPr>
            <w:r>
              <w:rPr>
                <w:rFonts w:cs="Times New Roman"/>
              </w:rPr>
              <w:t>项目污染物产生与排放汇总详见下表：</w:t>
            </w:r>
          </w:p>
          <w:p w14:paraId="7AE53106">
            <w:pPr>
              <w:pStyle w:val="31"/>
              <w:rPr>
                <w:rFonts w:cs="Times New Roman"/>
              </w:rPr>
            </w:pPr>
            <w:r>
              <w:rPr>
                <w:rFonts w:cs="Times New Roman"/>
              </w:rPr>
              <w:t>表5-9  项目污染物产排情况一览表</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6"/>
              <w:gridCol w:w="431"/>
              <w:gridCol w:w="860"/>
              <w:gridCol w:w="1300"/>
              <w:gridCol w:w="1144"/>
              <w:gridCol w:w="922"/>
              <w:gridCol w:w="2660"/>
              <w:gridCol w:w="1108"/>
              <w:gridCol w:w="846"/>
            </w:tblGrid>
            <w:tr w14:paraId="13115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restart"/>
                  <w:vAlign w:val="center"/>
                </w:tcPr>
                <w:p w14:paraId="3061AA8B">
                  <w:pPr>
                    <w:pStyle w:val="52"/>
                    <w:rPr>
                      <w:color w:val="auto"/>
                    </w:rPr>
                  </w:pPr>
                  <w:r>
                    <w:rPr>
                      <w:color w:val="auto"/>
                    </w:rPr>
                    <w:t>污染源</w:t>
                  </w:r>
                </w:p>
              </w:tc>
              <w:tc>
                <w:tcPr>
                  <w:tcW w:w="1300" w:type="dxa"/>
                  <w:vMerge w:val="restart"/>
                  <w:vAlign w:val="center"/>
                </w:tcPr>
                <w:p w14:paraId="445FCA05">
                  <w:pPr>
                    <w:pStyle w:val="52"/>
                    <w:rPr>
                      <w:color w:val="auto"/>
                    </w:rPr>
                  </w:pPr>
                  <w:r>
                    <w:rPr>
                      <w:color w:val="auto"/>
                    </w:rPr>
                    <w:t>污染物</w:t>
                  </w:r>
                </w:p>
                <w:p w14:paraId="447063EC">
                  <w:pPr>
                    <w:pStyle w:val="52"/>
                    <w:rPr>
                      <w:color w:val="auto"/>
                    </w:rPr>
                  </w:pPr>
                  <w:r>
                    <w:rPr>
                      <w:color w:val="auto"/>
                    </w:rPr>
                    <w:t>名称</w:t>
                  </w:r>
                </w:p>
              </w:tc>
              <w:tc>
                <w:tcPr>
                  <w:tcW w:w="2066" w:type="dxa"/>
                  <w:gridSpan w:val="2"/>
                  <w:vAlign w:val="center"/>
                </w:tcPr>
                <w:p w14:paraId="123F9206">
                  <w:pPr>
                    <w:pStyle w:val="52"/>
                    <w:rPr>
                      <w:color w:val="auto"/>
                    </w:rPr>
                  </w:pPr>
                  <w:r>
                    <w:rPr>
                      <w:color w:val="auto"/>
                    </w:rPr>
                    <w:t>产生情况</w:t>
                  </w:r>
                </w:p>
              </w:tc>
              <w:tc>
                <w:tcPr>
                  <w:tcW w:w="2660" w:type="dxa"/>
                  <w:vMerge w:val="restart"/>
                  <w:vAlign w:val="center"/>
                </w:tcPr>
                <w:p w14:paraId="648CCBD5">
                  <w:pPr>
                    <w:pStyle w:val="52"/>
                    <w:rPr>
                      <w:color w:val="auto"/>
                    </w:rPr>
                  </w:pPr>
                  <w:r>
                    <w:rPr>
                      <w:color w:val="auto"/>
                    </w:rPr>
                    <w:t>处理措施</w:t>
                  </w:r>
                </w:p>
              </w:tc>
              <w:tc>
                <w:tcPr>
                  <w:tcW w:w="1954" w:type="dxa"/>
                  <w:gridSpan w:val="2"/>
                  <w:vAlign w:val="center"/>
                </w:tcPr>
                <w:p w14:paraId="5AB240DB">
                  <w:pPr>
                    <w:pStyle w:val="52"/>
                    <w:rPr>
                      <w:color w:val="auto"/>
                    </w:rPr>
                  </w:pPr>
                  <w:r>
                    <w:rPr>
                      <w:color w:val="auto"/>
                    </w:rPr>
                    <w:t>预计排放情况</w:t>
                  </w:r>
                </w:p>
              </w:tc>
            </w:tr>
            <w:tr w14:paraId="5F2C2A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1BA46D3F">
                  <w:pPr>
                    <w:pStyle w:val="52"/>
                    <w:rPr>
                      <w:color w:val="auto"/>
                    </w:rPr>
                  </w:pPr>
                </w:p>
              </w:tc>
              <w:tc>
                <w:tcPr>
                  <w:tcW w:w="1300" w:type="dxa"/>
                  <w:vMerge w:val="continue"/>
                  <w:vAlign w:val="center"/>
                </w:tcPr>
                <w:p w14:paraId="0E5EBEA9">
                  <w:pPr>
                    <w:pStyle w:val="52"/>
                    <w:rPr>
                      <w:color w:val="auto"/>
                    </w:rPr>
                  </w:pPr>
                </w:p>
              </w:tc>
              <w:tc>
                <w:tcPr>
                  <w:tcW w:w="1144" w:type="dxa"/>
                  <w:tcBorders>
                    <w:right w:val="single" w:color="auto" w:sz="4" w:space="0"/>
                  </w:tcBorders>
                  <w:vAlign w:val="center"/>
                </w:tcPr>
                <w:p w14:paraId="1DFB11C3">
                  <w:pPr>
                    <w:pStyle w:val="52"/>
                    <w:rPr>
                      <w:color w:val="auto"/>
                    </w:rPr>
                  </w:pPr>
                  <w:r>
                    <w:rPr>
                      <w:color w:val="auto"/>
                    </w:rPr>
                    <w:t>产生浓度</w:t>
                  </w:r>
                </w:p>
                <w:p w14:paraId="2404C122">
                  <w:pPr>
                    <w:pStyle w:val="52"/>
                    <w:rPr>
                      <w:color w:val="auto"/>
                    </w:rPr>
                  </w:pPr>
                  <w:r>
                    <w:rPr>
                      <w:color w:val="auto"/>
                    </w:rPr>
                    <w:t>（mg/L）</w:t>
                  </w:r>
                </w:p>
              </w:tc>
              <w:tc>
                <w:tcPr>
                  <w:tcW w:w="922" w:type="dxa"/>
                  <w:tcBorders>
                    <w:left w:val="single" w:color="auto" w:sz="4" w:space="0"/>
                  </w:tcBorders>
                  <w:vAlign w:val="center"/>
                </w:tcPr>
                <w:p w14:paraId="4DAB123D">
                  <w:pPr>
                    <w:pStyle w:val="52"/>
                    <w:rPr>
                      <w:color w:val="auto"/>
                    </w:rPr>
                  </w:pPr>
                  <w:r>
                    <w:rPr>
                      <w:color w:val="auto"/>
                    </w:rPr>
                    <w:t>产生量</w:t>
                  </w:r>
                </w:p>
                <w:p w14:paraId="25FC19E2">
                  <w:pPr>
                    <w:pStyle w:val="52"/>
                    <w:rPr>
                      <w:color w:val="auto"/>
                    </w:rPr>
                  </w:pPr>
                  <w:r>
                    <w:rPr>
                      <w:color w:val="auto"/>
                    </w:rPr>
                    <w:t>（t/a）</w:t>
                  </w:r>
                </w:p>
              </w:tc>
              <w:tc>
                <w:tcPr>
                  <w:tcW w:w="2660" w:type="dxa"/>
                  <w:vMerge w:val="continue"/>
                  <w:vAlign w:val="center"/>
                </w:tcPr>
                <w:p w14:paraId="2ED0FE20">
                  <w:pPr>
                    <w:pStyle w:val="52"/>
                    <w:rPr>
                      <w:color w:val="auto"/>
                    </w:rPr>
                  </w:pPr>
                </w:p>
              </w:tc>
              <w:tc>
                <w:tcPr>
                  <w:tcW w:w="1108" w:type="dxa"/>
                  <w:tcBorders>
                    <w:right w:val="single" w:color="auto" w:sz="4" w:space="0"/>
                  </w:tcBorders>
                  <w:vAlign w:val="center"/>
                </w:tcPr>
                <w:p w14:paraId="50B68973">
                  <w:pPr>
                    <w:pStyle w:val="52"/>
                    <w:rPr>
                      <w:color w:val="auto"/>
                    </w:rPr>
                  </w:pPr>
                  <w:r>
                    <w:rPr>
                      <w:color w:val="auto"/>
                    </w:rPr>
                    <w:t>排放浓度</w:t>
                  </w:r>
                </w:p>
                <w:p w14:paraId="066DA8E6">
                  <w:pPr>
                    <w:pStyle w:val="52"/>
                    <w:rPr>
                      <w:color w:val="auto"/>
                    </w:rPr>
                  </w:pPr>
                  <w:r>
                    <w:rPr>
                      <w:color w:val="auto"/>
                    </w:rPr>
                    <w:t>（mg/L）</w:t>
                  </w:r>
                </w:p>
              </w:tc>
              <w:tc>
                <w:tcPr>
                  <w:tcW w:w="846" w:type="dxa"/>
                  <w:tcBorders>
                    <w:left w:val="single" w:color="auto" w:sz="4" w:space="0"/>
                  </w:tcBorders>
                  <w:vAlign w:val="center"/>
                </w:tcPr>
                <w:p w14:paraId="7D4E77DE">
                  <w:pPr>
                    <w:pStyle w:val="52"/>
                    <w:rPr>
                      <w:color w:val="auto"/>
                    </w:rPr>
                  </w:pPr>
                  <w:r>
                    <w:rPr>
                      <w:color w:val="auto"/>
                    </w:rPr>
                    <w:t>排放量</w:t>
                  </w:r>
                </w:p>
                <w:p w14:paraId="596E6B78">
                  <w:pPr>
                    <w:pStyle w:val="52"/>
                    <w:rPr>
                      <w:color w:val="auto"/>
                    </w:rPr>
                  </w:pPr>
                  <w:r>
                    <w:rPr>
                      <w:color w:val="auto"/>
                    </w:rPr>
                    <w:t>（t/a）</w:t>
                  </w:r>
                </w:p>
              </w:tc>
            </w:tr>
            <w:tr w14:paraId="5C7FA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vAlign w:val="center"/>
                </w:tcPr>
                <w:p w14:paraId="5CB8EFF2">
                  <w:pPr>
                    <w:pStyle w:val="52"/>
                    <w:rPr>
                      <w:color w:val="auto"/>
                    </w:rPr>
                  </w:pPr>
                  <w:r>
                    <w:rPr>
                      <w:color w:val="auto"/>
                    </w:rPr>
                    <w:t>废水</w:t>
                  </w:r>
                </w:p>
              </w:tc>
              <w:tc>
                <w:tcPr>
                  <w:tcW w:w="1291" w:type="dxa"/>
                  <w:gridSpan w:val="2"/>
                  <w:vMerge w:val="restart"/>
                  <w:vAlign w:val="center"/>
                </w:tcPr>
                <w:p w14:paraId="46ED9B00">
                  <w:pPr>
                    <w:pStyle w:val="52"/>
                    <w:rPr>
                      <w:color w:val="auto"/>
                    </w:rPr>
                  </w:pPr>
                  <w:r>
                    <w:rPr>
                      <w:color w:val="auto"/>
                    </w:rPr>
                    <w:t>生活</w:t>
                  </w:r>
                </w:p>
                <w:p w14:paraId="41092D20">
                  <w:pPr>
                    <w:pStyle w:val="52"/>
                    <w:rPr>
                      <w:color w:val="auto"/>
                    </w:rPr>
                  </w:pPr>
                  <w:r>
                    <w:rPr>
                      <w:color w:val="auto"/>
                    </w:rPr>
                    <w:t>废水</w:t>
                  </w:r>
                </w:p>
              </w:tc>
              <w:tc>
                <w:tcPr>
                  <w:tcW w:w="1300" w:type="dxa"/>
                  <w:vAlign w:val="center"/>
                </w:tcPr>
                <w:p w14:paraId="32083AF9">
                  <w:pPr>
                    <w:pStyle w:val="52"/>
                    <w:rPr>
                      <w:color w:val="auto"/>
                    </w:rPr>
                  </w:pPr>
                  <w:r>
                    <w:rPr>
                      <w:color w:val="auto"/>
                    </w:rPr>
                    <w:t>废水量</w:t>
                  </w:r>
                </w:p>
              </w:tc>
              <w:tc>
                <w:tcPr>
                  <w:tcW w:w="2066" w:type="dxa"/>
                  <w:gridSpan w:val="2"/>
                  <w:vAlign w:val="center"/>
                </w:tcPr>
                <w:p w14:paraId="2E866FB1">
                  <w:pPr>
                    <w:pStyle w:val="52"/>
                    <w:rPr>
                      <w:color w:val="auto"/>
                    </w:rPr>
                  </w:pPr>
                  <w:r>
                    <w:rPr>
                      <w:color w:val="auto"/>
                    </w:rPr>
                    <w:t>0.096万m</w:t>
                  </w:r>
                  <w:r>
                    <w:rPr>
                      <w:color w:val="auto"/>
                      <w:vertAlign w:val="superscript"/>
                    </w:rPr>
                    <w:t>3</w:t>
                  </w:r>
                  <w:r>
                    <w:rPr>
                      <w:color w:val="auto"/>
                    </w:rPr>
                    <w:t>/a</w:t>
                  </w:r>
                </w:p>
              </w:tc>
              <w:tc>
                <w:tcPr>
                  <w:tcW w:w="2660" w:type="dxa"/>
                  <w:vMerge w:val="restart"/>
                  <w:vAlign w:val="center"/>
                </w:tcPr>
                <w:p w14:paraId="39383EC7">
                  <w:pPr>
                    <w:pStyle w:val="52"/>
                    <w:rPr>
                      <w:color w:val="auto"/>
                    </w:rPr>
                  </w:pPr>
                  <w:r>
                    <w:rPr>
                      <w:color w:val="auto"/>
                    </w:rPr>
                    <w:t>员工厨房废水经隔油池处理后，和员工办公、住宿废水一起经经化粪池处理后回用于绿化底肥</w:t>
                  </w:r>
                </w:p>
              </w:tc>
              <w:tc>
                <w:tcPr>
                  <w:tcW w:w="1954" w:type="dxa"/>
                  <w:gridSpan w:val="2"/>
                  <w:vAlign w:val="center"/>
                </w:tcPr>
                <w:p w14:paraId="53035480">
                  <w:pPr>
                    <w:pStyle w:val="52"/>
                    <w:rPr>
                      <w:color w:val="auto"/>
                    </w:rPr>
                  </w:pPr>
                  <w:r>
                    <w:rPr>
                      <w:color w:val="auto"/>
                    </w:rPr>
                    <w:t>0</w:t>
                  </w:r>
                </w:p>
              </w:tc>
            </w:tr>
            <w:tr w14:paraId="1885C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3FA7E25F">
                  <w:pPr>
                    <w:pStyle w:val="52"/>
                    <w:rPr>
                      <w:color w:val="auto"/>
                    </w:rPr>
                  </w:pPr>
                </w:p>
              </w:tc>
              <w:tc>
                <w:tcPr>
                  <w:tcW w:w="1291" w:type="dxa"/>
                  <w:gridSpan w:val="2"/>
                  <w:vMerge w:val="continue"/>
                  <w:vAlign w:val="center"/>
                </w:tcPr>
                <w:p w14:paraId="59B6E771">
                  <w:pPr>
                    <w:pStyle w:val="52"/>
                    <w:rPr>
                      <w:color w:val="auto"/>
                    </w:rPr>
                  </w:pPr>
                </w:p>
              </w:tc>
              <w:tc>
                <w:tcPr>
                  <w:tcW w:w="1300" w:type="dxa"/>
                  <w:vAlign w:val="center"/>
                </w:tcPr>
                <w:p w14:paraId="031962B5">
                  <w:pPr>
                    <w:pStyle w:val="52"/>
                    <w:rPr>
                      <w:color w:val="auto"/>
                    </w:rPr>
                  </w:pPr>
                  <w:r>
                    <w:rPr>
                      <w:color w:val="auto"/>
                    </w:rPr>
                    <w:t>COD</w:t>
                  </w:r>
                </w:p>
              </w:tc>
              <w:tc>
                <w:tcPr>
                  <w:tcW w:w="1144" w:type="dxa"/>
                  <w:tcBorders>
                    <w:right w:val="single" w:color="auto" w:sz="4" w:space="0"/>
                  </w:tcBorders>
                  <w:vAlign w:val="center"/>
                </w:tcPr>
                <w:p w14:paraId="67FDC71A">
                  <w:pPr>
                    <w:pStyle w:val="52"/>
                    <w:rPr>
                      <w:color w:val="auto"/>
                    </w:rPr>
                  </w:pPr>
                  <w:r>
                    <w:rPr>
                      <w:color w:val="auto"/>
                    </w:rPr>
                    <w:t>350</w:t>
                  </w:r>
                </w:p>
              </w:tc>
              <w:tc>
                <w:tcPr>
                  <w:tcW w:w="922" w:type="dxa"/>
                  <w:tcBorders>
                    <w:left w:val="single" w:color="auto" w:sz="4" w:space="0"/>
                  </w:tcBorders>
                  <w:vAlign w:val="center"/>
                </w:tcPr>
                <w:p w14:paraId="5DEEDC9C">
                  <w:pPr>
                    <w:pStyle w:val="52"/>
                    <w:rPr>
                      <w:color w:val="auto"/>
                    </w:rPr>
                  </w:pPr>
                  <w:r>
                    <w:rPr>
                      <w:color w:val="auto"/>
                    </w:rPr>
                    <w:t>0.336</w:t>
                  </w:r>
                </w:p>
              </w:tc>
              <w:tc>
                <w:tcPr>
                  <w:tcW w:w="2660" w:type="dxa"/>
                  <w:vMerge w:val="continue"/>
                  <w:vAlign w:val="center"/>
                </w:tcPr>
                <w:p w14:paraId="27AE70FD">
                  <w:pPr>
                    <w:pStyle w:val="52"/>
                    <w:rPr>
                      <w:color w:val="auto"/>
                    </w:rPr>
                  </w:pPr>
                </w:p>
              </w:tc>
              <w:tc>
                <w:tcPr>
                  <w:tcW w:w="1108" w:type="dxa"/>
                  <w:tcBorders>
                    <w:right w:val="single" w:color="auto" w:sz="4" w:space="0"/>
                  </w:tcBorders>
                  <w:vAlign w:val="center"/>
                </w:tcPr>
                <w:p w14:paraId="1A1B2778">
                  <w:pPr>
                    <w:pStyle w:val="52"/>
                    <w:rPr>
                      <w:color w:val="auto"/>
                    </w:rPr>
                  </w:pPr>
                  <w:r>
                    <w:rPr>
                      <w:color w:val="auto"/>
                    </w:rPr>
                    <w:t>0</w:t>
                  </w:r>
                </w:p>
              </w:tc>
              <w:tc>
                <w:tcPr>
                  <w:tcW w:w="846" w:type="dxa"/>
                  <w:tcBorders>
                    <w:left w:val="single" w:color="auto" w:sz="4" w:space="0"/>
                  </w:tcBorders>
                  <w:vAlign w:val="center"/>
                </w:tcPr>
                <w:p w14:paraId="2ACD2C49">
                  <w:pPr>
                    <w:pStyle w:val="52"/>
                    <w:rPr>
                      <w:color w:val="auto"/>
                    </w:rPr>
                  </w:pPr>
                  <w:r>
                    <w:rPr>
                      <w:color w:val="auto"/>
                    </w:rPr>
                    <w:t>0</w:t>
                  </w:r>
                </w:p>
              </w:tc>
            </w:tr>
            <w:tr w14:paraId="765C52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7F8F6D33">
                  <w:pPr>
                    <w:pStyle w:val="52"/>
                    <w:rPr>
                      <w:color w:val="auto"/>
                    </w:rPr>
                  </w:pPr>
                </w:p>
              </w:tc>
              <w:tc>
                <w:tcPr>
                  <w:tcW w:w="1291" w:type="dxa"/>
                  <w:gridSpan w:val="2"/>
                  <w:vMerge w:val="continue"/>
                  <w:vAlign w:val="center"/>
                </w:tcPr>
                <w:p w14:paraId="383F7940">
                  <w:pPr>
                    <w:pStyle w:val="52"/>
                    <w:rPr>
                      <w:color w:val="auto"/>
                    </w:rPr>
                  </w:pPr>
                </w:p>
              </w:tc>
              <w:tc>
                <w:tcPr>
                  <w:tcW w:w="1300" w:type="dxa"/>
                  <w:vAlign w:val="center"/>
                </w:tcPr>
                <w:p w14:paraId="5BA53EBD">
                  <w:pPr>
                    <w:pStyle w:val="52"/>
                    <w:rPr>
                      <w:color w:val="auto"/>
                    </w:rPr>
                  </w:pPr>
                  <w:r>
                    <w:rPr>
                      <w:color w:val="auto"/>
                    </w:rPr>
                    <w:t>BOD</w:t>
                  </w:r>
                  <w:r>
                    <w:rPr>
                      <w:color w:val="auto"/>
                      <w:vertAlign w:val="subscript"/>
                    </w:rPr>
                    <w:t>5</w:t>
                  </w:r>
                </w:p>
              </w:tc>
              <w:tc>
                <w:tcPr>
                  <w:tcW w:w="1144" w:type="dxa"/>
                  <w:tcBorders>
                    <w:right w:val="single" w:color="auto" w:sz="4" w:space="0"/>
                  </w:tcBorders>
                  <w:vAlign w:val="center"/>
                </w:tcPr>
                <w:p w14:paraId="7DFC9AF5">
                  <w:pPr>
                    <w:pStyle w:val="52"/>
                    <w:rPr>
                      <w:color w:val="auto"/>
                    </w:rPr>
                  </w:pPr>
                  <w:r>
                    <w:rPr>
                      <w:color w:val="auto"/>
                    </w:rPr>
                    <w:t>300</w:t>
                  </w:r>
                </w:p>
              </w:tc>
              <w:tc>
                <w:tcPr>
                  <w:tcW w:w="922" w:type="dxa"/>
                  <w:tcBorders>
                    <w:left w:val="single" w:color="auto" w:sz="4" w:space="0"/>
                  </w:tcBorders>
                  <w:vAlign w:val="center"/>
                </w:tcPr>
                <w:p w14:paraId="598C687D">
                  <w:pPr>
                    <w:pStyle w:val="52"/>
                    <w:rPr>
                      <w:color w:val="auto"/>
                    </w:rPr>
                  </w:pPr>
                  <w:r>
                    <w:rPr>
                      <w:color w:val="auto"/>
                    </w:rPr>
                    <w:t>0.288</w:t>
                  </w:r>
                </w:p>
              </w:tc>
              <w:tc>
                <w:tcPr>
                  <w:tcW w:w="2660" w:type="dxa"/>
                  <w:vMerge w:val="continue"/>
                  <w:vAlign w:val="center"/>
                </w:tcPr>
                <w:p w14:paraId="791142C4">
                  <w:pPr>
                    <w:pStyle w:val="52"/>
                    <w:rPr>
                      <w:color w:val="auto"/>
                    </w:rPr>
                  </w:pPr>
                </w:p>
              </w:tc>
              <w:tc>
                <w:tcPr>
                  <w:tcW w:w="1108" w:type="dxa"/>
                  <w:tcBorders>
                    <w:right w:val="single" w:color="auto" w:sz="4" w:space="0"/>
                  </w:tcBorders>
                  <w:vAlign w:val="center"/>
                </w:tcPr>
                <w:p w14:paraId="3FE11F00">
                  <w:pPr>
                    <w:pStyle w:val="52"/>
                    <w:rPr>
                      <w:color w:val="auto"/>
                    </w:rPr>
                  </w:pPr>
                  <w:r>
                    <w:rPr>
                      <w:color w:val="auto"/>
                    </w:rPr>
                    <w:t>0</w:t>
                  </w:r>
                </w:p>
              </w:tc>
              <w:tc>
                <w:tcPr>
                  <w:tcW w:w="846" w:type="dxa"/>
                  <w:tcBorders>
                    <w:left w:val="single" w:color="auto" w:sz="4" w:space="0"/>
                  </w:tcBorders>
                  <w:vAlign w:val="center"/>
                </w:tcPr>
                <w:p w14:paraId="128F7212">
                  <w:pPr>
                    <w:pStyle w:val="52"/>
                    <w:rPr>
                      <w:color w:val="auto"/>
                    </w:rPr>
                  </w:pPr>
                  <w:r>
                    <w:rPr>
                      <w:color w:val="auto"/>
                    </w:rPr>
                    <w:t>0</w:t>
                  </w:r>
                </w:p>
              </w:tc>
            </w:tr>
            <w:tr w14:paraId="7A991D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5287D382">
                  <w:pPr>
                    <w:pStyle w:val="52"/>
                    <w:rPr>
                      <w:color w:val="auto"/>
                    </w:rPr>
                  </w:pPr>
                </w:p>
              </w:tc>
              <w:tc>
                <w:tcPr>
                  <w:tcW w:w="1291" w:type="dxa"/>
                  <w:gridSpan w:val="2"/>
                  <w:vMerge w:val="continue"/>
                  <w:vAlign w:val="center"/>
                </w:tcPr>
                <w:p w14:paraId="2E7E51A4">
                  <w:pPr>
                    <w:pStyle w:val="52"/>
                    <w:rPr>
                      <w:color w:val="auto"/>
                    </w:rPr>
                  </w:pPr>
                </w:p>
              </w:tc>
              <w:tc>
                <w:tcPr>
                  <w:tcW w:w="1300" w:type="dxa"/>
                  <w:vAlign w:val="center"/>
                </w:tcPr>
                <w:p w14:paraId="4BD7CBD1">
                  <w:pPr>
                    <w:pStyle w:val="52"/>
                    <w:rPr>
                      <w:color w:val="auto"/>
                    </w:rPr>
                  </w:pPr>
                  <w:r>
                    <w:rPr>
                      <w:color w:val="auto"/>
                    </w:rPr>
                    <w:t>SS</w:t>
                  </w:r>
                </w:p>
              </w:tc>
              <w:tc>
                <w:tcPr>
                  <w:tcW w:w="1144" w:type="dxa"/>
                  <w:tcBorders>
                    <w:right w:val="single" w:color="auto" w:sz="4" w:space="0"/>
                  </w:tcBorders>
                  <w:vAlign w:val="center"/>
                </w:tcPr>
                <w:p w14:paraId="2B95EA0D">
                  <w:pPr>
                    <w:pStyle w:val="52"/>
                    <w:rPr>
                      <w:color w:val="auto"/>
                    </w:rPr>
                  </w:pPr>
                  <w:r>
                    <w:rPr>
                      <w:color w:val="auto"/>
                    </w:rPr>
                    <w:t>200</w:t>
                  </w:r>
                </w:p>
              </w:tc>
              <w:tc>
                <w:tcPr>
                  <w:tcW w:w="922" w:type="dxa"/>
                  <w:tcBorders>
                    <w:left w:val="single" w:color="auto" w:sz="4" w:space="0"/>
                  </w:tcBorders>
                  <w:vAlign w:val="center"/>
                </w:tcPr>
                <w:p w14:paraId="24D25796">
                  <w:pPr>
                    <w:pStyle w:val="52"/>
                    <w:rPr>
                      <w:color w:val="auto"/>
                    </w:rPr>
                  </w:pPr>
                  <w:r>
                    <w:rPr>
                      <w:color w:val="auto"/>
                    </w:rPr>
                    <w:t>0.192</w:t>
                  </w:r>
                </w:p>
              </w:tc>
              <w:tc>
                <w:tcPr>
                  <w:tcW w:w="2660" w:type="dxa"/>
                  <w:vMerge w:val="continue"/>
                  <w:vAlign w:val="center"/>
                </w:tcPr>
                <w:p w14:paraId="41CA135D">
                  <w:pPr>
                    <w:pStyle w:val="52"/>
                    <w:rPr>
                      <w:color w:val="auto"/>
                    </w:rPr>
                  </w:pPr>
                </w:p>
              </w:tc>
              <w:tc>
                <w:tcPr>
                  <w:tcW w:w="1108" w:type="dxa"/>
                  <w:tcBorders>
                    <w:right w:val="single" w:color="auto" w:sz="4" w:space="0"/>
                  </w:tcBorders>
                  <w:vAlign w:val="center"/>
                </w:tcPr>
                <w:p w14:paraId="3B06CC57">
                  <w:pPr>
                    <w:pStyle w:val="52"/>
                    <w:rPr>
                      <w:color w:val="auto"/>
                    </w:rPr>
                  </w:pPr>
                  <w:r>
                    <w:rPr>
                      <w:color w:val="auto"/>
                    </w:rPr>
                    <w:t>0</w:t>
                  </w:r>
                </w:p>
              </w:tc>
              <w:tc>
                <w:tcPr>
                  <w:tcW w:w="846" w:type="dxa"/>
                  <w:tcBorders>
                    <w:left w:val="single" w:color="auto" w:sz="4" w:space="0"/>
                  </w:tcBorders>
                  <w:vAlign w:val="center"/>
                </w:tcPr>
                <w:p w14:paraId="41500BB7">
                  <w:pPr>
                    <w:pStyle w:val="52"/>
                    <w:rPr>
                      <w:color w:val="auto"/>
                    </w:rPr>
                  </w:pPr>
                  <w:r>
                    <w:rPr>
                      <w:color w:val="auto"/>
                    </w:rPr>
                    <w:t>0</w:t>
                  </w:r>
                </w:p>
              </w:tc>
            </w:tr>
            <w:tr w14:paraId="77A370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54BAEC9B">
                  <w:pPr>
                    <w:pStyle w:val="52"/>
                    <w:rPr>
                      <w:color w:val="auto"/>
                    </w:rPr>
                  </w:pPr>
                </w:p>
              </w:tc>
              <w:tc>
                <w:tcPr>
                  <w:tcW w:w="1291" w:type="dxa"/>
                  <w:gridSpan w:val="2"/>
                  <w:vMerge w:val="continue"/>
                  <w:vAlign w:val="center"/>
                </w:tcPr>
                <w:p w14:paraId="4126528B">
                  <w:pPr>
                    <w:pStyle w:val="52"/>
                    <w:rPr>
                      <w:color w:val="auto"/>
                    </w:rPr>
                  </w:pPr>
                </w:p>
              </w:tc>
              <w:tc>
                <w:tcPr>
                  <w:tcW w:w="1300" w:type="dxa"/>
                  <w:vAlign w:val="center"/>
                </w:tcPr>
                <w:p w14:paraId="343D731F">
                  <w:pPr>
                    <w:pStyle w:val="52"/>
                    <w:rPr>
                      <w:color w:val="auto"/>
                    </w:rPr>
                  </w:pPr>
                  <w:r>
                    <w:rPr>
                      <w:color w:val="auto"/>
                    </w:rPr>
                    <w:t>动植物油</w:t>
                  </w:r>
                </w:p>
              </w:tc>
              <w:tc>
                <w:tcPr>
                  <w:tcW w:w="1144" w:type="dxa"/>
                  <w:tcBorders>
                    <w:right w:val="single" w:color="auto" w:sz="4" w:space="0"/>
                  </w:tcBorders>
                  <w:vAlign w:val="center"/>
                </w:tcPr>
                <w:p w14:paraId="5551E431">
                  <w:pPr>
                    <w:pStyle w:val="52"/>
                    <w:rPr>
                      <w:color w:val="auto"/>
                    </w:rPr>
                  </w:pPr>
                  <w:r>
                    <w:rPr>
                      <w:color w:val="auto"/>
                    </w:rPr>
                    <w:t>50</w:t>
                  </w:r>
                </w:p>
              </w:tc>
              <w:tc>
                <w:tcPr>
                  <w:tcW w:w="922" w:type="dxa"/>
                  <w:tcBorders>
                    <w:left w:val="single" w:color="auto" w:sz="4" w:space="0"/>
                  </w:tcBorders>
                  <w:vAlign w:val="center"/>
                </w:tcPr>
                <w:p w14:paraId="60E73A5D">
                  <w:pPr>
                    <w:pStyle w:val="52"/>
                    <w:rPr>
                      <w:color w:val="auto"/>
                    </w:rPr>
                  </w:pPr>
                  <w:r>
                    <w:rPr>
                      <w:color w:val="auto"/>
                    </w:rPr>
                    <w:t>0.048</w:t>
                  </w:r>
                </w:p>
              </w:tc>
              <w:tc>
                <w:tcPr>
                  <w:tcW w:w="2660" w:type="dxa"/>
                  <w:vMerge w:val="continue"/>
                  <w:vAlign w:val="center"/>
                </w:tcPr>
                <w:p w14:paraId="174FAF1C">
                  <w:pPr>
                    <w:pStyle w:val="52"/>
                    <w:rPr>
                      <w:color w:val="auto"/>
                    </w:rPr>
                  </w:pPr>
                </w:p>
              </w:tc>
              <w:tc>
                <w:tcPr>
                  <w:tcW w:w="1108" w:type="dxa"/>
                  <w:tcBorders>
                    <w:right w:val="single" w:color="auto" w:sz="4" w:space="0"/>
                  </w:tcBorders>
                  <w:vAlign w:val="center"/>
                </w:tcPr>
                <w:p w14:paraId="698150F1">
                  <w:pPr>
                    <w:pStyle w:val="52"/>
                    <w:rPr>
                      <w:color w:val="auto"/>
                    </w:rPr>
                  </w:pPr>
                  <w:r>
                    <w:rPr>
                      <w:color w:val="auto"/>
                    </w:rPr>
                    <w:t>0</w:t>
                  </w:r>
                </w:p>
              </w:tc>
              <w:tc>
                <w:tcPr>
                  <w:tcW w:w="846" w:type="dxa"/>
                  <w:tcBorders>
                    <w:left w:val="single" w:color="auto" w:sz="4" w:space="0"/>
                  </w:tcBorders>
                  <w:vAlign w:val="center"/>
                </w:tcPr>
                <w:p w14:paraId="65228458">
                  <w:pPr>
                    <w:pStyle w:val="52"/>
                    <w:rPr>
                      <w:color w:val="auto"/>
                    </w:rPr>
                  </w:pPr>
                  <w:r>
                    <w:rPr>
                      <w:color w:val="auto"/>
                    </w:rPr>
                    <w:t>0</w:t>
                  </w:r>
                </w:p>
              </w:tc>
            </w:tr>
            <w:tr w14:paraId="6E343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438647AD">
                  <w:pPr>
                    <w:pStyle w:val="52"/>
                    <w:rPr>
                      <w:color w:val="auto"/>
                    </w:rPr>
                  </w:pPr>
                </w:p>
              </w:tc>
              <w:tc>
                <w:tcPr>
                  <w:tcW w:w="1291" w:type="dxa"/>
                  <w:gridSpan w:val="2"/>
                  <w:vMerge w:val="continue"/>
                  <w:vAlign w:val="center"/>
                </w:tcPr>
                <w:p w14:paraId="6B1D76E2">
                  <w:pPr>
                    <w:pStyle w:val="52"/>
                    <w:rPr>
                      <w:color w:val="auto"/>
                    </w:rPr>
                  </w:pPr>
                </w:p>
              </w:tc>
              <w:tc>
                <w:tcPr>
                  <w:tcW w:w="1300" w:type="dxa"/>
                  <w:vAlign w:val="center"/>
                </w:tcPr>
                <w:p w14:paraId="79CDA191">
                  <w:pPr>
                    <w:pStyle w:val="52"/>
                    <w:rPr>
                      <w:color w:val="auto"/>
                    </w:rPr>
                  </w:pPr>
                  <w:r>
                    <w:rPr>
                      <w:color w:val="auto"/>
                    </w:rPr>
                    <w:t>NH</w:t>
                  </w:r>
                  <w:r>
                    <w:rPr>
                      <w:color w:val="auto"/>
                      <w:vertAlign w:val="subscript"/>
                    </w:rPr>
                    <w:t>3</w:t>
                  </w:r>
                  <w:r>
                    <w:rPr>
                      <w:color w:val="auto"/>
                    </w:rPr>
                    <w:t>-N</w:t>
                  </w:r>
                </w:p>
              </w:tc>
              <w:tc>
                <w:tcPr>
                  <w:tcW w:w="1144" w:type="dxa"/>
                  <w:tcBorders>
                    <w:right w:val="single" w:color="auto" w:sz="4" w:space="0"/>
                  </w:tcBorders>
                  <w:vAlign w:val="center"/>
                </w:tcPr>
                <w:p w14:paraId="0CD72AAB">
                  <w:pPr>
                    <w:pStyle w:val="52"/>
                    <w:rPr>
                      <w:color w:val="auto"/>
                    </w:rPr>
                  </w:pPr>
                  <w:r>
                    <w:rPr>
                      <w:color w:val="auto"/>
                    </w:rPr>
                    <w:t>35</w:t>
                  </w:r>
                </w:p>
              </w:tc>
              <w:tc>
                <w:tcPr>
                  <w:tcW w:w="922" w:type="dxa"/>
                  <w:tcBorders>
                    <w:left w:val="single" w:color="auto" w:sz="4" w:space="0"/>
                  </w:tcBorders>
                  <w:vAlign w:val="center"/>
                </w:tcPr>
                <w:p w14:paraId="11F38700">
                  <w:pPr>
                    <w:pStyle w:val="52"/>
                    <w:rPr>
                      <w:color w:val="auto"/>
                    </w:rPr>
                  </w:pPr>
                  <w:r>
                    <w:rPr>
                      <w:color w:val="auto"/>
                    </w:rPr>
                    <w:t>0.034</w:t>
                  </w:r>
                </w:p>
              </w:tc>
              <w:tc>
                <w:tcPr>
                  <w:tcW w:w="2660" w:type="dxa"/>
                  <w:vMerge w:val="continue"/>
                  <w:vAlign w:val="center"/>
                </w:tcPr>
                <w:p w14:paraId="0D924E27">
                  <w:pPr>
                    <w:pStyle w:val="52"/>
                    <w:rPr>
                      <w:color w:val="auto"/>
                    </w:rPr>
                  </w:pPr>
                </w:p>
              </w:tc>
              <w:tc>
                <w:tcPr>
                  <w:tcW w:w="1108" w:type="dxa"/>
                  <w:tcBorders>
                    <w:right w:val="single" w:color="auto" w:sz="4" w:space="0"/>
                  </w:tcBorders>
                  <w:vAlign w:val="center"/>
                </w:tcPr>
                <w:p w14:paraId="5A243ADD">
                  <w:pPr>
                    <w:pStyle w:val="52"/>
                    <w:rPr>
                      <w:color w:val="auto"/>
                    </w:rPr>
                  </w:pPr>
                  <w:r>
                    <w:rPr>
                      <w:color w:val="auto"/>
                    </w:rPr>
                    <w:t>0</w:t>
                  </w:r>
                </w:p>
              </w:tc>
              <w:tc>
                <w:tcPr>
                  <w:tcW w:w="846" w:type="dxa"/>
                  <w:tcBorders>
                    <w:left w:val="single" w:color="auto" w:sz="4" w:space="0"/>
                  </w:tcBorders>
                  <w:vAlign w:val="center"/>
                </w:tcPr>
                <w:p w14:paraId="50B3881A">
                  <w:pPr>
                    <w:pStyle w:val="52"/>
                    <w:rPr>
                      <w:color w:val="auto"/>
                    </w:rPr>
                  </w:pPr>
                  <w:r>
                    <w:rPr>
                      <w:color w:val="auto"/>
                    </w:rPr>
                    <w:t>0</w:t>
                  </w:r>
                </w:p>
              </w:tc>
            </w:tr>
            <w:tr w14:paraId="19FDBA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5BC3450A">
                  <w:pPr>
                    <w:pStyle w:val="52"/>
                    <w:rPr>
                      <w:color w:val="auto"/>
                    </w:rPr>
                  </w:pPr>
                </w:p>
              </w:tc>
              <w:tc>
                <w:tcPr>
                  <w:tcW w:w="1291" w:type="dxa"/>
                  <w:gridSpan w:val="2"/>
                  <w:vMerge w:val="continue"/>
                  <w:vAlign w:val="center"/>
                </w:tcPr>
                <w:p w14:paraId="7513213C">
                  <w:pPr>
                    <w:pStyle w:val="52"/>
                    <w:rPr>
                      <w:color w:val="auto"/>
                    </w:rPr>
                  </w:pPr>
                </w:p>
              </w:tc>
              <w:tc>
                <w:tcPr>
                  <w:tcW w:w="1300" w:type="dxa"/>
                  <w:vAlign w:val="center"/>
                </w:tcPr>
                <w:p w14:paraId="67756CC5">
                  <w:pPr>
                    <w:pStyle w:val="52"/>
                    <w:rPr>
                      <w:color w:val="auto"/>
                    </w:rPr>
                  </w:pPr>
                  <w:r>
                    <w:rPr>
                      <w:color w:val="auto"/>
                    </w:rPr>
                    <w:t>磷酸盐</w:t>
                  </w:r>
                </w:p>
              </w:tc>
              <w:tc>
                <w:tcPr>
                  <w:tcW w:w="1144" w:type="dxa"/>
                  <w:tcBorders>
                    <w:right w:val="single" w:color="auto" w:sz="4" w:space="0"/>
                  </w:tcBorders>
                  <w:vAlign w:val="center"/>
                </w:tcPr>
                <w:p w14:paraId="6FB810BD">
                  <w:pPr>
                    <w:pStyle w:val="52"/>
                    <w:rPr>
                      <w:color w:val="auto"/>
                    </w:rPr>
                  </w:pPr>
                  <w:r>
                    <w:rPr>
                      <w:color w:val="auto"/>
                    </w:rPr>
                    <w:t>8</w:t>
                  </w:r>
                </w:p>
              </w:tc>
              <w:tc>
                <w:tcPr>
                  <w:tcW w:w="922" w:type="dxa"/>
                  <w:tcBorders>
                    <w:left w:val="single" w:color="auto" w:sz="4" w:space="0"/>
                  </w:tcBorders>
                  <w:vAlign w:val="center"/>
                </w:tcPr>
                <w:p w14:paraId="17F948F1">
                  <w:pPr>
                    <w:pStyle w:val="52"/>
                    <w:rPr>
                      <w:color w:val="auto"/>
                    </w:rPr>
                  </w:pPr>
                  <w:r>
                    <w:rPr>
                      <w:color w:val="auto"/>
                    </w:rPr>
                    <w:t>0.008</w:t>
                  </w:r>
                </w:p>
              </w:tc>
              <w:tc>
                <w:tcPr>
                  <w:tcW w:w="2660" w:type="dxa"/>
                  <w:vMerge w:val="continue"/>
                  <w:vAlign w:val="center"/>
                </w:tcPr>
                <w:p w14:paraId="0E75D813">
                  <w:pPr>
                    <w:pStyle w:val="52"/>
                    <w:rPr>
                      <w:color w:val="auto"/>
                    </w:rPr>
                  </w:pPr>
                </w:p>
              </w:tc>
              <w:tc>
                <w:tcPr>
                  <w:tcW w:w="1108" w:type="dxa"/>
                  <w:tcBorders>
                    <w:right w:val="single" w:color="auto" w:sz="4" w:space="0"/>
                  </w:tcBorders>
                  <w:vAlign w:val="center"/>
                </w:tcPr>
                <w:p w14:paraId="0A06114C">
                  <w:pPr>
                    <w:pStyle w:val="52"/>
                    <w:rPr>
                      <w:color w:val="auto"/>
                    </w:rPr>
                  </w:pPr>
                  <w:r>
                    <w:rPr>
                      <w:color w:val="auto"/>
                    </w:rPr>
                    <w:t>0</w:t>
                  </w:r>
                </w:p>
              </w:tc>
              <w:tc>
                <w:tcPr>
                  <w:tcW w:w="846" w:type="dxa"/>
                  <w:tcBorders>
                    <w:left w:val="single" w:color="auto" w:sz="4" w:space="0"/>
                  </w:tcBorders>
                  <w:vAlign w:val="center"/>
                </w:tcPr>
                <w:p w14:paraId="2836AF73">
                  <w:pPr>
                    <w:pStyle w:val="52"/>
                    <w:rPr>
                      <w:color w:val="auto"/>
                    </w:rPr>
                  </w:pPr>
                  <w:r>
                    <w:rPr>
                      <w:color w:val="auto"/>
                    </w:rPr>
                    <w:t>0</w:t>
                  </w:r>
                </w:p>
              </w:tc>
            </w:tr>
            <w:tr w14:paraId="638656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15561041">
                  <w:pPr>
                    <w:pStyle w:val="52"/>
                    <w:rPr>
                      <w:color w:val="auto"/>
                    </w:rPr>
                  </w:pPr>
                </w:p>
              </w:tc>
              <w:tc>
                <w:tcPr>
                  <w:tcW w:w="1291" w:type="dxa"/>
                  <w:gridSpan w:val="2"/>
                  <w:vMerge w:val="restart"/>
                  <w:vAlign w:val="center"/>
                </w:tcPr>
                <w:p w14:paraId="4D109658">
                  <w:pPr>
                    <w:pStyle w:val="52"/>
                    <w:rPr>
                      <w:color w:val="auto"/>
                    </w:rPr>
                  </w:pPr>
                  <w:r>
                    <w:rPr>
                      <w:rFonts w:hint="eastAsia"/>
                      <w:bCs/>
                      <w:color w:val="FF0000"/>
                    </w:rPr>
                    <w:t>初期雨水</w:t>
                  </w:r>
                </w:p>
              </w:tc>
              <w:tc>
                <w:tcPr>
                  <w:tcW w:w="1300" w:type="dxa"/>
                  <w:vAlign w:val="center"/>
                </w:tcPr>
                <w:p w14:paraId="4610BE0D">
                  <w:pPr>
                    <w:pStyle w:val="52"/>
                    <w:rPr>
                      <w:color w:val="auto"/>
                    </w:rPr>
                  </w:pPr>
                  <w:r>
                    <w:rPr>
                      <w:color w:val="auto"/>
                    </w:rPr>
                    <w:t>废水量</w:t>
                  </w:r>
                </w:p>
              </w:tc>
              <w:tc>
                <w:tcPr>
                  <w:tcW w:w="2066" w:type="dxa"/>
                  <w:gridSpan w:val="2"/>
                  <w:vAlign w:val="center"/>
                </w:tcPr>
                <w:p w14:paraId="3602C5A5">
                  <w:pPr>
                    <w:pStyle w:val="52"/>
                    <w:rPr>
                      <w:color w:val="auto"/>
                    </w:rPr>
                  </w:pPr>
                  <w:r>
                    <w:rPr>
                      <w:color w:val="auto"/>
                    </w:rPr>
                    <w:t>8.9784万m</w:t>
                  </w:r>
                  <w:r>
                    <w:rPr>
                      <w:color w:val="auto"/>
                      <w:vertAlign w:val="superscript"/>
                    </w:rPr>
                    <w:t>3</w:t>
                  </w:r>
                  <w:r>
                    <w:rPr>
                      <w:color w:val="auto"/>
                    </w:rPr>
                    <w:t>/a</w:t>
                  </w:r>
                </w:p>
              </w:tc>
              <w:tc>
                <w:tcPr>
                  <w:tcW w:w="2660" w:type="dxa"/>
                  <w:vMerge w:val="restart"/>
                  <w:vAlign w:val="center"/>
                </w:tcPr>
                <w:p w14:paraId="6C8B802F">
                  <w:pPr>
                    <w:pStyle w:val="52"/>
                    <w:rPr>
                      <w:color w:val="auto"/>
                    </w:rPr>
                  </w:pPr>
                  <w:r>
                    <w:rPr>
                      <w:color w:val="auto"/>
                    </w:rPr>
                    <w:t>排水沟收集后经雨水沉淀池处理后外排</w:t>
                  </w:r>
                </w:p>
              </w:tc>
              <w:tc>
                <w:tcPr>
                  <w:tcW w:w="1954" w:type="dxa"/>
                  <w:gridSpan w:val="2"/>
                  <w:vAlign w:val="center"/>
                </w:tcPr>
                <w:p w14:paraId="01C450B1">
                  <w:pPr>
                    <w:pStyle w:val="52"/>
                    <w:rPr>
                      <w:color w:val="auto"/>
                    </w:rPr>
                  </w:pPr>
                  <w:r>
                    <w:rPr>
                      <w:color w:val="auto"/>
                    </w:rPr>
                    <w:t>8.9784万m</w:t>
                  </w:r>
                  <w:r>
                    <w:rPr>
                      <w:color w:val="auto"/>
                      <w:vertAlign w:val="superscript"/>
                    </w:rPr>
                    <w:t>3</w:t>
                  </w:r>
                  <w:r>
                    <w:rPr>
                      <w:color w:val="auto"/>
                    </w:rPr>
                    <w:t>/a</w:t>
                  </w:r>
                </w:p>
              </w:tc>
            </w:tr>
            <w:tr w14:paraId="25A95D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41B522D6">
                  <w:pPr>
                    <w:pStyle w:val="52"/>
                    <w:rPr>
                      <w:color w:val="auto"/>
                    </w:rPr>
                  </w:pPr>
                </w:p>
              </w:tc>
              <w:tc>
                <w:tcPr>
                  <w:tcW w:w="1291" w:type="dxa"/>
                  <w:gridSpan w:val="2"/>
                  <w:vMerge w:val="continue"/>
                  <w:vAlign w:val="center"/>
                </w:tcPr>
                <w:p w14:paraId="00C5B843">
                  <w:pPr>
                    <w:pStyle w:val="52"/>
                    <w:rPr>
                      <w:color w:val="auto"/>
                    </w:rPr>
                  </w:pPr>
                </w:p>
              </w:tc>
              <w:tc>
                <w:tcPr>
                  <w:tcW w:w="1300" w:type="dxa"/>
                  <w:vAlign w:val="center"/>
                </w:tcPr>
                <w:p w14:paraId="720ABE90">
                  <w:pPr>
                    <w:pStyle w:val="52"/>
                    <w:rPr>
                      <w:color w:val="auto"/>
                    </w:rPr>
                  </w:pPr>
                  <w:r>
                    <w:rPr>
                      <w:color w:val="auto"/>
                    </w:rPr>
                    <w:t>SS</w:t>
                  </w:r>
                </w:p>
              </w:tc>
              <w:tc>
                <w:tcPr>
                  <w:tcW w:w="1144" w:type="dxa"/>
                  <w:tcBorders>
                    <w:right w:val="single" w:color="auto" w:sz="4" w:space="0"/>
                  </w:tcBorders>
                  <w:vAlign w:val="center"/>
                </w:tcPr>
                <w:p w14:paraId="3B556A80">
                  <w:pPr>
                    <w:pStyle w:val="52"/>
                    <w:rPr>
                      <w:color w:val="auto"/>
                    </w:rPr>
                  </w:pPr>
                  <w:r>
                    <w:rPr>
                      <w:color w:val="auto"/>
                    </w:rPr>
                    <w:t>4000</w:t>
                  </w:r>
                </w:p>
              </w:tc>
              <w:tc>
                <w:tcPr>
                  <w:tcW w:w="922" w:type="dxa"/>
                  <w:tcBorders>
                    <w:left w:val="single" w:color="auto" w:sz="4" w:space="0"/>
                  </w:tcBorders>
                  <w:vAlign w:val="center"/>
                </w:tcPr>
                <w:p w14:paraId="57869ADE">
                  <w:pPr>
                    <w:pStyle w:val="52"/>
                    <w:rPr>
                      <w:color w:val="auto"/>
                    </w:rPr>
                  </w:pPr>
                  <w:r>
                    <w:rPr>
                      <w:color w:val="auto"/>
                    </w:rPr>
                    <w:t>359.1</w:t>
                  </w:r>
                </w:p>
              </w:tc>
              <w:tc>
                <w:tcPr>
                  <w:tcW w:w="2660" w:type="dxa"/>
                  <w:vMerge w:val="continue"/>
                  <w:vAlign w:val="center"/>
                </w:tcPr>
                <w:p w14:paraId="03B87BB8">
                  <w:pPr>
                    <w:pStyle w:val="52"/>
                    <w:rPr>
                      <w:color w:val="auto"/>
                    </w:rPr>
                  </w:pPr>
                </w:p>
              </w:tc>
              <w:tc>
                <w:tcPr>
                  <w:tcW w:w="1108" w:type="dxa"/>
                  <w:tcBorders>
                    <w:right w:val="single" w:color="auto" w:sz="4" w:space="0"/>
                  </w:tcBorders>
                  <w:vAlign w:val="center"/>
                </w:tcPr>
                <w:p w14:paraId="0FF38E2A">
                  <w:pPr>
                    <w:pStyle w:val="52"/>
                    <w:rPr>
                      <w:color w:val="auto"/>
                    </w:rPr>
                  </w:pPr>
                  <w:r>
                    <w:rPr>
                      <w:color w:val="auto"/>
                    </w:rPr>
                    <w:t>400</w:t>
                  </w:r>
                </w:p>
              </w:tc>
              <w:tc>
                <w:tcPr>
                  <w:tcW w:w="846" w:type="dxa"/>
                  <w:tcBorders>
                    <w:left w:val="single" w:color="auto" w:sz="4" w:space="0"/>
                  </w:tcBorders>
                  <w:vAlign w:val="center"/>
                </w:tcPr>
                <w:p w14:paraId="7B840694">
                  <w:pPr>
                    <w:pStyle w:val="52"/>
                    <w:rPr>
                      <w:color w:val="auto"/>
                    </w:rPr>
                  </w:pPr>
                  <w:r>
                    <w:rPr>
                      <w:color w:val="auto"/>
                    </w:rPr>
                    <w:t>35.91</w:t>
                  </w:r>
                </w:p>
              </w:tc>
            </w:tr>
            <w:tr w14:paraId="2D913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tcBorders>
                    <w:right w:val="single" w:color="auto" w:sz="4" w:space="0"/>
                  </w:tcBorders>
                  <w:vAlign w:val="center"/>
                </w:tcPr>
                <w:p w14:paraId="4481405F">
                  <w:pPr>
                    <w:pStyle w:val="52"/>
                    <w:rPr>
                      <w:color w:val="auto"/>
                    </w:rPr>
                  </w:pPr>
                  <w:r>
                    <w:rPr>
                      <w:color w:val="auto"/>
                    </w:rPr>
                    <w:t>废气</w:t>
                  </w:r>
                </w:p>
              </w:tc>
              <w:tc>
                <w:tcPr>
                  <w:tcW w:w="1291" w:type="dxa"/>
                  <w:gridSpan w:val="2"/>
                  <w:tcBorders>
                    <w:left w:val="single" w:color="auto" w:sz="4" w:space="0"/>
                  </w:tcBorders>
                  <w:vAlign w:val="center"/>
                </w:tcPr>
                <w:p w14:paraId="0BE78F46">
                  <w:pPr>
                    <w:pStyle w:val="52"/>
                    <w:rPr>
                      <w:color w:val="auto"/>
                    </w:rPr>
                  </w:pPr>
                  <w:r>
                    <w:rPr>
                      <w:color w:val="auto"/>
                      <w:spacing w:val="2"/>
                    </w:rPr>
                    <w:t>采场工作面</w:t>
                  </w:r>
                </w:p>
              </w:tc>
              <w:tc>
                <w:tcPr>
                  <w:tcW w:w="1300" w:type="dxa"/>
                  <w:vMerge w:val="restart"/>
                  <w:vAlign w:val="center"/>
                </w:tcPr>
                <w:p w14:paraId="09B3EF4E">
                  <w:pPr>
                    <w:pStyle w:val="52"/>
                    <w:rPr>
                      <w:color w:val="auto"/>
                    </w:rPr>
                  </w:pPr>
                  <w:r>
                    <w:rPr>
                      <w:color w:val="auto"/>
                      <w:spacing w:val="2"/>
                    </w:rPr>
                    <w:t>无组织粉尘</w:t>
                  </w:r>
                </w:p>
              </w:tc>
              <w:tc>
                <w:tcPr>
                  <w:tcW w:w="1144" w:type="dxa"/>
                  <w:vAlign w:val="center"/>
                </w:tcPr>
                <w:p w14:paraId="5334F1D8">
                  <w:pPr>
                    <w:pStyle w:val="52"/>
                    <w:rPr>
                      <w:color w:val="auto"/>
                    </w:rPr>
                  </w:pPr>
                  <w:r>
                    <w:rPr>
                      <w:color w:val="auto"/>
                    </w:rPr>
                    <w:t>0.24</w:t>
                  </w:r>
                  <w:r>
                    <w:rPr>
                      <w:color w:val="auto"/>
                      <w:spacing w:val="2"/>
                    </w:rPr>
                    <w:t xml:space="preserve"> g/s</w:t>
                  </w:r>
                </w:p>
              </w:tc>
              <w:tc>
                <w:tcPr>
                  <w:tcW w:w="922" w:type="dxa"/>
                  <w:vAlign w:val="center"/>
                </w:tcPr>
                <w:p w14:paraId="0FF04ED2">
                  <w:pPr>
                    <w:pStyle w:val="52"/>
                    <w:rPr>
                      <w:color w:val="auto"/>
                    </w:rPr>
                  </w:pPr>
                  <w:r>
                    <w:rPr>
                      <w:color w:val="auto"/>
                    </w:rPr>
                    <w:t>6.125</w:t>
                  </w:r>
                </w:p>
              </w:tc>
              <w:tc>
                <w:tcPr>
                  <w:tcW w:w="2660" w:type="dxa"/>
                  <w:vAlign w:val="center"/>
                </w:tcPr>
                <w:p w14:paraId="35CFF328">
                  <w:pPr>
                    <w:pStyle w:val="52"/>
                    <w:rPr>
                      <w:color w:val="auto"/>
                      <w:spacing w:val="2"/>
                    </w:rPr>
                  </w:pPr>
                  <w:r>
                    <w:rPr>
                      <w:color w:val="auto"/>
                      <w:spacing w:val="2"/>
                    </w:rPr>
                    <w:t>控制爆破、洒水降尘</w:t>
                  </w:r>
                </w:p>
              </w:tc>
              <w:tc>
                <w:tcPr>
                  <w:tcW w:w="1108" w:type="dxa"/>
                  <w:vAlign w:val="center"/>
                </w:tcPr>
                <w:p w14:paraId="38D2E17F">
                  <w:pPr>
                    <w:pStyle w:val="52"/>
                    <w:rPr>
                      <w:color w:val="auto"/>
                    </w:rPr>
                  </w:pPr>
                  <w:r>
                    <w:rPr>
                      <w:color w:val="auto"/>
                    </w:rPr>
                    <w:t>0.072</w:t>
                  </w:r>
                  <w:r>
                    <w:rPr>
                      <w:color w:val="auto"/>
                      <w:spacing w:val="2"/>
                    </w:rPr>
                    <w:t xml:space="preserve"> g/s</w:t>
                  </w:r>
                </w:p>
              </w:tc>
              <w:tc>
                <w:tcPr>
                  <w:tcW w:w="846" w:type="dxa"/>
                  <w:vAlign w:val="center"/>
                </w:tcPr>
                <w:p w14:paraId="7DD5F85B">
                  <w:pPr>
                    <w:pStyle w:val="52"/>
                    <w:rPr>
                      <w:color w:val="auto"/>
                    </w:rPr>
                  </w:pPr>
                  <w:r>
                    <w:rPr>
                      <w:color w:val="auto"/>
                    </w:rPr>
                    <w:t>1.838</w:t>
                  </w:r>
                </w:p>
              </w:tc>
            </w:tr>
            <w:tr w14:paraId="3499C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D017D26">
                  <w:pPr>
                    <w:pStyle w:val="52"/>
                    <w:rPr>
                      <w:color w:val="auto"/>
                    </w:rPr>
                  </w:pPr>
                </w:p>
              </w:tc>
              <w:tc>
                <w:tcPr>
                  <w:tcW w:w="1291" w:type="dxa"/>
                  <w:gridSpan w:val="2"/>
                  <w:tcBorders>
                    <w:left w:val="single" w:color="auto" w:sz="4" w:space="0"/>
                  </w:tcBorders>
                  <w:vAlign w:val="center"/>
                </w:tcPr>
                <w:p w14:paraId="2B33D20B">
                  <w:pPr>
                    <w:pStyle w:val="52"/>
                    <w:rPr>
                      <w:color w:val="auto"/>
                    </w:rPr>
                  </w:pPr>
                  <w:r>
                    <w:rPr>
                      <w:color w:val="auto"/>
                      <w:spacing w:val="2"/>
                    </w:rPr>
                    <w:t>机械设备</w:t>
                  </w:r>
                </w:p>
              </w:tc>
              <w:tc>
                <w:tcPr>
                  <w:tcW w:w="1300" w:type="dxa"/>
                  <w:vMerge w:val="continue"/>
                  <w:vAlign w:val="center"/>
                </w:tcPr>
                <w:p w14:paraId="326730AF">
                  <w:pPr>
                    <w:pStyle w:val="52"/>
                    <w:rPr>
                      <w:color w:val="auto"/>
                    </w:rPr>
                  </w:pPr>
                </w:p>
              </w:tc>
              <w:tc>
                <w:tcPr>
                  <w:tcW w:w="1144" w:type="dxa"/>
                  <w:vAlign w:val="center"/>
                </w:tcPr>
                <w:p w14:paraId="2760A070">
                  <w:pPr>
                    <w:pStyle w:val="52"/>
                    <w:rPr>
                      <w:color w:val="auto"/>
                    </w:rPr>
                  </w:pPr>
                  <w:r>
                    <w:rPr>
                      <w:color w:val="auto"/>
                    </w:rPr>
                    <w:t>0.014</w:t>
                  </w:r>
                  <w:r>
                    <w:rPr>
                      <w:color w:val="auto"/>
                      <w:spacing w:val="2"/>
                    </w:rPr>
                    <w:t xml:space="preserve"> g/s</w:t>
                  </w:r>
                </w:p>
              </w:tc>
              <w:tc>
                <w:tcPr>
                  <w:tcW w:w="922" w:type="dxa"/>
                  <w:vAlign w:val="center"/>
                </w:tcPr>
                <w:p w14:paraId="6B7509DD">
                  <w:pPr>
                    <w:pStyle w:val="52"/>
                    <w:rPr>
                      <w:color w:val="auto"/>
                    </w:rPr>
                  </w:pPr>
                  <w:r>
                    <w:rPr>
                      <w:color w:val="auto"/>
                    </w:rPr>
                    <w:t>0.152</w:t>
                  </w:r>
                </w:p>
              </w:tc>
              <w:tc>
                <w:tcPr>
                  <w:tcW w:w="2660" w:type="dxa"/>
                  <w:vAlign w:val="center"/>
                </w:tcPr>
                <w:p w14:paraId="11B1836B">
                  <w:pPr>
                    <w:pStyle w:val="52"/>
                    <w:rPr>
                      <w:color w:val="auto"/>
                      <w:spacing w:val="2"/>
                    </w:rPr>
                  </w:pPr>
                  <w:r>
                    <w:rPr>
                      <w:color w:val="auto"/>
                      <w:spacing w:val="2"/>
                    </w:rPr>
                    <w:t>/</w:t>
                  </w:r>
                </w:p>
              </w:tc>
              <w:tc>
                <w:tcPr>
                  <w:tcW w:w="1108" w:type="dxa"/>
                  <w:vAlign w:val="center"/>
                </w:tcPr>
                <w:p w14:paraId="7D60D66E">
                  <w:pPr>
                    <w:pStyle w:val="52"/>
                    <w:rPr>
                      <w:color w:val="auto"/>
                    </w:rPr>
                  </w:pPr>
                  <w:r>
                    <w:rPr>
                      <w:color w:val="auto"/>
                    </w:rPr>
                    <w:t>0.004</w:t>
                  </w:r>
                  <w:r>
                    <w:rPr>
                      <w:color w:val="auto"/>
                      <w:spacing w:val="2"/>
                    </w:rPr>
                    <w:t xml:space="preserve"> g/s</w:t>
                  </w:r>
                </w:p>
              </w:tc>
              <w:tc>
                <w:tcPr>
                  <w:tcW w:w="846" w:type="dxa"/>
                  <w:vAlign w:val="center"/>
                </w:tcPr>
                <w:p w14:paraId="51AD8395">
                  <w:pPr>
                    <w:pStyle w:val="52"/>
                    <w:rPr>
                      <w:color w:val="auto"/>
                    </w:rPr>
                  </w:pPr>
                  <w:r>
                    <w:rPr>
                      <w:color w:val="auto"/>
                    </w:rPr>
                    <w:t>0.152</w:t>
                  </w:r>
                </w:p>
              </w:tc>
            </w:tr>
            <w:tr w14:paraId="13C8E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0CFA4804">
                  <w:pPr>
                    <w:pStyle w:val="52"/>
                    <w:rPr>
                      <w:color w:val="auto"/>
                    </w:rPr>
                  </w:pPr>
                </w:p>
              </w:tc>
              <w:tc>
                <w:tcPr>
                  <w:tcW w:w="431" w:type="dxa"/>
                  <w:vMerge w:val="restart"/>
                  <w:tcBorders>
                    <w:left w:val="single" w:color="auto" w:sz="4" w:space="0"/>
                    <w:right w:val="single" w:color="auto" w:sz="4" w:space="0"/>
                  </w:tcBorders>
                  <w:vAlign w:val="center"/>
                </w:tcPr>
                <w:p w14:paraId="7F75151F">
                  <w:pPr>
                    <w:pStyle w:val="52"/>
                    <w:rPr>
                      <w:color w:val="auto"/>
                    </w:rPr>
                  </w:pPr>
                  <w:r>
                    <w:rPr>
                      <w:color w:val="auto"/>
                      <w:spacing w:val="2"/>
                    </w:rPr>
                    <w:t>堆场</w:t>
                  </w:r>
                </w:p>
              </w:tc>
              <w:tc>
                <w:tcPr>
                  <w:tcW w:w="860" w:type="dxa"/>
                  <w:tcBorders>
                    <w:left w:val="single" w:color="auto" w:sz="4" w:space="0"/>
                  </w:tcBorders>
                  <w:vAlign w:val="center"/>
                </w:tcPr>
                <w:p w14:paraId="331C1D4B">
                  <w:pPr>
                    <w:pStyle w:val="52"/>
                    <w:rPr>
                      <w:color w:val="auto"/>
                      <w:spacing w:val="2"/>
                    </w:rPr>
                  </w:pPr>
                  <w:r>
                    <w:rPr>
                      <w:color w:val="auto"/>
                      <w:spacing w:val="2"/>
                    </w:rPr>
                    <w:t>弃渣场</w:t>
                  </w:r>
                </w:p>
              </w:tc>
              <w:tc>
                <w:tcPr>
                  <w:tcW w:w="1300" w:type="dxa"/>
                  <w:vMerge w:val="continue"/>
                  <w:vAlign w:val="center"/>
                </w:tcPr>
                <w:p w14:paraId="60082D15">
                  <w:pPr>
                    <w:pStyle w:val="52"/>
                    <w:rPr>
                      <w:color w:val="auto"/>
                    </w:rPr>
                  </w:pPr>
                </w:p>
              </w:tc>
              <w:tc>
                <w:tcPr>
                  <w:tcW w:w="1144" w:type="dxa"/>
                  <w:vAlign w:val="center"/>
                </w:tcPr>
                <w:p w14:paraId="2E086A1C">
                  <w:pPr>
                    <w:pStyle w:val="52"/>
                    <w:rPr>
                      <w:color w:val="auto"/>
                    </w:rPr>
                  </w:pPr>
                  <w:r>
                    <w:rPr>
                      <w:color w:val="auto"/>
                    </w:rPr>
                    <w:t>0.0038</w:t>
                  </w:r>
                  <w:r>
                    <w:rPr>
                      <w:color w:val="auto"/>
                      <w:spacing w:val="2"/>
                    </w:rPr>
                    <w:t xml:space="preserve"> g/s</w:t>
                  </w:r>
                </w:p>
              </w:tc>
              <w:tc>
                <w:tcPr>
                  <w:tcW w:w="922" w:type="dxa"/>
                  <w:vAlign w:val="center"/>
                </w:tcPr>
                <w:p w14:paraId="79A4FFDA">
                  <w:pPr>
                    <w:pStyle w:val="52"/>
                    <w:rPr>
                      <w:color w:val="auto"/>
                    </w:rPr>
                  </w:pPr>
                  <w:r>
                    <w:rPr>
                      <w:color w:val="auto"/>
                    </w:rPr>
                    <w:t>0.041</w:t>
                  </w:r>
                </w:p>
              </w:tc>
              <w:tc>
                <w:tcPr>
                  <w:tcW w:w="2660" w:type="dxa"/>
                  <w:vAlign w:val="center"/>
                </w:tcPr>
                <w:p w14:paraId="72221D22">
                  <w:pPr>
                    <w:pStyle w:val="52"/>
                    <w:rPr>
                      <w:color w:val="auto"/>
                      <w:spacing w:val="2"/>
                    </w:rPr>
                  </w:pPr>
                  <w:r>
                    <w:rPr>
                      <w:color w:val="auto"/>
                      <w:spacing w:val="2"/>
                    </w:rPr>
                    <w:t>洒水降尘</w:t>
                  </w:r>
                </w:p>
              </w:tc>
              <w:tc>
                <w:tcPr>
                  <w:tcW w:w="1108" w:type="dxa"/>
                  <w:vAlign w:val="center"/>
                </w:tcPr>
                <w:p w14:paraId="73A303EF">
                  <w:pPr>
                    <w:pStyle w:val="52"/>
                    <w:rPr>
                      <w:color w:val="auto"/>
                    </w:rPr>
                  </w:pPr>
                  <w:r>
                    <w:rPr>
                      <w:color w:val="auto"/>
                    </w:rPr>
                    <w:t>0.0011</w:t>
                  </w:r>
                  <w:r>
                    <w:rPr>
                      <w:color w:val="auto"/>
                      <w:spacing w:val="2"/>
                    </w:rPr>
                    <w:t xml:space="preserve"> g/s</w:t>
                  </w:r>
                </w:p>
              </w:tc>
              <w:tc>
                <w:tcPr>
                  <w:tcW w:w="846" w:type="dxa"/>
                  <w:vAlign w:val="center"/>
                </w:tcPr>
                <w:p w14:paraId="7EDDFFB6">
                  <w:pPr>
                    <w:pStyle w:val="52"/>
                    <w:rPr>
                      <w:color w:val="auto"/>
                    </w:rPr>
                  </w:pPr>
                  <w:r>
                    <w:rPr>
                      <w:color w:val="auto"/>
                    </w:rPr>
                    <w:t>0.0123</w:t>
                  </w:r>
                </w:p>
              </w:tc>
            </w:tr>
            <w:tr w14:paraId="79017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45309BAD">
                  <w:pPr>
                    <w:pStyle w:val="52"/>
                    <w:rPr>
                      <w:color w:val="auto"/>
                    </w:rPr>
                  </w:pPr>
                </w:p>
              </w:tc>
              <w:tc>
                <w:tcPr>
                  <w:tcW w:w="431" w:type="dxa"/>
                  <w:vMerge w:val="continue"/>
                  <w:tcBorders>
                    <w:left w:val="single" w:color="auto" w:sz="4" w:space="0"/>
                    <w:right w:val="single" w:color="auto" w:sz="4" w:space="0"/>
                  </w:tcBorders>
                  <w:vAlign w:val="center"/>
                </w:tcPr>
                <w:p w14:paraId="39C61B38">
                  <w:pPr>
                    <w:pStyle w:val="52"/>
                    <w:rPr>
                      <w:color w:val="auto"/>
                    </w:rPr>
                  </w:pPr>
                </w:p>
              </w:tc>
              <w:tc>
                <w:tcPr>
                  <w:tcW w:w="860" w:type="dxa"/>
                  <w:tcBorders>
                    <w:left w:val="single" w:color="auto" w:sz="4" w:space="0"/>
                  </w:tcBorders>
                  <w:vAlign w:val="center"/>
                </w:tcPr>
                <w:p w14:paraId="75E9519A">
                  <w:pPr>
                    <w:pStyle w:val="52"/>
                    <w:rPr>
                      <w:color w:val="auto"/>
                      <w:spacing w:val="2"/>
                    </w:rPr>
                  </w:pPr>
                  <w:r>
                    <w:rPr>
                      <w:color w:val="auto"/>
                      <w:spacing w:val="2"/>
                    </w:rPr>
                    <w:t>堆料场</w:t>
                  </w:r>
                </w:p>
              </w:tc>
              <w:tc>
                <w:tcPr>
                  <w:tcW w:w="1300" w:type="dxa"/>
                  <w:vMerge w:val="continue"/>
                  <w:vAlign w:val="center"/>
                </w:tcPr>
                <w:p w14:paraId="45A60B7F">
                  <w:pPr>
                    <w:pStyle w:val="52"/>
                    <w:rPr>
                      <w:color w:val="auto"/>
                    </w:rPr>
                  </w:pPr>
                </w:p>
              </w:tc>
              <w:tc>
                <w:tcPr>
                  <w:tcW w:w="1144" w:type="dxa"/>
                  <w:vAlign w:val="center"/>
                </w:tcPr>
                <w:p w14:paraId="515DA888">
                  <w:pPr>
                    <w:pStyle w:val="52"/>
                    <w:rPr>
                      <w:color w:val="auto"/>
                    </w:rPr>
                  </w:pPr>
                  <w:r>
                    <w:rPr>
                      <w:color w:val="auto"/>
                    </w:rPr>
                    <w:t>0.0228</w:t>
                  </w:r>
                  <w:r>
                    <w:rPr>
                      <w:color w:val="auto"/>
                      <w:spacing w:val="2"/>
                    </w:rPr>
                    <w:t xml:space="preserve"> g/s</w:t>
                  </w:r>
                </w:p>
              </w:tc>
              <w:tc>
                <w:tcPr>
                  <w:tcW w:w="922" w:type="dxa"/>
                  <w:vAlign w:val="center"/>
                </w:tcPr>
                <w:p w14:paraId="79005277">
                  <w:pPr>
                    <w:pStyle w:val="52"/>
                    <w:rPr>
                      <w:color w:val="auto"/>
                    </w:rPr>
                  </w:pPr>
                  <w:r>
                    <w:rPr>
                      <w:color w:val="auto"/>
                    </w:rPr>
                    <w:t>0.246</w:t>
                  </w:r>
                </w:p>
              </w:tc>
              <w:tc>
                <w:tcPr>
                  <w:tcW w:w="2660" w:type="dxa"/>
                  <w:vAlign w:val="center"/>
                </w:tcPr>
                <w:p w14:paraId="783A84C6">
                  <w:pPr>
                    <w:pStyle w:val="52"/>
                    <w:rPr>
                      <w:color w:val="auto"/>
                      <w:spacing w:val="2"/>
                    </w:rPr>
                  </w:pPr>
                  <w:r>
                    <w:rPr>
                      <w:color w:val="auto"/>
                      <w:spacing w:val="2"/>
                    </w:rPr>
                    <w:t>苫布临时覆盖，洒水降尘</w:t>
                  </w:r>
                </w:p>
              </w:tc>
              <w:tc>
                <w:tcPr>
                  <w:tcW w:w="1108" w:type="dxa"/>
                  <w:vAlign w:val="center"/>
                </w:tcPr>
                <w:p w14:paraId="6A98A37E">
                  <w:pPr>
                    <w:pStyle w:val="52"/>
                    <w:rPr>
                      <w:color w:val="auto"/>
                    </w:rPr>
                  </w:pPr>
                  <w:r>
                    <w:rPr>
                      <w:color w:val="auto"/>
                    </w:rPr>
                    <w:t>0.0068</w:t>
                  </w:r>
                  <w:r>
                    <w:rPr>
                      <w:color w:val="auto"/>
                      <w:spacing w:val="2"/>
                    </w:rPr>
                    <w:t xml:space="preserve"> g/s</w:t>
                  </w:r>
                </w:p>
              </w:tc>
              <w:tc>
                <w:tcPr>
                  <w:tcW w:w="846" w:type="dxa"/>
                  <w:vAlign w:val="center"/>
                </w:tcPr>
                <w:p w14:paraId="53559E8A">
                  <w:pPr>
                    <w:pStyle w:val="52"/>
                    <w:rPr>
                      <w:color w:val="auto"/>
                    </w:rPr>
                  </w:pPr>
                  <w:r>
                    <w:rPr>
                      <w:color w:val="auto"/>
                    </w:rPr>
                    <w:t>0.074</w:t>
                  </w:r>
                </w:p>
              </w:tc>
            </w:tr>
            <w:tr w14:paraId="13D1D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6EB19BE5">
                  <w:pPr>
                    <w:pStyle w:val="52"/>
                    <w:rPr>
                      <w:color w:val="auto"/>
                    </w:rPr>
                  </w:pPr>
                </w:p>
              </w:tc>
              <w:tc>
                <w:tcPr>
                  <w:tcW w:w="1291" w:type="dxa"/>
                  <w:gridSpan w:val="2"/>
                  <w:tcBorders>
                    <w:left w:val="single" w:color="auto" w:sz="4" w:space="0"/>
                  </w:tcBorders>
                  <w:vAlign w:val="center"/>
                </w:tcPr>
                <w:p w14:paraId="2D2E3B4C">
                  <w:pPr>
                    <w:pStyle w:val="52"/>
                    <w:rPr>
                      <w:color w:val="auto"/>
                    </w:rPr>
                  </w:pPr>
                  <w:r>
                    <w:rPr>
                      <w:color w:val="auto"/>
                      <w:spacing w:val="2"/>
                    </w:rPr>
                    <w:t>运输道路</w:t>
                  </w:r>
                </w:p>
              </w:tc>
              <w:tc>
                <w:tcPr>
                  <w:tcW w:w="1300" w:type="dxa"/>
                  <w:vMerge w:val="continue"/>
                  <w:vAlign w:val="center"/>
                </w:tcPr>
                <w:p w14:paraId="62AC6654">
                  <w:pPr>
                    <w:pStyle w:val="52"/>
                    <w:rPr>
                      <w:color w:val="auto"/>
                    </w:rPr>
                  </w:pPr>
                </w:p>
              </w:tc>
              <w:tc>
                <w:tcPr>
                  <w:tcW w:w="1144" w:type="dxa"/>
                  <w:vAlign w:val="center"/>
                </w:tcPr>
                <w:p w14:paraId="6C9DD7E3">
                  <w:pPr>
                    <w:pStyle w:val="52"/>
                    <w:rPr>
                      <w:color w:val="auto"/>
                      <w:spacing w:val="2"/>
                    </w:rPr>
                  </w:pPr>
                  <w:r>
                    <w:rPr>
                      <w:color w:val="auto"/>
                    </w:rPr>
                    <w:t>2.833</w:t>
                  </w:r>
                  <w:r>
                    <w:rPr>
                      <w:color w:val="auto"/>
                      <w:spacing w:val="2"/>
                    </w:rPr>
                    <w:t>g/s</w:t>
                  </w:r>
                </w:p>
              </w:tc>
              <w:tc>
                <w:tcPr>
                  <w:tcW w:w="922" w:type="dxa"/>
                  <w:vAlign w:val="center"/>
                </w:tcPr>
                <w:p w14:paraId="322720A5">
                  <w:pPr>
                    <w:pStyle w:val="52"/>
                    <w:rPr>
                      <w:color w:val="auto"/>
                      <w:spacing w:val="2"/>
                    </w:rPr>
                  </w:pPr>
                  <w:r>
                    <w:rPr>
                      <w:color w:val="auto"/>
                    </w:rPr>
                    <w:t>30.6</w:t>
                  </w:r>
                </w:p>
              </w:tc>
              <w:tc>
                <w:tcPr>
                  <w:tcW w:w="2660" w:type="dxa"/>
                  <w:vAlign w:val="center"/>
                </w:tcPr>
                <w:p w14:paraId="44E9F949">
                  <w:pPr>
                    <w:pStyle w:val="52"/>
                    <w:rPr>
                      <w:color w:val="auto"/>
                      <w:spacing w:val="2"/>
                    </w:rPr>
                  </w:pPr>
                  <w:r>
                    <w:rPr>
                      <w:color w:val="auto"/>
                      <w:spacing w:val="2"/>
                    </w:rPr>
                    <w:t>洒水降尘</w:t>
                  </w:r>
                </w:p>
              </w:tc>
              <w:tc>
                <w:tcPr>
                  <w:tcW w:w="1108" w:type="dxa"/>
                  <w:vAlign w:val="center"/>
                </w:tcPr>
                <w:p w14:paraId="2B801FCB">
                  <w:pPr>
                    <w:pStyle w:val="52"/>
                    <w:rPr>
                      <w:color w:val="auto"/>
                    </w:rPr>
                  </w:pPr>
                  <w:r>
                    <w:rPr>
                      <w:color w:val="auto"/>
                    </w:rPr>
                    <w:t>0.849</w:t>
                  </w:r>
                  <w:r>
                    <w:rPr>
                      <w:color w:val="auto"/>
                      <w:spacing w:val="2"/>
                    </w:rPr>
                    <w:t xml:space="preserve"> g/s</w:t>
                  </w:r>
                </w:p>
              </w:tc>
              <w:tc>
                <w:tcPr>
                  <w:tcW w:w="846" w:type="dxa"/>
                  <w:vAlign w:val="center"/>
                </w:tcPr>
                <w:p w14:paraId="5379F118">
                  <w:pPr>
                    <w:pStyle w:val="52"/>
                    <w:rPr>
                      <w:color w:val="auto"/>
                    </w:rPr>
                  </w:pPr>
                  <w:r>
                    <w:rPr>
                      <w:color w:val="auto"/>
                    </w:rPr>
                    <w:t>9.18</w:t>
                  </w:r>
                </w:p>
              </w:tc>
            </w:tr>
            <w:tr w14:paraId="3F744C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EC7E77E">
                  <w:pPr>
                    <w:pStyle w:val="52"/>
                    <w:rPr>
                      <w:color w:val="auto"/>
                    </w:rPr>
                  </w:pPr>
                </w:p>
              </w:tc>
              <w:tc>
                <w:tcPr>
                  <w:tcW w:w="1291" w:type="dxa"/>
                  <w:gridSpan w:val="2"/>
                  <w:tcBorders>
                    <w:left w:val="single" w:color="auto" w:sz="4" w:space="0"/>
                  </w:tcBorders>
                  <w:vAlign w:val="center"/>
                </w:tcPr>
                <w:p w14:paraId="7AB517F7">
                  <w:pPr>
                    <w:pStyle w:val="52"/>
                    <w:rPr>
                      <w:color w:val="auto"/>
                    </w:rPr>
                  </w:pPr>
                  <w:r>
                    <w:rPr>
                      <w:color w:val="auto"/>
                      <w:spacing w:val="2"/>
                    </w:rPr>
                    <w:t>破碎、筛分</w:t>
                  </w:r>
                </w:p>
              </w:tc>
              <w:tc>
                <w:tcPr>
                  <w:tcW w:w="1300" w:type="dxa"/>
                  <w:vMerge w:val="continue"/>
                  <w:vAlign w:val="center"/>
                </w:tcPr>
                <w:p w14:paraId="1451996F">
                  <w:pPr>
                    <w:pStyle w:val="52"/>
                    <w:rPr>
                      <w:color w:val="auto"/>
                    </w:rPr>
                  </w:pPr>
                </w:p>
              </w:tc>
              <w:tc>
                <w:tcPr>
                  <w:tcW w:w="1144" w:type="dxa"/>
                  <w:vAlign w:val="center"/>
                </w:tcPr>
                <w:p w14:paraId="7F85FFE2">
                  <w:pPr>
                    <w:pStyle w:val="52"/>
                    <w:rPr>
                      <w:color w:val="auto"/>
                      <w:spacing w:val="2"/>
                    </w:rPr>
                  </w:pPr>
                  <w:r>
                    <w:rPr>
                      <w:color w:val="auto"/>
                      <w:spacing w:val="2"/>
                    </w:rPr>
                    <w:t>4.44g/s</w:t>
                  </w:r>
                </w:p>
              </w:tc>
              <w:tc>
                <w:tcPr>
                  <w:tcW w:w="922" w:type="dxa"/>
                  <w:vAlign w:val="center"/>
                </w:tcPr>
                <w:p w14:paraId="5FAEE290">
                  <w:pPr>
                    <w:pStyle w:val="52"/>
                    <w:rPr>
                      <w:color w:val="auto"/>
                      <w:spacing w:val="2"/>
                    </w:rPr>
                  </w:pPr>
                  <w:r>
                    <w:rPr>
                      <w:color w:val="auto"/>
                    </w:rPr>
                    <w:t>47.95</w:t>
                  </w:r>
                </w:p>
              </w:tc>
              <w:tc>
                <w:tcPr>
                  <w:tcW w:w="2660" w:type="dxa"/>
                  <w:vAlign w:val="center"/>
                </w:tcPr>
                <w:p w14:paraId="7899C3C7">
                  <w:pPr>
                    <w:pStyle w:val="52"/>
                    <w:rPr>
                      <w:color w:val="auto"/>
                      <w:spacing w:val="2"/>
                    </w:rPr>
                  </w:pPr>
                  <w:r>
                    <w:rPr>
                      <w:color w:val="auto"/>
                    </w:rPr>
                    <w:t>一级破碎采用洒水除尘；</w:t>
                  </w:r>
                  <w:r>
                    <w:rPr>
                      <w:color w:val="auto"/>
                      <w:szCs w:val="32"/>
                    </w:rPr>
                    <w:t>破碎机下料口使用苫布遮盖；筛分机采用彩钢瓦棚半封闭，出料口用苫布遮挡</w:t>
                  </w:r>
                </w:p>
              </w:tc>
              <w:tc>
                <w:tcPr>
                  <w:tcW w:w="1108" w:type="dxa"/>
                  <w:vAlign w:val="center"/>
                </w:tcPr>
                <w:p w14:paraId="1044997A">
                  <w:pPr>
                    <w:pStyle w:val="52"/>
                    <w:rPr>
                      <w:color w:val="auto"/>
                      <w:spacing w:val="2"/>
                    </w:rPr>
                  </w:pPr>
                  <w:r>
                    <w:rPr>
                      <w:color w:val="auto"/>
                      <w:spacing w:val="2"/>
                    </w:rPr>
                    <w:t>0.222g/s</w:t>
                  </w:r>
                </w:p>
              </w:tc>
              <w:tc>
                <w:tcPr>
                  <w:tcW w:w="846" w:type="dxa"/>
                  <w:vAlign w:val="center"/>
                </w:tcPr>
                <w:p w14:paraId="73FFAB84">
                  <w:pPr>
                    <w:pStyle w:val="52"/>
                    <w:rPr>
                      <w:color w:val="auto"/>
                      <w:spacing w:val="2"/>
                    </w:rPr>
                  </w:pPr>
                  <w:r>
                    <w:rPr>
                      <w:color w:val="auto"/>
                    </w:rPr>
                    <w:t>2.3976</w:t>
                  </w:r>
                </w:p>
              </w:tc>
            </w:tr>
            <w:tr w14:paraId="64F552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6484A0EE">
                  <w:pPr>
                    <w:pStyle w:val="52"/>
                    <w:rPr>
                      <w:color w:val="auto"/>
                    </w:rPr>
                  </w:pPr>
                </w:p>
              </w:tc>
              <w:tc>
                <w:tcPr>
                  <w:tcW w:w="1291" w:type="dxa"/>
                  <w:gridSpan w:val="2"/>
                  <w:tcBorders>
                    <w:left w:val="single" w:color="auto" w:sz="4" w:space="0"/>
                  </w:tcBorders>
                  <w:vAlign w:val="center"/>
                </w:tcPr>
                <w:p w14:paraId="5E63C9F4">
                  <w:pPr>
                    <w:pStyle w:val="52"/>
                    <w:rPr>
                      <w:color w:val="auto"/>
                    </w:rPr>
                  </w:pPr>
                  <w:r>
                    <w:rPr>
                      <w:color w:val="auto"/>
                      <w:spacing w:val="2"/>
                    </w:rPr>
                    <w:t>转载点、装卸</w:t>
                  </w:r>
                </w:p>
              </w:tc>
              <w:tc>
                <w:tcPr>
                  <w:tcW w:w="1300" w:type="dxa"/>
                  <w:vMerge w:val="continue"/>
                  <w:vAlign w:val="center"/>
                </w:tcPr>
                <w:p w14:paraId="3DE07151">
                  <w:pPr>
                    <w:pStyle w:val="52"/>
                    <w:rPr>
                      <w:color w:val="auto"/>
                    </w:rPr>
                  </w:pPr>
                </w:p>
              </w:tc>
              <w:tc>
                <w:tcPr>
                  <w:tcW w:w="1144" w:type="dxa"/>
                  <w:vAlign w:val="center"/>
                </w:tcPr>
                <w:p w14:paraId="76850516">
                  <w:pPr>
                    <w:pStyle w:val="52"/>
                    <w:rPr>
                      <w:color w:val="auto"/>
                      <w:spacing w:val="2"/>
                    </w:rPr>
                  </w:pPr>
                  <w:r>
                    <w:rPr>
                      <w:color w:val="auto"/>
                    </w:rPr>
                    <w:t>0.007</w:t>
                  </w:r>
                  <w:r>
                    <w:rPr>
                      <w:color w:val="auto"/>
                      <w:spacing w:val="2"/>
                    </w:rPr>
                    <w:t xml:space="preserve"> g/s</w:t>
                  </w:r>
                </w:p>
              </w:tc>
              <w:tc>
                <w:tcPr>
                  <w:tcW w:w="922" w:type="dxa"/>
                  <w:vAlign w:val="center"/>
                </w:tcPr>
                <w:p w14:paraId="282F07E0">
                  <w:pPr>
                    <w:pStyle w:val="52"/>
                    <w:rPr>
                      <w:color w:val="auto"/>
                      <w:spacing w:val="2"/>
                    </w:rPr>
                  </w:pPr>
                  <w:r>
                    <w:rPr>
                      <w:color w:val="auto"/>
                    </w:rPr>
                    <w:t>0.077</w:t>
                  </w:r>
                </w:p>
              </w:tc>
              <w:tc>
                <w:tcPr>
                  <w:tcW w:w="2660" w:type="dxa"/>
                  <w:vAlign w:val="center"/>
                </w:tcPr>
                <w:p w14:paraId="51D58AAF">
                  <w:pPr>
                    <w:pStyle w:val="52"/>
                    <w:rPr>
                      <w:color w:val="auto"/>
                      <w:spacing w:val="2"/>
                    </w:rPr>
                  </w:pPr>
                  <w:r>
                    <w:rPr>
                      <w:color w:val="auto"/>
                      <w:spacing w:val="2"/>
                    </w:rPr>
                    <w:t>洒水降尘</w:t>
                  </w:r>
                </w:p>
              </w:tc>
              <w:tc>
                <w:tcPr>
                  <w:tcW w:w="1108" w:type="dxa"/>
                  <w:vAlign w:val="center"/>
                </w:tcPr>
                <w:p w14:paraId="47792C24">
                  <w:pPr>
                    <w:pStyle w:val="52"/>
                    <w:rPr>
                      <w:color w:val="auto"/>
                    </w:rPr>
                  </w:pPr>
                  <w:r>
                    <w:rPr>
                      <w:color w:val="auto"/>
                    </w:rPr>
                    <w:t>0.002</w:t>
                  </w:r>
                  <w:r>
                    <w:rPr>
                      <w:color w:val="auto"/>
                      <w:spacing w:val="2"/>
                    </w:rPr>
                    <w:t xml:space="preserve"> g/s</w:t>
                  </w:r>
                </w:p>
              </w:tc>
              <w:tc>
                <w:tcPr>
                  <w:tcW w:w="846" w:type="dxa"/>
                  <w:vAlign w:val="center"/>
                </w:tcPr>
                <w:p w14:paraId="5E2B6E73">
                  <w:pPr>
                    <w:pStyle w:val="52"/>
                    <w:rPr>
                      <w:color w:val="auto"/>
                    </w:rPr>
                  </w:pPr>
                  <w:r>
                    <w:rPr>
                      <w:color w:val="auto"/>
                    </w:rPr>
                    <w:t>0.023</w:t>
                  </w:r>
                </w:p>
              </w:tc>
            </w:tr>
            <w:tr w14:paraId="0E716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04031C9D">
                  <w:pPr>
                    <w:pStyle w:val="52"/>
                    <w:rPr>
                      <w:color w:val="auto"/>
                    </w:rPr>
                  </w:pPr>
                </w:p>
              </w:tc>
              <w:tc>
                <w:tcPr>
                  <w:tcW w:w="1291" w:type="dxa"/>
                  <w:gridSpan w:val="2"/>
                  <w:tcBorders>
                    <w:left w:val="single" w:color="auto" w:sz="4" w:space="0"/>
                  </w:tcBorders>
                  <w:vAlign w:val="center"/>
                </w:tcPr>
                <w:p w14:paraId="6C291C4D">
                  <w:pPr>
                    <w:pStyle w:val="52"/>
                    <w:rPr>
                      <w:color w:val="auto"/>
                      <w:spacing w:val="2"/>
                    </w:rPr>
                  </w:pPr>
                  <w:r>
                    <w:rPr>
                      <w:color w:val="auto"/>
                      <w:spacing w:val="2"/>
                    </w:rPr>
                    <w:t>厨房</w:t>
                  </w:r>
                </w:p>
              </w:tc>
              <w:tc>
                <w:tcPr>
                  <w:tcW w:w="1300" w:type="dxa"/>
                  <w:vAlign w:val="center"/>
                </w:tcPr>
                <w:p w14:paraId="57C707DA">
                  <w:pPr>
                    <w:pStyle w:val="52"/>
                    <w:rPr>
                      <w:color w:val="auto"/>
                    </w:rPr>
                  </w:pPr>
                  <w:r>
                    <w:rPr>
                      <w:color w:val="auto"/>
                    </w:rPr>
                    <w:t>油烟</w:t>
                  </w:r>
                </w:p>
              </w:tc>
              <w:tc>
                <w:tcPr>
                  <w:tcW w:w="1144" w:type="dxa"/>
                  <w:vAlign w:val="center"/>
                </w:tcPr>
                <w:p w14:paraId="0CFF8E18">
                  <w:pPr>
                    <w:pStyle w:val="52"/>
                    <w:rPr>
                      <w:color w:val="auto"/>
                    </w:rPr>
                  </w:pPr>
                  <w:r>
                    <w:rPr>
                      <w:color w:val="auto"/>
                    </w:rPr>
                    <w:t>2.22mg/m</w:t>
                  </w:r>
                  <w:r>
                    <w:rPr>
                      <w:color w:val="auto"/>
                      <w:vertAlign w:val="superscript"/>
                    </w:rPr>
                    <w:t>3</w:t>
                  </w:r>
                </w:p>
              </w:tc>
              <w:tc>
                <w:tcPr>
                  <w:tcW w:w="922" w:type="dxa"/>
                  <w:vAlign w:val="center"/>
                </w:tcPr>
                <w:p w14:paraId="53D34B6B">
                  <w:pPr>
                    <w:pStyle w:val="52"/>
                    <w:rPr>
                      <w:color w:val="auto"/>
                    </w:rPr>
                  </w:pPr>
                  <w:r>
                    <w:rPr>
                      <w:color w:val="auto"/>
                    </w:rPr>
                    <w:t>0.01</w:t>
                  </w:r>
                </w:p>
              </w:tc>
              <w:tc>
                <w:tcPr>
                  <w:tcW w:w="2660" w:type="dxa"/>
                  <w:vAlign w:val="center"/>
                </w:tcPr>
                <w:p w14:paraId="6E15DEDC">
                  <w:pPr>
                    <w:pStyle w:val="52"/>
                    <w:rPr>
                      <w:color w:val="auto"/>
                    </w:rPr>
                  </w:pPr>
                  <w:r>
                    <w:rPr>
                      <w:color w:val="auto"/>
                    </w:rPr>
                    <w:t>油烟净化器</w:t>
                  </w:r>
                </w:p>
              </w:tc>
              <w:tc>
                <w:tcPr>
                  <w:tcW w:w="1108" w:type="dxa"/>
                  <w:vAlign w:val="center"/>
                </w:tcPr>
                <w:p w14:paraId="7ACD3DCB">
                  <w:pPr>
                    <w:pStyle w:val="52"/>
                    <w:rPr>
                      <w:color w:val="auto"/>
                    </w:rPr>
                  </w:pPr>
                  <w:r>
                    <w:rPr>
                      <w:color w:val="auto"/>
                    </w:rPr>
                    <w:t>0.89mg/m</w:t>
                  </w:r>
                  <w:r>
                    <w:rPr>
                      <w:color w:val="auto"/>
                      <w:vertAlign w:val="superscript"/>
                    </w:rPr>
                    <w:t>3</w:t>
                  </w:r>
                </w:p>
              </w:tc>
              <w:tc>
                <w:tcPr>
                  <w:tcW w:w="846" w:type="dxa"/>
                  <w:vAlign w:val="center"/>
                </w:tcPr>
                <w:p w14:paraId="166DA0A9">
                  <w:pPr>
                    <w:pStyle w:val="52"/>
                    <w:rPr>
                      <w:color w:val="auto"/>
                    </w:rPr>
                  </w:pPr>
                  <w:r>
                    <w:rPr>
                      <w:color w:val="auto"/>
                    </w:rPr>
                    <w:t>0.004</w:t>
                  </w:r>
                </w:p>
              </w:tc>
            </w:tr>
            <w:tr w14:paraId="56250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Align w:val="center"/>
                </w:tcPr>
                <w:p w14:paraId="728F8A8F">
                  <w:pPr>
                    <w:pStyle w:val="52"/>
                    <w:rPr>
                      <w:color w:val="auto"/>
                    </w:rPr>
                  </w:pPr>
                  <w:r>
                    <w:rPr>
                      <w:color w:val="auto"/>
                    </w:rPr>
                    <w:t>噪声</w:t>
                  </w:r>
                </w:p>
              </w:tc>
              <w:tc>
                <w:tcPr>
                  <w:tcW w:w="1300" w:type="dxa"/>
                  <w:vAlign w:val="center"/>
                </w:tcPr>
                <w:p w14:paraId="57EB9F4C">
                  <w:pPr>
                    <w:pStyle w:val="52"/>
                    <w:rPr>
                      <w:color w:val="auto"/>
                    </w:rPr>
                  </w:pPr>
                  <w:r>
                    <w:rPr>
                      <w:color w:val="auto"/>
                    </w:rPr>
                    <w:t>Leq</w:t>
                  </w:r>
                </w:p>
              </w:tc>
              <w:tc>
                <w:tcPr>
                  <w:tcW w:w="2066" w:type="dxa"/>
                  <w:gridSpan w:val="2"/>
                  <w:vAlign w:val="center"/>
                </w:tcPr>
                <w:p w14:paraId="77142382">
                  <w:pPr>
                    <w:pStyle w:val="52"/>
                    <w:rPr>
                      <w:color w:val="auto"/>
                    </w:rPr>
                  </w:pPr>
                  <w:r>
                    <w:rPr>
                      <w:color w:val="auto"/>
                    </w:rPr>
                    <w:t>75～110dB(A)</w:t>
                  </w:r>
                </w:p>
              </w:tc>
              <w:tc>
                <w:tcPr>
                  <w:tcW w:w="2660" w:type="dxa"/>
                  <w:vAlign w:val="center"/>
                </w:tcPr>
                <w:p w14:paraId="684FA7F0">
                  <w:pPr>
                    <w:pStyle w:val="52"/>
                    <w:rPr>
                      <w:color w:val="auto"/>
                    </w:rPr>
                  </w:pPr>
                  <w:r>
                    <w:rPr>
                      <w:color w:val="auto"/>
                    </w:rPr>
                    <w:t>控制爆破、减震、降噪、距离衰减</w:t>
                  </w:r>
                </w:p>
              </w:tc>
              <w:tc>
                <w:tcPr>
                  <w:tcW w:w="1954" w:type="dxa"/>
                  <w:gridSpan w:val="2"/>
                  <w:vAlign w:val="center"/>
                </w:tcPr>
                <w:p w14:paraId="7A1DB1B6">
                  <w:pPr>
                    <w:pStyle w:val="52"/>
                    <w:rPr>
                      <w:color w:val="auto"/>
                    </w:rPr>
                  </w:pPr>
                  <w:r>
                    <w:rPr>
                      <w:color w:val="auto"/>
                    </w:rPr>
                    <w:t>达标</w:t>
                  </w:r>
                </w:p>
              </w:tc>
            </w:tr>
            <w:tr w14:paraId="74A62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restart"/>
                  <w:vAlign w:val="center"/>
                </w:tcPr>
                <w:p w14:paraId="7A4D8BA1">
                  <w:pPr>
                    <w:pStyle w:val="52"/>
                    <w:rPr>
                      <w:color w:val="auto"/>
                    </w:rPr>
                  </w:pPr>
                  <w:r>
                    <w:rPr>
                      <w:color w:val="auto"/>
                    </w:rPr>
                    <w:t>固体废弃物</w:t>
                  </w:r>
                </w:p>
              </w:tc>
              <w:tc>
                <w:tcPr>
                  <w:tcW w:w="1300" w:type="dxa"/>
                  <w:vAlign w:val="center"/>
                </w:tcPr>
                <w:p w14:paraId="6841B928">
                  <w:pPr>
                    <w:pStyle w:val="52"/>
                    <w:rPr>
                      <w:color w:val="auto"/>
                    </w:rPr>
                  </w:pPr>
                  <w:r>
                    <w:rPr>
                      <w:color w:val="auto"/>
                    </w:rPr>
                    <w:t>废土石</w:t>
                  </w:r>
                </w:p>
              </w:tc>
              <w:tc>
                <w:tcPr>
                  <w:tcW w:w="2066" w:type="dxa"/>
                  <w:gridSpan w:val="2"/>
                  <w:vAlign w:val="center"/>
                </w:tcPr>
                <w:p w14:paraId="2F4E5C62">
                  <w:pPr>
                    <w:pStyle w:val="52"/>
                    <w:rPr>
                      <w:color w:val="auto"/>
                    </w:rPr>
                  </w:pPr>
                  <w:r>
                    <w:rPr>
                      <w:color w:val="auto"/>
                    </w:rPr>
                    <w:t>6.437万m</w:t>
                  </w:r>
                  <w:r>
                    <w:rPr>
                      <w:color w:val="auto"/>
                      <w:vertAlign w:val="superscript"/>
                    </w:rPr>
                    <w:t>3</w:t>
                  </w:r>
                </w:p>
              </w:tc>
              <w:tc>
                <w:tcPr>
                  <w:tcW w:w="2660" w:type="dxa"/>
                  <w:vAlign w:val="center"/>
                </w:tcPr>
                <w:p w14:paraId="125FB875">
                  <w:pPr>
                    <w:pStyle w:val="52"/>
                    <w:rPr>
                      <w:color w:val="auto"/>
                    </w:rPr>
                  </w:pPr>
                  <w:r>
                    <w:rPr>
                      <w:color w:val="auto"/>
                    </w:rPr>
                    <w:t>运至弃渣场堆存</w:t>
                  </w:r>
                </w:p>
              </w:tc>
              <w:tc>
                <w:tcPr>
                  <w:tcW w:w="1954" w:type="dxa"/>
                  <w:gridSpan w:val="2"/>
                  <w:vAlign w:val="center"/>
                </w:tcPr>
                <w:p w14:paraId="67A9EF75">
                  <w:pPr>
                    <w:pStyle w:val="52"/>
                    <w:rPr>
                      <w:color w:val="auto"/>
                    </w:rPr>
                  </w:pPr>
                  <w:r>
                    <w:rPr>
                      <w:color w:val="auto"/>
                    </w:rPr>
                    <w:t>0</w:t>
                  </w:r>
                </w:p>
              </w:tc>
            </w:tr>
            <w:tr w14:paraId="58F104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3742FF00">
                  <w:pPr>
                    <w:pStyle w:val="52"/>
                    <w:rPr>
                      <w:color w:val="auto"/>
                    </w:rPr>
                  </w:pPr>
                </w:p>
              </w:tc>
              <w:tc>
                <w:tcPr>
                  <w:tcW w:w="1300" w:type="dxa"/>
                  <w:vAlign w:val="center"/>
                </w:tcPr>
                <w:p w14:paraId="7B9BA638">
                  <w:pPr>
                    <w:pStyle w:val="52"/>
                    <w:rPr>
                      <w:color w:val="auto"/>
                    </w:rPr>
                  </w:pPr>
                  <w:r>
                    <w:rPr>
                      <w:color w:val="auto"/>
                    </w:rPr>
                    <w:t>化粪池污泥</w:t>
                  </w:r>
                </w:p>
              </w:tc>
              <w:tc>
                <w:tcPr>
                  <w:tcW w:w="2066" w:type="dxa"/>
                  <w:gridSpan w:val="2"/>
                  <w:vAlign w:val="center"/>
                </w:tcPr>
                <w:p w14:paraId="38E6A171">
                  <w:pPr>
                    <w:pStyle w:val="52"/>
                    <w:rPr>
                      <w:color w:val="auto"/>
                    </w:rPr>
                  </w:pPr>
                  <w:r>
                    <w:rPr>
                      <w:color w:val="auto"/>
                    </w:rPr>
                    <w:t>0.432t/a</w:t>
                  </w:r>
                </w:p>
              </w:tc>
              <w:tc>
                <w:tcPr>
                  <w:tcW w:w="2660" w:type="dxa"/>
                  <w:vAlign w:val="center"/>
                </w:tcPr>
                <w:p w14:paraId="6FF1EADD">
                  <w:pPr>
                    <w:pStyle w:val="52"/>
                    <w:rPr>
                      <w:color w:val="auto"/>
                    </w:rPr>
                  </w:pPr>
                  <w:r>
                    <w:rPr>
                      <w:color w:val="auto"/>
                    </w:rPr>
                    <w:t>用于项目周边植被施肥</w:t>
                  </w:r>
                </w:p>
              </w:tc>
              <w:tc>
                <w:tcPr>
                  <w:tcW w:w="1954" w:type="dxa"/>
                  <w:gridSpan w:val="2"/>
                  <w:vAlign w:val="center"/>
                </w:tcPr>
                <w:p w14:paraId="4E07D51D">
                  <w:pPr>
                    <w:pStyle w:val="52"/>
                    <w:rPr>
                      <w:color w:val="auto"/>
                    </w:rPr>
                  </w:pPr>
                  <w:r>
                    <w:rPr>
                      <w:color w:val="auto"/>
                    </w:rPr>
                    <w:t>0</w:t>
                  </w:r>
                </w:p>
              </w:tc>
            </w:tr>
            <w:tr w14:paraId="045698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41A394F2">
                  <w:pPr>
                    <w:pStyle w:val="52"/>
                    <w:rPr>
                      <w:color w:val="auto"/>
                    </w:rPr>
                  </w:pPr>
                </w:p>
              </w:tc>
              <w:tc>
                <w:tcPr>
                  <w:tcW w:w="1300" w:type="dxa"/>
                  <w:vAlign w:val="center"/>
                </w:tcPr>
                <w:p w14:paraId="25BE2CBA">
                  <w:pPr>
                    <w:pStyle w:val="52"/>
                    <w:rPr>
                      <w:color w:val="auto"/>
                    </w:rPr>
                  </w:pPr>
                  <w:r>
                    <w:rPr>
                      <w:color w:val="auto"/>
                    </w:rPr>
                    <w:t>雨水沉淀池沉渣</w:t>
                  </w:r>
                </w:p>
              </w:tc>
              <w:tc>
                <w:tcPr>
                  <w:tcW w:w="2066" w:type="dxa"/>
                  <w:gridSpan w:val="2"/>
                  <w:vAlign w:val="center"/>
                </w:tcPr>
                <w:p w14:paraId="66E9983A">
                  <w:pPr>
                    <w:pStyle w:val="52"/>
                    <w:rPr>
                      <w:color w:val="auto"/>
                    </w:rPr>
                  </w:pPr>
                  <w:r>
                    <w:rPr>
                      <w:color w:val="auto"/>
                    </w:rPr>
                    <w:t>323.19t/a</w:t>
                  </w:r>
                </w:p>
              </w:tc>
              <w:tc>
                <w:tcPr>
                  <w:tcW w:w="2660" w:type="dxa"/>
                  <w:vAlign w:val="center"/>
                </w:tcPr>
                <w:p w14:paraId="4FBA7B21">
                  <w:pPr>
                    <w:pStyle w:val="52"/>
                    <w:rPr>
                      <w:color w:val="auto"/>
                    </w:rPr>
                  </w:pPr>
                  <w:r>
                    <w:rPr>
                      <w:color w:val="auto"/>
                    </w:rPr>
                    <w:t>运至弃渣场堆存</w:t>
                  </w:r>
                </w:p>
              </w:tc>
              <w:tc>
                <w:tcPr>
                  <w:tcW w:w="1954" w:type="dxa"/>
                  <w:gridSpan w:val="2"/>
                  <w:vAlign w:val="center"/>
                </w:tcPr>
                <w:p w14:paraId="572A4853">
                  <w:pPr>
                    <w:pStyle w:val="52"/>
                    <w:rPr>
                      <w:color w:val="auto"/>
                    </w:rPr>
                  </w:pPr>
                  <w:r>
                    <w:rPr>
                      <w:color w:val="auto"/>
                    </w:rPr>
                    <w:t>0</w:t>
                  </w:r>
                </w:p>
              </w:tc>
            </w:tr>
            <w:tr w14:paraId="752051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12FEDD65">
                  <w:pPr>
                    <w:pStyle w:val="52"/>
                    <w:rPr>
                      <w:color w:val="auto"/>
                    </w:rPr>
                  </w:pPr>
                </w:p>
              </w:tc>
              <w:tc>
                <w:tcPr>
                  <w:tcW w:w="1300" w:type="dxa"/>
                  <w:vAlign w:val="center"/>
                </w:tcPr>
                <w:p w14:paraId="37CE1E20">
                  <w:pPr>
                    <w:pStyle w:val="52"/>
                    <w:rPr>
                      <w:color w:val="auto"/>
                    </w:rPr>
                  </w:pPr>
                  <w:r>
                    <w:rPr>
                      <w:color w:val="auto"/>
                    </w:rPr>
                    <w:t>生活垃圾</w:t>
                  </w:r>
                </w:p>
              </w:tc>
              <w:tc>
                <w:tcPr>
                  <w:tcW w:w="2066" w:type="dxa"/>
                  <w:gridSpan w:val="2"/>
                  <w:vAlign w:val="center"/>
                </w:tcPr>
                <w:p w14:paraId="6CEE7F84">
                  <w:pPr>
                    <w:pStyle w:val="52"/>
                    <w:rPr>
                      <w:color w:val="auto"/>
                    </w:rPr>
                  </w:pPr>
                  <w:r>
                    <w:rPr>
                      <w:color w:val="auto"/>
                    </w:rPr>
                    <w:t>6.0t/a</w:t>
                  </w:r>
                </w:p>
              </w:tc>
              <w:tc>
                <w:tcPr>
                  <w:tcW w:w="2660" w:type="dxa"/>
                  <w:vAlign w:val="center"/>
                </w:tcPr>
                <w:p w14:paraId="609819E8">
                  <w:pPr>
                    <w:pStyle w:val="52"/>
                    <w:rPr>
                      <w:color w:val="auto"/>
                    </w:rPr>
                  </w:pPr>
                  <w:r>
                    <w:rPr>
                      <w:color w:val="auto"/>
                    </w:rPr>
                    <w:t>利用垃圾桶收集后，定期外运至附近乡镇垃圾集中处置点处置</w:t>
                  </w:r>
                </w:p>
              </w:tc>
              <w:tc>
                <w:tcPr>
                  <w:tcW w:w="1954" w:type="dxa"/>
                  <w:gridSpan w:val="2"/>
                  <w:vAlign w:val="center"/>
                </w:tcPr>
                <w:p w14:paraId="3062DB8A">
                  <w:pPr>
                    <w:pStyle w:val="52"/>
                    <w:rPr>
                      <w:color w:val="auto"/>
                    </w:rPr>
                  </w:pPr>
                  <w:r>
                    <w:rPr>
                      <w:color w:val="auto"/>
                    </w:rPr>
                    <w:t>0</w:t>
                  </w:r>
                </w:p>
              </w:tc>
            </w:tr>
            <w:tr w14:paraId="5F8B01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6852DBC7">
                  <w:pPr>
                    <w:pStyle w:val="52"/>
                    <w:rPr>
                      <w:color w:val="auto"/>
                    </w:rPr>
                  </w:pPr>
                </w:p>
              </w:tc>
              <w:tc>
                <w:tcPr>
                  <w:tcW w:w="1300" w:type="dxa"/>
                  <w:vAlign w:val="center"/>
                </w:tcPr>
                <w:p w14:paraId="17F4C033">
                  <w:pPr>
                    <w:pStyle w:val="52"/>
                    <w:rPr>
                      <w:color w:val="auto"/>
                    </w:rPr>
                  </w:pPr>
                  <w:r>
                    <w:rPr>
                      <w:color w:val="auto"/>
                    </w:rPr>
                    <w:t>厨房泔水和隔油池废油</w:t>
                  </w:r>
                </w:p>
              </w:tc>
              <w:tc>
                <w:tcPr>
                  <w:tcW w:w="2066" w:type="dxa"/>
                  <w:gridSpan w:val="2"/>
                  <w:vAlign w:val="center"/>
                </w:tcPr>
                <w:p w14:paraId="31839A3A">
                  <w:pPr>
                    <w:pStyle w:val="52"/>
                    <w:rPr>
                      <w:color w:val="auto"/>
                    </w:rPr>
                  </w:pPr>
                  <w:r>
                    <w:rPr>
                      <w:color w:val="auto"/>
                    </w:rPr>
                    <w:t>2.4t/a</w:t>
                  </w:r>
                </w:p>
              </w:tc>
              <w:tc>
                <w:tcPr>
                  <w:tcW w:w="2660" w:type="dxa"/>
                  <w:vAlign w:val="center"/>
                </w:tcPr>
                <w:p w14:paraId="63767D6B">
                  <w:pPr>
                    <w:pStyle w:val="52"/>
                    <w:rPr>
                      <w:color w:val="auto"/>
                    </w:rPr>
                  </w:pPr>
                  <w:r>
                    <w:rPr>
                      <w:color w:val="auto"/>
                    </w:rPr>
                    <w:t>用带盖泔水收集桶收集后运至环卫部门指定的场所进行处置</w:t>
                  </w:r>
                </w:p>
              </w:tc>
              <w:tc>
                <w:tcPr>
                  <w:tcW w:w="1954" w:type="dxa"/>
                  <w:gridSpan w:val="2"/>
                  <w:vAlign w:val="center"/>
                </w:tcPr>
                <w:p w14:paraId="480D7E7A">
                  <w:pPr>
                    <w:pStyle w:val="52"/>
                    <w:rPr>
                      <w:color w:val="auto"/>
                    </w:rPr>
                  </w:pPr>
                  <w:r>
                    <w:rPr>
                      <w:color w:val="auto"/>
                    </w:rPr>
                    <w:t>0</w:t>
                  </w:r>
                </w:p>
              </w:tc>
            </w:tr>
            <w:tr w14:paraId="6FD3AE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26A8327C">
                  <w:pPr>
                    <w:pStyle w:val="52"/>
                    <w:rPr>
                      <w:color w:val="auto"/>
                    </w:rPr>
                  </w:pPr>
                </w:p>
              </w:tc>
              <w:tc>
                <w:tcPr>
                  <w:tcW w:w="1300" w:type="dxa"/>
                  <w:vAlign w:val="center"/>
                </w:tcPr>
                <w:p w14:paraId="7EC7980C">
                  <w:pPr>
                    <w:pStyle w:val="52"/>
                    <w:rPr>
                      <w:color w:val="auto"/>
                    </w:rPr>
                  </w:pPr>
                  <w:r>
                    <w:rPr>
                      <w:color w:val="auto"/>
                    </w:rPr>
                    <w:t>机修废油</w:t>
                  </w:r>
                </w:p>
              </w:tc>
              <w:tc>
                <w:tcPr>
                  <w:tcW w:w="2066" w:type="dxa"/>
                  <w:gridSpan w:val="2"/>
                  <w:vAlign w:val="center"/>
                </w:tcPr>
                <w:p w14:paraId="71B64567">
                  <w:pPr>
                    <w:pStyle w:val="52"/>
                    <w:rPr>
                      <w:color w:val="auto"/>
                    </w:rPr>
                  </w:pPr>
                  <w:r>
                    <w:rPr>
                      <w:color w:val="auto"/>
                    </w:rPr>
                    <w:t>0.03t/a</w:t>
                  </w:r>
                </w:p>
              </w:tc>
              <w:tc>
                <w:tcPr>
                  <w:tcW w:w="2660" w:type="dxa"/>
                  <w:vAlign w:val="center"/>
                </w:tcPr>
                <w:p w14:paraId="6214956F">
                  <w:pPr>
                    <w:pStyle w:val="52"/>
                    <w:rPr>
                      <w:color w:val="auto"/>
                    </w:rPr>
                  </w:pPr>
                  <w:r>
                    <w:rPr>
                      <w:color w:val="auto"/>
                    </w:rPr>
                    <w:t>统一收集用于项目区设备保养维护</w:t>
                  </w:r>
                </w:p>
              </w:tc>
              <w:tc>
                <w:tcPr>
                  <w:tcW w:w="1954" w:type="dxa"/>
                  <w:gridSpan w:val="2"/>
                  <w:vAlign w:val="center"/>
                </w:tcPr>
                <w:p w14:paraId="0DB9140A">
                  <w:pPr>
                    <w:pStyle w:val="52"/>
                    <w:rPr>
                      <w:color w:val="auto"/>
                    </w:rPr>
                  </w:pPr>
                  <w:r>
                    <w:rPr>
                      <w:color w:val="auto"/>
                    </w:rPr>
                    <w:t>0</w:t>
                  </w:r>
                </w:p>
              </w:tc>
            </w:tr>
          </w:tbl>
          <w:p w14:paraId="1EBC1718">
            <w:pPr>
              <w:ind w:firstLine="0" w:firstLineChars="0"/>
              <w:jc w:val="both"/>
              <w:rPr>
                <w:rFonts w:cs="Times New Roman"/>
                <w:bCs/>
              </w:rPr>
            </w:pPr>
          </w:p>
        </w:tc>
      </w:tr>
    </w:tbl>
    <w:p w14:paraId="024E184A">
      <w:pPr>
        <w:ind w:firstLine="199" w:firstLineChars="83"/>
        <w:rPr>
          <w:rFonts w:cs="Times New Roman"/>
        </w:rPr>
        <w:sectPr>
          <w:pgSz w:w="11906" w:h="16838"/>
          <w:pgMar w:top="1440" w:right="1797" w:bottom="1440" w:left="1797" w:header="851" w:footer="992" w:gutter="0"/>
          <w:pgNumType w:start="1"/>
          <w:cols w:space="425" w:num="1"/>
          <w:docGrid w:type="lines" w:linePitch="312" w:charSpace="0"/>
        </w:sectPr>
      </w:pPr>
    </w:p>
    <w:p w14:paraId="5B728A5F">
      <w:pPr>
        <w:pStyle w:val="3"/>
        <w:rPr>
          <w:rFonts w:cs="Times New Roman"/>
        </w:rPr>
      </w:pPr>
      <w:bookmarkStart w:id="35" w:name="_Toc509498236"/>
      <w:bookmarkStart w:id="36" w:name="_Toc480991556"/>
      <w:bookmarkStart w:id="37" w:name="_Toc509498035"/>
      <w:bookmarkStart w:id="38" w:name="_Toc480990436"/>
      <w:r>
        <w:rPr>
          <w:rFonts w:cs="Times New Roman"/>
        </w:rPr>
        <w:t>表六、项目主要污染物及预计排放情况</w:t>
      </w:r>
      <w:bookmarkEnd w:id="35"/>
      <w:bookmarkEnd w:id="36"/>
      <w:bookmarkEnd w:id="37"/>
      <w:bookmarkEnd w:id="38"/>
    </w:p>
    <w:tbl>
      <w:tblPr>
        <w:tblStyle w:val="2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851"/>
        <w:gridCol w:w="1781"/>
        <w:gridCol w:w="1560"/>
        <w:gridCol w:w="1134"/>
        <w:gridCol w:w="992"/>
        <w:gridCol w:w="1273"/>
        <w:gridCol w:w="1481"/>
      </w:tblGrid>
      <w:tr w14:paraId="5E21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tcBorders>
              <w:tl2br w:val="single" w:color="auto" w:sz="4" w:space="0"/>
            </w:tcBorders>
            <w:vAlign w:val="center"/>
          </w:tcPr>
          <w:p w14:paraId="481066E1">
            <w:pPr>
              <w:pStyle w:val="32"/>
              <w:rPr>
                <w:rFonts w:cs="Times New Roman"/>
                <w:b/>
              </w:rPr>
            </w:pPr>
            <w:r>
              <w:rPr>
                <w:rFonts w:cs="Times New Roman"/>
                <w:b/>
              </w:rPr>
              <w:t xml:space="preserve">  内容</w:t>
            </w:r>
          </w:p>
          <w:p w14:paraId="59181B15">
            <w:pPr>
              <w:pStyle w:val="32"/>
              <w:rPr>
                <w:rFonts w:cs="Times New Roman"/>
                <w:b/>
              </w:rPr>
            </w:pPr>
          </w:p>
          <w:p w14:paraId="5A4C1F30">
            <w:pPr>
              <w:pStyle w:val="32"/>
              <w:jc w:val="left"/>
              <w:rPr>
                <w:rFonts w:cs="Times New Roman"/>
                <w:b/>
              </w:rPr>
            </w:pPr>
            <w:r>
              <w:rPr>
                <w:rFonts w:cs="Times New Roman"/>
                <w:b/>
              </w:rPr>
              <w:t>类型</w:t>
            </w:r>
          </w:p>
        </w:tc>
        <w:tc>
          <w:tcPr>
            <w:tcW w:w="2632" w:type="dxa"/>
            <w:gridSpan w:val="2"/>
            <w:vMerge w:val="restart"/>
            <w:vAlign w:val="center"/>
          </w:tcPr>
          <w:p w14:paraId="1E3EE525">
            <w:pPr>
              <w:pStyle w:val="32"/>
              <w:rPr>
                <w:rFonts w:cs="Times New Roman"/>
                <w:b/>
              </w:rPr>
            </w:pPr>
            <w:r>
              <w:rPr>
                <w:rFonts w:cs="Times New Roman"/>
                <w:b/>
              </w:rPr>
              <w:t>排放源</w:t>
            </w:r>
          </w:p>
        </w:tc>
        <w:tc>
          <w:tcPr>
            <w:tcW w:w="1560" w:type="dxa"/>
            <w:vMerge w:val="restart"/>
            <w:vAlign w:val="center"/>
          </w:tcPr>
          <w:p w14:paraId="3C210C65">
            <w:pPr>
              <w:pStyle w:val="32"/>
              <w:rPr>
                <w:rFonts w:cs="Times New Roman"/>
                <w:b/>
              </w:rPr>
            </w:pPr>
            <w:r>
              <w:rPr>
                <w:rFonts w:cs="Times New Roman"/>
                <w:b/>
              </w:rPr>
              <w:t>污染物</w:t>
            </w:r>
          </w:p>
          <w:p w14:paraId="7D0DFD92">
            <w:pPr>
              <w:pStyle w:val="32"/>
              <w:rPr>
                <w:rFonts w:cs="Times New Roman"/>
                <w:b/>
              </w:rPr>
            </w:pPr>
            <w:r>
              <w:rPr>
                <w:rFonts w:cs="Times New Roman"/>
                <w:b/>
              </w:rPr>
              <w:t>名称</w:t>
            </w:r>
          </w:p>
        </w:tc>
        <w:tc>
          <w:tcPr>
            <w:tcW w:w="2126" w:type="dxa"/>
            <w:gridSpan w:val="2"/>
            <w:vAlign w:val="center"/>
          </w:tcPr>
          <w:p w14:paraId="72A3A618">
            <w:pPr>
              <w:pStyle w:val="32"/>
              <w:rPr>
                <w:rFonts w:cs="Times New Roman"/>
                <w:b/>
              </w:rPr>
            </w:pPr>
            <w:r>
              <w:rPr>
                <w:rFonts w:cs="Times New Roman"/>
                <w:b/>
              </w:rPr>
              <w:t>处理前</w:t>
            </w:r>
          </w:p>
        </w:tc>
        <w:tc>
          <w:tcPr>
            <w:tcW w:w="2754" w:type="dxa"/>
            <w:gridSpan w:val="2"/>
            <w:vAlign w:val="center"/>
          </w:tcPr>
          <w:p w14:paraId="0E931E78">
            <w:pPr>
              <w:pStyle w:val="32"/>
              <w:rPr>
                <w:rFonts w:cs="Times New Roman"/>
                <w:b/>
              </w:rPr>
            </w:pPr>
            <w:r>
              <w:rPr>
                <w:rFonts w:cs="Times New Roman"/>
                <w:b/>
              </w:rPr>
              <w:t>处理后</w:t>
            </w:r>
          </w:p>
        </w:tc>
      </w:tr>
      <w:tr w14:paraId="528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tcBorders>
              <w:tl2br w:val="single" w:color="auto" w:sz="4" w:space="0"/>
            </w:tcBorders>
            <w:vAlign w:val="center"/>
          </w:tcPr>
          <w:p w14:paraId="04FE3E15">
            <w:pPr>
              <w:pStyle w:val="32"/>
              <w:rPr>
                <w:rFonts w:cs="Times New Roman"/>
                <w:b/>
              </w:rPr>
            </w:pPr>
          </w:p>
        </w:tc>
        <w:tc>
          <w:tcPr>
            <w:tcW w:w="2632" w:type="dxa"/>
            <w:gridSpan w:val="2"/>
            <w:vMerge w:val="continue"/>
            <w:vAlign w:val="center"/>
          </w:tcPr>
          <w:p w14:paraId="4C33780B">
            <w:pPr>
              <w:pStyle w:val="32"/>
              <w:rPr>
                <w:rFonts w:cs="Times New Roman"/>
                <w:b/>
              </w:rPr>
            </w:pPr>
          </w:p>
        </w:tc>
        <w:tc>
          <w:tcPr>
            <w:tcW w:w="1560" w:type="dxa"/>
            <w:vMerge w:val="continue"/>
            <w:vAlign w:val="center"/>
          </w:tcPr>
          <w:p w14:paraId="137F1293">
            <w:pPr>
              <w:pStyle w:val="32"/>
              <w:rPr>
                <w:rFonts w:cs="Times New Roman"/>
                <w:b/>
              </w:rPr>
            </w:pPr>
          </w:p>
        </w:tc>
        <w:tc>
          <w:tcPr>
            <w:tcW w:w="1134" w:type="dxa"/>
            <w:vAlign w:val="center"/>
          </w:tcPr>
          <w:p w14:paraId="62BCC23A">
            <w:pPr>
              <w:pStyle w:val="32"/>
              <w:rPr>
                <w:rFonts w:cs="Times New Roman"/>
                <w:b/>
              </w:rPr>
            </w:pPr>
            <w:r>
              <w:rPr>
                <w:rFonts w:cs="Times New Roman"/>
                <w:b/>
              </w:rPr>
              <w:t>浓度</w:t>
            </w:r>
          </w:p>
          <w:p w14:paraId="11315A4F">
            <w:pPr>
              <w:pStyle w:val="32"/>
              <w:rPr>
                <w:rFonts w:cs="Times New Roman"/>
                <w:b/>
              </w:rPr>
            </w:pPr>
            <w:r>
              <w:rPr>
                <w:rFonts w:cs="Times New Roman"/>
                <w:b/>
              </w:rPr>
              <w:t>（mg/L）</w:t>
            </w:r>
          </w:p>
        </w:tc>
        <w:tc>
          <w:tcPr>
            <w:tcW w:w="992" w:type="dxa"/>
            <w:vAlign w:val="center"/>
          </w:tcPr>
          <w:p w14:paraId="38093BF2">
            <w:pPr>
              <w:pStyle w:val="32"/>
              <w:rPr>
                <w:rFonts w:cs="Times New Roman"/>
                <w:b/>
              </w:rPr>
            </w:pPr>
            <w:r>
              <w:rPr>
                <w:rFonts w:cs="Times New Roman"/>
                <w:b/>
              </w:rPr>
              <w:t>产生量</w:t>
            </w:r>
          </w:p>
          <w:p w14:paraId="2D036CAA">
            <w:pPr>
              <w:pStyle w:val="32"/>
              <w:rPr>
                <w:rFonts w:cs="Times New Roman"/>
                <w:b/>
              </w:rPr>
            </w:pPr>
            <w:r>
              <w:rPr>
                <w:rFonts w:cs="Times New Roman"/>
                <w:b/>
              </w:rPr>
              <w:t>（t/a）</w:t>
            </w:r>
          </w:p>
        </w:tc>
        <w:tc>
          <w:tcPr>
            <w:tcW w:w="1273" w:type="dxa"/>
            <w:vAlign w:val="center"/>
          </w:tcPr>
          <w:p w14:paraId="37B71B96">
            <w:pPr>
              <w:pStyle w:val="32"/>
              <w:rPr>
                <w:rFonts w:cs="Times New Roman"/>
                <w:b/>
              </w:rPr>
            </w:pPr>
            <w:r>
              <w:rPr>
                <w:rFonts w:cs="Times New Roman"/>
                <w:b/>
              </w:rPr>
              <w:t>浓度</w:t>
            </w:r>
          </w:p>
          <w:p w14:paraId="14C7DE51">
            <w:pPr>
              <w:pStyle w:val="32"/>
              <w:rPr>
                <w:rFonts w:cs="Times New Roman"/>
                <w:b/>
              </w:rPr>
            </w:pPr>
            <w:r>
              <w:rPr>
                <w:rFonts w:cs="Times New Roman"/>
                <w:b/>
              </w:rPr>
              <w:t>（mg/L）</w:t>
            </w:r>
          </w:p>
        </w:tc>
        <w:tc>
          <w:tcPr>
            <w:tcW w:w="1481" w:type="dxa"/>
            <w:vAlign w:val="center"/>
          </w:tcPr>
          <w:p w14:paraId="0B7CA3FE">
            <w:pPr>
              <w:pStyle w:val="32"/>
              <w:rPr>
                <w:rFonts w:cs="Times New Roman"/>
                <w:b/>
              </w:rPr>
            </w:pPr>
            <w:r>
              <w:rPr>
                <w:rFonts w:cs="Times New Roman"/>
                <w:b/>
              </w:rPr>
              <w:t>排放量</w:t>
            </w:r>
          </w:p>
          <w:p w14:paraId="67D19942">
            <w:pPr>
              <w:pStyle w:val="32"/>
              <w:rPr>
                <w:rFonts w:cs="Times New Roman"/>
                <w:b/>
              </w:rPr>
            </w:pPr>
            <w:r>
              <w:rPr>
                <w:rFonts w:cs="Times New Roman"/>
                <w:b/>
              </w:rPr>
              <w:t>（t/a）</w:t>
            </w:r>
          </w:p>
        </w:tc>
      </w:tr>
      <w:tr w14:paraId="7087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restart"/>
            <w:vAlign w:val="center"/>
          </w:tcPr>
          <w:p w14:paraId="7759C1EF">
            <w:pPr>
              <w:pStyle w:val="32"/>
              <w:rPr>
                <w:rFonts w:cs="Times New Roman"/>
              </w:rPr>
            </w:pPr>
            <w:r>
              <w:rPr>
                <w:rFonts w:cs="Times New Roman"/>
              </w:rPr>
              <w:t>大</w:t>
            </w:r>
          </w:p>
          <w:p w14:paraId="2DF52535">
            <w:pPr>
              <w:pStyle w:val="32"/>
              <w:rPr>
                <w:rFonts w:cs="Times New Roman"/>
              </w:rPr>
            </w:pPr>
            <w:r>
              <w:rPr>
                <w:rFonts w:cs="Times New Roman"/>
              </w:rPr>
              <w:t>气</w:t>
            </w:r>
          </w:p>
          <w:p w14:paraId="2CE68076">
            <w:pPr>
              <w:pStyle w:val="32"/>
              <w:rPr>
                <w:rFonts w:cs="Times New Roman"/>
              </w:rPr>
            </w:pPr>
            <w:r>
              <w:rPr>
                <w:rFonts w:cs="Times New Roman"/>
              </w:rPr>
              <w:t>污</w:t>
            </w:r>
          </w:p>
          <w:p w14:paraId="44A9DAD3">
            <w:pPr>
              <w:pStyle w:val="32"/>
              <w:rPr>
                <w:rFonts w:cs="Times New Roman"/>
              </w:rPr>
            </w:pPr>
            <w:r>
              <w:rPr>
                <w:rFonts w:cs="Times New Roman"/>
              </w:rPr>
              <w:t>染</w:t>
            </w:r>
          </w:p>
          <w:p w14:paraId="1251B2FF">
            <w:pPr>
              <w:pStyle w:val="32"/>
              <w:rPr>
                <w:rFonts w:cs="Times New Roman"/>
              </w:rPr>
            </w:pPr>
            <w:r>
              <w:rPr>
                <w:rFonts w:cs="Times New Roman"/>
              </w:rPr>
              <w:t>物</w:t>
            </w:r>
          </w:p>
        </w:tc>
        <w:tc>
          <w:tcPr>
            <w:tcW w:w="851" w:type="dxa"/>
            <w:vMerge w:val="restart"/>
            <w:vAlign w:val="center"/>
          </w:tcPr>
          <w:p w14:paraId="1A9DE473">
            <w:pPr>
              <w:pStyle w:val="32"/>
              <w:rPr>
                <w:rFonts w:cs="Times New Roman"/>
              </w:rPr>
            </w:pPr>
            <w:r>
              <w:rPr>
                <w:rFonts w:cs="Times New Roman"/>
              </w:rPr>
              <w:t>施工期</w:t>
            </w:r>
          </w:p>
        </w:tc>
        <w:tc>
          <w:tcPr>
            <w:tcW w:w="1781" w:type="dxa"/>
            <w:vAlign w:val="center"/>
          </w:tcPr>
          <w:p w14:paraId="24F94821">
            <w:pPr>
              <w:spacing w:line="240" w:lineRule="auto"/>
              <w:ind w:firstLine="0" w:firstLineChars="0"/>
              <w:jc w:val="center"/>
              <w:rPr>
                <w:rFonts w:cs="Times New Roman"/>
                <w:sz w:val="21"/>
                <w:szCs w:val="21"/>
              </w:rPr>
            </w:pPr>
            <w:r>
              <w:rPr>
                <w:rFonts w:cs="Times New Roman"/>
                <w:sz w:val="21"/>
                <w:szCs w:val="21"/>
              </w:rPr>
              <w:t>施工及车辆装卸</w:t>
            </w:r>
          </w:p>
        </w:tc>
        <w:tc>
          <w:tcPr>
            <w:tcW w:w="1560" w:type="dxa"/>
            <w:vAlign w:val="center"/>
          </w:tcPr>
          <w:p w14:paraId="235E5442">
            <w:pPr>
              <w:spacing w:line="240" w:lineRule="auto"/>
              <w:ind w:firstLine="0" w:firstLineChars="0"/>
              <w:jc w:val="center"/>
              <w:rPr>
                <w:rFonts w:cs="Times New Roman"/>
                <w:sz w:val="21"/>
                <w:szCs w:val="21"/>
              </w:rPr>
            </w:pPr>
            <w:r>
              <w:rPr>
                <w:rFonts w:cs="Times New Roman"/>
                <w:sz w:val="21"/>
                <w:szCs w:val="21"/>
              </w:rPr>
              <w:t>扬尘、粉尘</w:t>
            </w:r>
          </w:p>
        </w:tc>
        <w:tc>
          <w:tcPr>
            <w:tcW w:w="2126" w:type="dxa"/>
            <w:gridSpan w:val="2"/>
            <w:tcMar>
              <w:left w:w="28" w:type="dxa"/>
              <w:right w:w="28" w:type="dxa"/>
            </w:tcMar>
            <w:vAlign w:val="center"/>
          </w:tcPr>
          <w:p w14:paraId="636D8DC8">
            <w:pPr>
              <w:pStyle w:val="52"/>
              <w:rPr>
                <w:color w:val="auto"/>
              </w:rPr>
            </w:pPr>
            <w:r>
              <w:rPr>
                <w:color w:val="auto"/>
              </w:rPr>
              <w:t>少量</w:t>
            </w:r>
          </w:p>
        </w:tc>
        <w:tc>
          <w:tcPr>
            <w:tcW w:w="2754" w:type="dxa"/>
            <w:gridSpan w:val="2"/>
            <w:vAlign w:val="center"/>
          </w:tcPr>
          <w:p w14:paraId="33D20F3B">
            <w:pPr>
              <w:pStyle w:val="52"/>
              <w:rPr>
                <w:color w:val="auto"/>
              </w:rPr>
            </w:pPr>
            <w:r>
              <w:rPr>
                <w:color w:val="auto"/>
              </w:rPr>
              <w:t>少量</w:t>
            </w:r>
          </w:p>
        </w:tc>
      </w:tr>
      <w:tr w14:paraId="6BF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continue"/>
            <w:vAlign w:val="center"/>
          </w:tcPr>
          <w:p w14:paraId="4FDE761C">
            <w:pPr>
              <w:pStyle w:val="32"/>
              <w:rPr>
                <w:rFonts w:cs="Times New Roman"/>
              </w:rPr>
            </w:pPr>
          </w:p>
        </w:tc>
        <w:tc>
          <w:tcPr>
            <w:tcW w:w="851" w:type="dxa"/>
            <w:vMerge w:val="continue"/>
            <w:vAlign w:val="center"/>
          </w:tcPr>
          <w:p w14:paraId="3B445AA0">
            <w:pPr>
              <w:pStyle w:val="32"/>
              <w:rPr>
                <w:rFonts w:cs="Times New Roman"/>
              </w:rPr>
            </w:pPr>
          </w:p>
        </w:tc>
        <w:tc>
          <w:tcPr>
            <w:tcW w:w="1781" w:type="dxa"/>
            <w:vAlign w:val="center"/>
          </w:tcPr>
          <w:p w14:paraId="64FE4AA9">
            <w:pPr>
              <w:spacing w:line="240" w:lineRule="auto"/>
              <w:ind w:firstLine="0" w:firstLineChars="0"/>
              <w:jc w:val="center"/>
              <w:rPr>
                <w:rFonts w:cs="Times New Roman"/>
                <w:sz w:val="21"/>
                <w:szCs w:val="21"/>
              </w:rPr>
            </w:pPr>
            <w:r>
              <w:rPr>
                <w:rFonts w:cs="Times New Roman"/>
                <w:sz w:val="21"/>
                <w:szCs w:val="21"/>
              </w:rPr>
              <w:t>施工机械、车辆</w:t>
            </w:r>
          </w:p>
        </w:tc>
        <w:tc>
          <w:tcPr>
            <w:tcW w:w="1560" w:type="dxa"/>
            <w:vAlign w:val="center"/>
          </w:tcPr>
          <w:p w14:paraId="5C38A62B">
            <w:pPr>
              <w:spacing w:line="240" w:lineRule="auto"/>
              <w:ind w:firstLine="0" w:firstLineChars="0"/>
              <w:jc w:val="center"/>
              <w:rPr>
                <w:rFonts w:cs="Times New Roman"/>
                <w:sz w:val="21"/>
                <w:szCs w:val="21"/>
              </w:rPr>
            </w:pPr>
            <w:r>
              <w:rPr>
                <w:rFonts w:cs="Times New Roman"/>
                <w:sz w:val="21"/>
                <w:szCs w:val="21"/>
              </w:rPr>
              <w:t>燃油废气</w:t>
            </w:r>
          </w:p>
        </w:tc>
        <w:tc>
          <w:tcPr>
            <w:tcW w:w="2126" w:type="dxa"/>
            <w:gridSpan w:val="2"/>
            <w:tcMar>
              <w:left w:w="28" w:type="dxa"/>
              <w:right w:w="28" w:type="dxa"/>
            </w:tcMar>
            <w:vAlign w:val="center"/>
          </w:tcPr>
          <w:p w14:paraId="31939C50">
            <w:pPr>
              <w:pStyle w:val="52"/>
              <w:rPr>
                <w:color w:val="auto"/>
              </w:rPr>
            </w:pPr>
            <w:r>
              <w:rPr>
                <w:color w:val="auto"/>
              </w:rPr>
              <w:t>少量</w:t>
            </w:r>
          </w:p>
        </w:tc>
        <w:tc>
          <w:tcPr>
            <w:tcW w:w="2754" w:type="dxa"/>
            <w:gridSpan w:val="2"/>
            <w:vAlign w:val="center"/>
          </w:tcPr>
          <w:p w14:paraId="630A9915">
            <w:pPr>
              <w:pStyle w:val="52"/>
              <w:rPr>
                <w:color w:val="auto"/>
              </w:rPr>
            </w:pPr>
            <w:r>
              <w:rPr>
                <w:color w:val="auto"/>
              </w:rPr>
              <w:t>少量</w:t>
            </w:r>
          </w:p>
        </w:tc>
      </w:tr>
      <w:tr w14:paraId="42C8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continue"/>
            <w:vAlign w:val="center"/>
          </w:tcPr>
          <w:p w14:paraId="1684EB0A">
            <w:pPr>
              <w:pStyle w:val="32"/>
              <w:rPr>
                <w:rFonts w:cs="Times New Roman"/>
              </w:rPr>
            </w:pPr>
          </w:p>
        </w:tc>
        <w:tc>
          <w:tcPr>
            <w:tcW w:w="851" w:type="dxa"/>
            <w:vMerge w:val="restart"/>
            <w:vAlign w:val="center"/>
          </w:tcPr>
          <w:p w14:paraId="71EF92D5">
            <w:pPr>
              <w:pStyle w:val="32"/>
              <w:rPr>
                <w:rFonts w:cs="Times New Roman"/>
              </w:rPr>
            </w:pPr>
            <w:r>
              <w:rPr>
                <w:rFonts w:cs="Times New Roman"/>
              </w:rPr>
              <w:t>运营期</w:t>
            </w:r>
          </w:p>
        </w:tc>
        <w:tc>
          <w:tcPr>
            <w:tcW w:w="1781" w:type="dxa"/>
            <w:vAlign w:val="center"/>
          </w:tcPr>
          <w:p w14:paraId="6F028E2B">
            <w:pPr>
              <w:pStyle w:val="32"/>
              <w:rPr>
                <w:rFonts w:cs="Times New Roman"/>
              </w:rPr>
            </w:pPr>
            <w:r>
              <w:rPr>
                <w:rFonts w:cs="Times New Roman"/>
                <w:spacing w:val="2"/>
              </w:rPr>
              <w:t>采场工作面</w:t>
            </w:r>
          </w:p>
        </w:tc>
        <w:tc>
          <w:tcPr>
            <w:tcW w:w="1560" w:type="dxa"/>
            <w:vMerge w:val="restart"/>
            <w:vAlign w:val="center"/>
          </w:tcPr>
          <w:p w14:paraId="4BADBCA5">
            <w:pPr>
              <w:pStyle w:val="32"/>
              <w:rPr>
                <w:rFonts w:cs="Times New Roman"/>
              </w:rPr>
            </w:pPr>
            <w:r>
              <w:rPr>
                <w:rFonts w:cs="Times New Roman"/>
                <w:spacing w:val="2"/>
              </w:rPr>
              <w:t>无组织粉尘</w:t>
            </w:r>
          </w:p>
        </w:tc>
        <w:tc>
          <w:tcPr>
            <w:tcW w:w="1134" w:type="dxa"/>
            <w:tcMar>
              <w:left w:w="28" w:type="dxa"/>
              <w:right w:w="28" w:type="dxa"/>
            </w:tcMar>
            <w:vAlign w:val="center"/>
          </w:tcPr>
          <w:p w14:paraId="4A235DAA">
            <w:pPr>
              <w:pStyle w:val="52"/>
              <w:rPr>
                <w:color w:val="auto"/>
              </w:rPr>
            </w:pPr>
            <w:r>
              <w:rPr>
                <w:color w:val="auto"/>
              </w:rPr>
              <w:t>0.24</w:t>
            </w:r>
            <w:r>
              <w:rPr>
                <w:color w:val="auto"/>
                <w:spacing w:val="2"/>
              </w:rPr>
              <w:t xml:space="preserve"> g/s</w:t>
            </w:r>
          </w:p>
        </w:tc>
        <w:tc>
          <w:tcPr>
            <w:tcW w:w="992" w:type="dxa"/>
            <w:vAlign w:val="center"/>
          </w:tcPr>
          <w:p w14:paraId="33DAB3C3">
            <w:pPr>
              <w:pStyle w:val="52"/>
              <w:rPr>
                <w:color w:val="auto"/>
              </w:rPr>
            </w:pPr>
            <w:r>
              <w:rPr>
                <w:color w:val="auto"/>
              </w:rPr>
              <w:t>6.125</w:t>
            </w:r>
          </w:p>
        </w:tc>
        <w:tc>
          <w:tcPr>
            <w:tcW w:w="1273" w:type="dxa"/>
            <w:vAlign w:val="center"/>
          </w:tcPr>
          <w:p w14:paraId="2557A9EB">
            <w:pPr>
              <w:pStyle w:val="52"/>
              <w:rPr>
                <w:color w:val="auto"/>
              </w:rPr>
            </w:pPr>
            <w:r>
              <w:rPr>
                <w:color w:val="auto"/>
              </w:rPr>
              <w:t>0.072</w:t>
            </w:r>
            <w:r>
              <w:rPr>
                <w:color w:val="auto"/>
                <w:spacing w:val="2"/>
              </w:rPr>
              <w:t xml:space="preserve"> g/s</w:t>
            </w:r>
          </w:p>
        </w:tc>
        <w:tc>
          <w:tcPr>
            <w:tcW w:w="1481" w:type="dxa"/>
            <w:vAlign w:val="center"/>
          </w:tcPr>
          <w:p w14:paraId="55DE363F">
            <w:pPr>
              <w:pStyle w:val="52"/>
              <w:rPr>
                <w:color w:val="auto"/>
              </w:rPr>
            </w:pPr>
            <w:r>
              <w:rPr>
                <w:color w:val="auto"/>
              </w:rPr>
              <w:t>1.838</w:t>
            </w:r>
          </w:p>
        </w:tc>
      </w:tr>
      <w:tr w14:paraId="6866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15" w:type="dxa"/>
            <w:vMerge w:val="continue"/>
            <w:vAlign w:val="center"/>
          </w:tcPr>
          <w:p w14:paraId="586388E8">
            <w:pPr>
              <w:pStyle w:val="32"/>
              <w:rPr>
                <w:rFonts w:cs="Times New Roman"/>
              </w:rPr>
            </w:pPr>
          </w:p>
        </w:tc>
        <w:tc>
          <w:tcPr>
            <w:tcW w:w="851" w:type="dxa"/>
            <w:vMerge w:val="continue"/>
            <w:vAlign w:val="center"/>
          </w:tcPr>
          <w:p w14:paraId="47111357">
            <w:pPr>
              <w:pStyle w:val="32"/>
              <w:rPr>
                <w:rFonts w:cs="Times New Roman"/>
              </w:rPr>
            </w:pPr>
          </w:p>
        </w:tc>
        <w:tc>
          <w:tcPr>
            <w:tcW w:w="1781" w:type="dxa"/>
            <w:vAlign w:val="center"/>
          </w:tcPr>
          <w:p w14:paraId="1663BDF2">
            <w:pPr>
              <w:pStyle w:val="32"/>
              <w:rPr>
                <w:rFonts w:cs="Times New Roman"/>
              </w:rPr>
            </w:pPr>
            <w:r>
              <w:rPr>
                <w:rFonts w:cs="Times New Roman"/>
                <w:spacing w:val="2"/>
              </w:rPr>
              <w:t>机械设备</w:t>
            </w:r>
          </w:p>
        </w:tc>
        <w:tc>
          <w:tcPr>
            <w:tcW w:w="1560" w:type="dxa"/>
            <w:vMerge w:val="continue"/>
            <w:vAlign w:val="center"/>
          </w:tcPr>
          <w:p w14:paraId="758940D2">
            <w:pPr>
              <w:pStyle w:val="32"/>
              <w:rPr>
                <w:rFonts w:cs="Times New Roman"/>
              </w:rPr>
            </w:pPr>
          </w:p>
        </w:tc>
        <w:tc>
          <w:tcPr>
            <w:tcW w:w="1134" w:type="dxa"/>
            <w:tcMar>
              <w:left w:w="28" w:type="dxa"/>
              <w:right w:w="28" w:type="dxa"/>
            </w:tcMar>
            <w:vAlign w:val="center"/>
          </w:tcPr>
          <w:p w14:paraId="30E2F943">
            <w:pPr>
              <w:pStyle w:val="52"/>
              <w:rPr>
                <w:color w:val="auto"/>
              </w:rPr>
            </w:pPr>
            <w:r>
              <w:rPr>
                <w:color w:val="auto"/>
              </w:rPr>
              <w:t>0.014</w:t>
            </w:r>
            <w:r>
              <w:rPr>
                <w:color w:val="auto"/>
                <w:spacing w:val="2"/>
              </w:rPr>
              <w:t xml:space="preserve"> g/s</w:t>
            </w:r>
          </w:p>
        </w:tc>
        <w:tc>
          <w:tcPr>
            <w:tcW w:w="992" w:type="dxa"/>
            <w:vAlign w:val="center"/>
          </w:tcPr>
          <w:p w14:paraId="3E43EB48">
            <w:pPr>
              <w:pStyle w:val="52"/>
              <w:rPr>
                <w:color w:val="auto"/>
              </w:rPr>
            </w:pPr>
            <w:r>
              <w:rPr>
                <w:color w:val="auto"/>
              </w:rPr>
              <w:t>0.152</w:t>
            </w:r>
          </w:p>
        </w:tc>
        <w:tc>
          <w:tcPr>
            <w:tcW w:w="1273" w:type="dxa"/>
            <w:vAlign w:val="center"/>
          </w:tcPr>
          <w:p w14:paraId="151FE053">
            <w:pPr>
              <w:pStyle w:val="52"/>
              <w:rPr>
                <w:color w:val="auto"/>
              </w:rPr>
            </w:pPr>
            <w:r>
              <w:rPr>
                <w:color w:val="auto"/>
              </w:rPr>
              <w:t>0.004</w:t>
            </w:r>
            <w:r>
              <w:rPr>
                <w:color w:val="auto"/>
                <w:spacing w:val="2"/>
              </w:rPr>
              <w:t xml:space="preserve"> g/s</w:t>
            </w:r>
          </w:p>
        </w:tc>
        <w:tc>
          <w:tcPr>
            <w:tcW w:w="1481" w:type="dxa"/>
            <w:vAlign w:val="center"/>
          </w:tcPr>
          <w:p w14:paraId="26EE2E2B">
            <w:pPr>
              <w:pStyle w:val="52"/>
              <w:rPr>
                <w:color w:val="auto"/>
              </w:rPr>
            </w:pPr>
            <w:r>
              <w:rPr>
                <w:color w:val="auto"/>
              </w:rPr>
              <w:t>0.152</w:t>
            </w:r>
          </w:p>
        </w:tc>
      </w:tr>
      <w:tr w14:paraId="2DCD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4135116">
            <w:pPr>
              <w:pStyle w:val="32"/>
              <w:rPr>
                <w:rFonts w:cs="Times New Roman"/>
              </w:rPr>
            </w:pPr>
          </w:p>
        </w:tc>
        <w:tc>
          <w:tcPr>
            <w:tcW w:w="851" w:type="dxa"/>
            <w:vMerge w:val="continue"/>
            <w:vAlign w:val="center"/>
          </w:tcPr>
          <w:p w14:paraId="023F2491">
            <w:pPr>
              <w:pStyle w:val="32"/>
              <w:rPr>
                <w:rFonts w:cs="Times New Roman"/>
              </w:rPr>
            </w:pPr>
          </w:p>
        </w:tc>
        <w:tc>
          <w:tcPr>
            <w:tcW w:w="1781" w:type="dxa"/>
            <w:vAlign w:val="center"/>
          </w:tcPr>
          <w:p w14:paraId="65D76A18">
            <w:pPr>
              <w:pStyle w:val="32"/>
              <w:rPr>
                <w:rFonts w:cs="Times New Roman"/>
                <w:spacing w:val="2"/>
              </w:rPr>
            </w:pPr>
            <w:r>
              <w:rPr>
                <w:rFonts w:cs="Times New Roman"/>
                <w:spacing w:val="2"/>
              </w:rPr>
              <w:t>弃渣场</w:t>
            </w:r>
          </w:p>
        </w:tc>
        <w:tc>
          <w:tcPr>
            <w:tcW w:w="1560" w:type="dxa"/>
            <w:vMerge w:val="continue"/>
            <w:vAlign w:val="center"/>
          </w:tcPr>
          <w:p w14:paraId="3B020E6E">
            <w:pPr>
              <w:pStyle w:val="32"/>
              <w:rPr>
                <w:rFonts w:cs="Times New Roman"/>
              </w:rPr>
            </w:pPr>
          </w:p>
        </w:tc>
        <w:tc>
          <w:tcPr>
            <w:tcW w:w="1134" w:type="dxa"/>
            <w:tcMar>
              <w:left w:w="28" w:type="dxa"/>
              <w:right w:w="28" w:type="dxa"/>
            </w:tcMar>
            <w:vAlign w:val="center"/>
          </w:tcPr>
          <w:p w14:paraId="2B2CD492">
            <w:pPr>
              <w:pStyle w:val="52"/>
              <w:rPr>
                <w:color w:val="auto"/>
              </w:rPr>
            </w:pPr>
            <w:r>
              <w:rPr>
                <w:color w:val="auto"/>
              </w:rPr>
              <w:t>0.0038</w:t>
            </w:r>
            <w:r>
              <w:rPr>
                <w:color w:val="auto"/>
                <w:spacing w:val="2"/>
              </w:rPr>
              <w:t xml:space="preserve"> g/s</w:t>
            </w:r>
          </w:p>
        </w:tc>
        <w:tc>
          <w:tcPr>
            <w:tcW w:w="992" w:type="dxa"/>
            <w:vAlign w:val="center"/>
          </w:tcPr>
          <w:p w14:paraId="4EC47FD0">
            <w:pPr>
              <w:pStyle w:val="52"/>
              <w:rPr>
                <w:color w:val="auto"/>
              </w:rPr>
            </w:pPr>
            <w:r>
              <w:rPr>
                <w:color w:val="auto"/>
              </w:rPr>
              <w:t>0.041</w:t>
            </w:r>
          </w:p>
        </w:tc>
        <w:tc>
          <w:tcPr>
            <w:tcW w:w="1273" w:type="dxa"/>
            <w:vAlign w:val="center"/>
          </w:tcPr>
          <w:p w14:paraId="1EB668AF">
            <w:pPr>
              <w:pStyle w:val="52"/>
              <w:rPr>
                <w:color w:val="auto"/>
              </w:rPr>
            </w:pPr>
            <w:r>
              <w:rPr>
                <w:color w:val="auto"/>
              </w:rPr>
              <w:t>0.0011</w:t>
            </w:r>
            <w:r>
              <w:rPr>
                <w:color w:val="auto"/>
                <w:spacing w:val="2"/>
              </w:rPr>
              <w:t xml:space="preserve"> g/s</w:t>
            </w:r>
          </w:p>
        </w:tc>
        <w:tc>
          <w:tcPr>
            <w:tcW w:w="1481" w:type="dxa"/>
            <w:vAlign w:val="center"/>
          </w:tcPr>
          <w:p w14:paraId="6CA27E63">
            <w:pPr>
              <w:pStyle w:val="52"/>
              <w:rPr>
                <w:color w:val="auto"/>
              </w:rPr>
            </w:pPr>
            <w:r>
              <w:rPr>
                <w:color w:val="auto"/>
              </w:rPr>
              <w:t>0.0123</w:t>
            </w:r>
          </w:p>
        </w:tc>
      </w:tr>
      <w:tr w14:paraId="3568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E12A7B1">
            <w:pPr>
              <w:pStyle w:val="32"/>
              <w:rPr>
                <w:rFonts w:cs="Times New Roman"/>
              </w:rPr>
            </w:pPr>
          </w:p>
        </w:tc>
        <w:tc>
          <w:tcPr>
            <w:tcW w:w="851" w:type="dxa"/>
            <w:vMerge w:val="continue"/>
            <w:vAlign w:val="center"/>
          </w:tcPr>
          <w:p w14:paraId="1A110708">
            <w:pPr>
              <w:pStyle w:val="32"/>
              <w:rPr>
                <w:rFonts w:cs="Times New Roman"/>
              </w:rPr>
            </w:pPr>
          </w:p>
        </w:tc>
        <w:tc>
          <w:tcPr>
            <w:tcW w:w="1781" w:type="dxa"/>
            <w:vAlign w:val="center"/>
          </w:tcPr>
          <w:p w14:paraId="613B7C2D">
            <w:pPr>
              <w:pStyle w:val="32"/>
              <w:rPr>
                <w:rFonts w:cs="Times New Roman"/>
                <w:spacing w:val="2"/>
              </w:rPr>
            </w:pPr>
            <w:r>
              <w:rPr>
                <w:rFonts w:cs="Times New Roman"/>
                <w:spacing w:val="2"/>
              </w:rPr>
              <w:t>堆料场</w:t>
            </w:r>
          </w:p>
        </w:tc>
        <w:tc>
          <w:tcPr>
            <w:tcW w:w="1560" w:type="dxa"/>
            <w:vMerge w:val="continue"/>
            <w:vAlign w:val="center"/>
          </w:tcPr>
          <w:p w14:paraId="3B3340DB">
            <w:pPr>
              <w:pStyle w:val="32"/>
              <w:rPr>
                <w:rFonts w:cs="Times New Roman"/>
              </w:rPr>
            </w:pPr>
          </w:p>
        </w:tc>
        <w:tc>
          <w:tcPr>
            <w:tcW w:w="1134" w:type="dxa"/>
            <w:tcMar>
              <w:left w:w="28" w:type="dxa"/>
              <w:right w:w="28" w:type="dxa"/>
            </w:tcMar>
            <w:vAlign w:val="center"/>
          </w:tcPr>
          <w:p w14:paraId="0D59C723">
            <w:pPr>
              <w:pStyle w:val="52"/>
              <w:rPr>
                <w:color w:val="auto"/>
              </w:rPr>
            </w:pPr>
            <w:r>
              <w:rPr>
                <w:color w:val="auto"/>
              </w:rPr>
              <w:t>0.0228</w:t>
            </w:r>
            <w:r>
              <w:rPr>
                <w:color w:val="auto"/>
                <w:spacing w:val="2"/>
              </w:rPr>
              <w:t xml:space="preserve"> g/s</w:t>
            </w:r>
          </w:p>
        </w:tc>
        <w:tc>
          <w:tcPr>
            <w:tcW w:w="992" w:type="dxa"/>
            <w:vAlign w:val="center"/>
          </w:tcPr>
          <w:p w14:paraId="4D680CF3">
            <w:pPr>
              <w:pStyle w:val="52"/>
              <w:rPr>
                <w:color w:val="auto"/>
              </w:rPr>
            </w:pPr>
            <w:r>
              <w:rPr>
                <w:color w:val="auto"/>
              </w:rPr>
              <w:t>0.246</w:t>
            </w:r>
          </w:p>
        </w:tc>
        <w:tc>
          <w:tcPr>
            <w:tcW w:w="1273" w:type="dxa"/>
            <w:vAlign w:val="center"/>
          </w:tcPr>
          <w:p w14:paraId="256F58E0">
            <w:pPr>
              <w:pStyle w:val="52"/>
              <w:rPr>
                <w:color w:val="auto"/>
              </w:rPr>
            </w:pPr>
            <w:r>
              <w:rPr>
                <w:color w:val="auto"/>
              </w:rPr>
              <w:t>0.0068</w:t>
            </w:r>
            <w:r>
              <w:rPr>
                <w:color w:val="auto"/>
                <w:spacing w:val="2"/>
              </w:rPr>
              <w:t xml:space="preserve"> g/s</w:t>
            </w:r>
          </w:p>
        </w:tc>
        <w:tc>
          <w:tcPr>
            <w:tcW w:w="1481" w:type="dxa"/>
            <w:vAlign w:val="center"/>
          </w:tcPr>
          <w:p w14:paraId="368EB178">
            <w:pPr>
              <w:pStyle w:val="52"/>
              <w:rPr>
                <w:color w:val="auto"/>
              </w:rPr>
            </w:pPr>
            <w:r>
              <w:rPr>
                <w:color w:val="auto"/>
              </w:rPr>
              <w:t>0.074</w:t>
            </w:r>
          </w:p>
        </w:tc>
      </w:tr>
      <w:tr w14:paraId="264A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173665B">
            <w:pPr>
              <w:pStyle w:val="32"/>
              <w:rPr>
                <w:rFonts w:cs="Times New Roman"/>
              </w:rPr>
            </w:pPr>
          </w:p>
        </w:tc>
        <w:tc>
          <w:tcPr>
            <w:tcW w:w="851" w:type="dxa"/>
            <w:vMerge w:val="continue"/>
            <w:vAlign w:val="center"/>
          </w:tcPr>
          <w:p w14:paraId="793643D6">
            <w:pPr>
              <w:pStyle w:val="32"/>
              <w:rPr>
                <w:rFonts w:cs="Times New Roman"/>
              </w:rPr>
            </w:pPr>
          </w:p>
        </w:tc>
        <w:tc>
          <w:tcPr>
            <w:tcW w:w="1781" w:type="dxa"/>
            <w:vAlign w:val="center"/>
          </w:tcPr>
          <w:p w14:paraId="66C3DB68">
            <w:pPr>
              <w:pStyle w:val="32"/>
              <w:rPr>
                <w:rFonts w:cs="Times New Roman"/>
              </w:rPr>
            </w:pPr>
            <w:r>
              <w:rPr>
                <w:rFonts w:cs="Times New Roman"/>
                <w:spacing w:val="2"/>
              </w:rPr>
              <w:t>运输道路</w:t>
            </w:r>
          </w:p>
        </w:tc>
        <w:tc>
          <w:tcPr>
            <w:tcW w:w="1560" w:type="dxa"/>
            <w:vMerge w:val="continue"/>
            <w:vAlign w:val="center"/>
          </w:tcPr>
          <w:p w14:paraId="442200FD">
            <w:pPr>
              <w:pStyle w:val="32"/>
              <w:rPr>
                <w:rFonts w:cs="Times New Roman"/>
              </w:rPr>
            </w:pPr>
          </w:p>
        </w:tc>
        <w:tc>
          <w:tcPr>
            <w:tcW w:w="1134" w:type="dxa"/>
            <w:tcMar>
              <w:left w:w="28" w:type="dxa"/>
              <w:right w:w="28" w:type="dxa"/>
            </w:tcMar>
            <w:vAlign w:val="center"/>
          </w:tcPr>
          <w:p w14:paraId="574947D3">
            <w:pPr>
              <w:pStyle w:val="52"/>
              <w:rPr>
                <w:color w:val="auto"/>
                <w:spacing w:val="2"/>
              </w:rPr>
            </w:pPr>
            <w:r>
              <w:rPr>
                <w:color w:val="auto"/>
              </w:rPr>
              <w:t>2.833</w:t>
            </w:r>
            <w:r>
              <w:rPr>
                <w:color w:val="auto"/>
                <w:spacing w:val="2"/>
              </w:rPr>
              <w:t>g/s</w:t>
            </w:r>
          </w:p>
        </w:tc>
        <w:tc>
          <w:tcPr>
            <w:tcW w:w="992" w:type="dxa"/>
            <w:vAlign w:val="center"/>
          </w:tcPr>
          <w:p w14:paraId="4DD2EEF6">
            <w:pPr>
              <w:pStyle w:val="52"/>
              <w:rPr>
                <w:color w:val="auto"/>
                <w:spacing w:val="2"/>
              </w:rPr>
            </w:pPr>
            <w:r>
              <w:rPr>
                <w:color w:val="auto"/>
              </w:rPr>
              <w:t>30.6</w:t>
            </w:r>
          </w:p>
        </w:tc>
        <w:tc>
          <w:tcPr>
            <w:tcW w:w="1273" w:type="dxa"/>
            <w:vAlign w:val="center"/>
          </w:tcPr>
          <w:p w14:paraId="2A2FA5C1">
            <w:pPr>
              <w:pStyle w:val="52"/>
              <w:rPr>
                <w:color w:val="auto"/>
              </w:rPr>
            </w:pPr>
            <w:r>
              <w:rPr>
                <w:color w:val="auto"/>
              </w:rPr>
              <w:t>0.849</w:t>
            </w:r>
            <w:r>
              <w:rPr>
                <w:color w:val="auto"/>
                <w:spacing w:val="2"/>
              </w:rPr>
              <w:t xml:space="preserve"> g/s</w:t>
            </w:r>
          </w:p>
        </w:tc>
        <w:tc>
          <w:tcPr>
            <w:tcW w:w="1481" w:type="dxa"/>
            <w:vAlign w:val="center"/>
          </w:tcPr>
          <w:p w14:paraId="6370E9C6">
            <w:pPr>
              <w:pStyle w:val="52"/>
              <w:rPr>
                <w:color w:val="auto"/>
              </w:rPr>
            </w:pPr>
            <w:r>
              <w:rPr>
                <w:color w:val="auto"/>
              </w:rPr>
              <w:t>9.18</w:t>
            </w:r>
          </w:p>
        </w:tc>
      </w:tr>
      <w:tr w14:paraId="4160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50F2B93">
            <w:pPr>
              <w:pStyle w:val="32"/>
              <w:rPr>
                <w:rFonts w:cs="Times New Roman"/>
              </w:rPr>
            </w:pPr>
          </w:p>
        </w:tc>
        <w:tc>
          <w:tcPr>
            <w:tcW w:w="851" w:type="dxa"/>
            <w:vMerge w:val="continue"/>
            <w:vAlign w:val="center"/>
          </w:tcPr>
          <w:p w14:paraId="059482D8">
            <w:pPr>
              <w:pStyle w:val="32"/>
              <w:rPr>
                <w:rFonts w:cs="Times New Roman"/>
              </w:rPr>
            </w:pPr>
          </w:p>
        </w:tc>
        <w:tc>
          <w:tcPr>
            <w:tcW w:w="1781" w:type="dxa"/>
            <w:vAlign w:val="center"/>
          </w:tcPr>
          <w:p w14:paraId="0A1D0C4D">
            <w:pPr>
              <w:pStyle w:val="32"/>
              <w:rPr>
                <w:rFonts w:cs="Times New Roman"/>
              </w:rPr>
            </w:pPr>
            <w:r>
              <w:rPr>
                <w:rFonts w:cs="Times New Roman"/>
                <w:spacing w:val="2"/>
              </w:rPr>
              <w:t>破碎、筛分</w:t>
            </w:r>
          </w:p>
        </w:tc>
        <w:tc>
          <w:tcPr>
            <w:tcW w:w="1560" w:type="dxa"/>
            <w:vMerge w:val="continue"/>
            <w:vAlign w:val="center"/>
          </w:tcPr>
          <w:p w14:paraId="5EB8226F">
            <w:pPr>
              <w:pStyle w:val="32"/>
              <w:rPr>
                <w:rFonts w:cs="Times New Roman"/>
              </w:rPr>
            </w:pPr>
          </w:p>
        </w:tc>
        <w:tc>
          <w:tcPr>
            <w:tcW w:w="1134" w:type="dxa"/>
            <w:tcMar>
              <w:left w:w="28" w:type="dxa"/>
              <w:right w:w="28" w:type="dxa"/>
            </w:tcMar>
            <w:vAlign w:val="center"/>
          </w:tcPr>
          <w:p w14:paraId="798F61F1">
            <w:pPr>
              <w:pStyle w:val="52"/>
              <w:rPr>
                <w:color w:val="auto"/>
                <w:spacing w:val="2"/>
              </w:rPr>
            </w:pPr>
            <w:r>
              <w:rPr>
                <w:color w:val="auto"/>
                <w:spacing w:val="2"/>
              </w:rPr>
              <w:t>4.44g/s</w:t>
            </w:r>
          </w:p>
        </w:tc>
        <w:tc>
          <w:tcPr>
            <w:tcW w:w="992" w:type="dxa"/>
            <w:vAlign w:val="center"/>
          </w:tcPr>
          <w:p w14:paraId="787574E5">
            <w:pPr>
              <w:pStyle w:val="52"/>
              <w:rPr>
                <w:color w:val="auto"/>
                <w:spacing w:val="2"/>
              </w:rPr>
            </w:pPr>
            <w:r>
              <w:rPr>
                <w:color w:val="auto"/>
              </w:rPr>
              <w:t>47.95</w:t>
            </w:r>
          </w:p>
        </w:tc>
        <w:tc>
          <w:tcPr>
            <w:tcW w:w="1273" w:type="dxa"/>
            <w:vAlign w:val="center"/>
          </w:tcPr>
          <w:p w14:paraId="1A79EC70">
            <w:pPr>
              <w:pStyle w:val="52"/>
              <w:rPr>
                <w:color w:val="auto"/>
                <w:spacing w:val="2"/>
              </w:rPr>
            </w:pPr>
            <w:r>
              <w:rPr>
                <w:color w:val="auto"/>
                <w:spacing w:val="2"/>
              </w:rPr>
              <w:t>0.222g/s</w:t>
            </w:r>
          </w:p>
        </w:tc>
        <w:tc>
          <w:tcPr>
            <w:tcW w:w="1481" w:type="dxa"/>
            <w:vAlign w:val="center"/>
          </w:tcPr>
          <w:p w14:paraId="0205DE93">
            <w:pPr>
              <w:pStyle w:val="52"/>
              <w:rPr>
                <w:color w:val="auto"/>
                <w:spacing w:val="2"/>
              </w:rPr>
            </w:pPr>
            <w:r>
              <w:rPr>
                <w:color w:val="auto"/>
              </w:rPr>
              <w:t>2.3976</w:t>
            </w:r>
          </w:p>
        </w:tc>
      </w:tr>
      <w:tr w14:paraId="4744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3B0876D">
            <w:pPr>
              <w:pStyle w:val="32"/>
              <w:rPr>
                <w:rFonts w:cs="Times New Roman"/>
              </w:rPr>
            </w:pPr>
          </w:p>
        </w:tc>
        <w:tc>
          <w:tcPr>
            <w:tcW w:w="851" w:type="dxa"/>
            <w:vMerge w:val="continue"/>
            <w:vAlign w:val="center"/>
          </w:tcPr>
          <w:p w14:paraId="70D572D3">
            <w:pPr>
              <w:pStyle w:val="32"/>
              <w:rPr>
                <w:rFonts w:cs="Times New Roman"/>
              </w:rPr>
            </w:pPr>
          </w:p>
        </w:tc>
        <w:tc>
          <w:tcPr>
            <w:tcW w:w="1781" w:type="dxa"/>
            <w:vAlign w:val="center"/>
          </w:tcPr>
          <w:p w14:paraId="29FA945E">
            <w:pPr>
              <w:pStyle w:val="32"/>
              <w:rPr>
                <w:rFonts w:cs="Times New Roman"/>
              </w:rPr>
            </w:pPr>
            <w:r>
              <w:rPr>
                <w:rFonts w:cs="Times New Roman"/>
                <w:spacing w:val="2"/>
              </w:rPr>
              <w:t>转载点、装卸</w:t>
            </w:r>
          </w:p>
        </w:tc>
        <w:tc>
          <w:tcPr>
            <w:tcW w:w="1560" w:type="dxa"/>
            <w:vMerge w:val="continue"/>
            <w:vAlign w:val="center"/>
          </w:tcPr>
          <w:p w14:paraId="018296C5">
            <w:pPr>
              <w:pStyle w:val="32"/>
              <w:rPr>
                <w:rFonts w:cs="Times New Roman"/>
              </w:rPr>
            </w:pPr>
          </w:p>
        </w:tc>
        <w:tc>
          <w:tcPr>
            <w:tcW w:w="1134" w:type="dxa"/>
            <w:tcMar>
              <w:left w:w="28" w:type="dxa"/>
              <w:right w:w="28" w:type="dxa"/>
            </w:tcMar>
            <w:vAlign w:val="center"/>
          </w:tcPr>
          <w:p w14:paraId="6ADC07BE">
            <w:pPr>
              <w:pStyle w:val="52"/>
              <w:rPr>
                <w:color w:val="auto"/>
                <w:spacing w:val="2"/>
              </w:rPr>
            </w:pPr>
            <w:r>
              <w:rPr>
                <w:color w:val="auto"/>
              </w:rPr>
              <w:t>0.007</w:t>
            </w:r>
            <w:r>
              <w:rPr>
                <w:color w:val="auto"/>
                <w:spacing w:val="2"/>
              </w:rPr>
              <w:t xml:space="preserve"> g/s</w:t>
            </w:r>
          </w:p>
        </w:tc>
        <w:tc>
          <w:tcPr>
            <w:tcW w:w="992" w:type="dxa"/>
            <w:vAlign w:val="center"/>
          </w:tcPr>
          <w:p w14:paraId="1B16B303">
            <w:pPr>
              <w:pStyle w:val="52"/>
              <w:rPr>
                <w:color w:val="auto"/>
                <w:spacing w:val="2"/>
              </w:rPr>
            </w:pPr>
            <w:r>
              <w:rPr>
                <w:color w:val="auto"/>
              </w:rPr>
              <w:t>0.077</w:t>
            </w:r>
          </w:p>
        </w:tc>
        <w:tc>
          <w:tcPr>
            <w:tcW w:w="1273" w:type="dxa"/>
            <w:vAlign w:val="center"/>
          </w:tcPr>
          <w:p w14:paraId="01F005C9">
            <w:pPr>
              <w:pStyle w:val="52"/>
              <w:rPr>
                <w:color w:val="auto"/>
              </w:rPr>
            </w:pPr>
            <w:r>
              <w:rPr>
                <w:color w:val="auto"/>
              </w:rPr>
              <w:t>0.002</w:t>
            </w:r>
            <w:r>
              <w:rPr>
                <w:color w:val="auto"/>
                <w:spacing w:val="2"/>
              </w:rPr>
              <w:t xml:space="preserve"> g/s</w:t>
            </w:r>
          </w:p>
        </w:tc>
        <w:tc>
          <w:tcPr>
            <w:tcW w:w="1481" w:type="dxa"/>
            <w:vAlign w:val="center"/>
          </w:tcPr>
          <w:p w14:paraId="1E575206">
            <w:pPr>
              <w:pStyle w:val="52"/>
              <w:rPr>
                <w:color w:val="auto"/>
              </w:rPr>
            </w:pPr>
            <w:r>
              <w:rPr>
                <w:color w:val="auto"/>
              </w:rPr>
              <w:t>0.023</w:t>
            </w:r>
          </w:p>
        </w:tc>
      </w:tr>
      <w:tr w14:paraId="404A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B101560">
            <w:pPr>
              <w:pStyle w:val="32"/>
              <w:rPr>
                <w:rFonts w:cs="Times New Roman"/>
              </w:rPr>
            </w:pPr>
          </w:p>
        </w:tc>
        <w:tc>
          <w:tcPr>
            <w:tcW w:w="851" w:type="dxa"/>
            <w:vMerge w:val="continue"/>
            <w:vAlign w:val="center"/>
          </w:tcPr>
          <w:p w14:paraId="157D06C9">
            <w:pPr>
              <w:pStyle w:val="32"/>
              <w:rPr>
                <w:rFonts w:cs="Times New Roman"/>
              </w:rPr>
            </w:pPr>
          </w:p>
        </w:tc>
        <w:tc>
          <w:tcPr>
            <w:tcW w:w="1781" w:type="dxa"/>
            <w:vAlign w:val="center"/>
          </w:tcPr>
          <w:p w14:paraId="11A0E4AC">
            <w:pPr>
              <w:pStyle w:val="32"/>
              <w:rPr>
                <w:rFonts w:cs="Times New Roman"/>
                <w:spacing w:val="2"/>
              </w:rPr>
            </w:pPr>
            <w:r>
              <w:rPr>
                <w:rFonts w:cs="Times New Roman"/>
                <w:spacing w:val="2"/>
              </w:rPr>
              <w:t>厨房</w:t>
            </w:r>
          </w:p>
        </w:tc>
        <w:tc>
          <w:tcPr>
            <w:tcW w:w="1560" w:type="dxa"/>
            <w:vAlign w:val="center"/>
          </w:tcPr>
          <w:p w14:paraId="74F486AF">
            <w:pPr>
              <w:pStyle w:val="32"/>
              <w:rPr>
                <w:rFonts w:cs="Times New Roman"/>
              </w:rPr>
            </w:pPr>
            <w:r>
              <w:rPr>
                <w:rFonts w:cs="Times New Roman"/>
              </w:rPr>
              <w:t>油烟</w:t>
            </w:r>
          </w:p>
        </w:tc>
        <w:tc>
          <w:tcPr>
            <w:tcW w:w="1134" w:type="dxa"/>
            <w:tcMar>
              <w:left w:w="28" w:type="dxa"/>
              <w:right w:w="28" w:type="dxa"/>
            </w:tcMar>
            <w:vAlign w:val="center"/>
          </w:tcPr>
          <w:p w14:paraId="6D1A4940">
            <w:pPr>
              <w:pStyle w:val="52"/>
              <w:rPr>
                <w:color w:val="auto"/>
              </w:rPr>
            </w:pPr>
            <w:r>
              <w:rPr>
                <w:color w:val="auto"/>
              </w:rPr>
              <w:t>2.22mg/m</w:t>
            </w:r>
            <w:r>
              <w:rPr>
                <w:color w:val="auto"/>
                <w:vertAlign w:val="superscript"/>
              </w:rPr>
              <w:t>3</w:t>
            </w:r>
          </w:p>
        </w:tc>
        <w:tc>
          <w:tcPr>
            <w:tcW w:w="992" w:type="dxa"/>
            <w:vAlign w:val="center"/>
          </w:tcPr>
          <w:p w14:paraId="27110BB3">
            <w:pPr>
              <w:pStyle w:val="52"/>
              <w:rPr>
                <w:color w:val="auto"/>
              </w:rPr>
            </w:pPr>
            <w:r>
              <w:rPr>
                <w:color w:val="auto"/>
              </w:rPr>
              <w:t>0.01</w:t>
            </w:r>
          </w:p>
        </w:tc>
        <w:tc>
          <w:tcPr>
            <w:tcW w:w="1273" w:type="dxa"/>
            <w:vAlign w:val="center"/>
          </w:tcPr>
          <w:p w14:paraId="75B65349">
            <w:pPr>
              <w:pStyle w:val="52"/>
              <w:rPr>
                <w:color w:val="auto"/>
              </w:rPr>
            </w:pPr>
            <w:r>
              <w:rPr>
                <w:color w:val="auto"/>
              </w:rPr>
              <w:t>0.89mg/m</w:t>
            </w:r>
            <w:r>
              <w:rPr>
                <w:color w:val="auto"/>
                <w:vertAlign w:val="superscript"/>
              </w:rPr>
              <w:t>3</w:t>
            </w:r>
          </w:p>
        </w:tc>
        <w:tc>
          <w:tcPr>
            <w:tcW w:w="1481" w:type="dxa"/>
            <w:vAlign w:val="center"/>
          </w:tcPr>
          <w:p w14:paraId="1DD0A435">
            <w:pPr>
              <w:pStyle w:val="52"/>
              <w:rPr>
                <w:color w:val="auto"/>
              </w:rPr>
            </w:pPr>
            <w:r>
              <w:rPr>
                <w:color w:val="auto"/>
              </w:rPr>
              <w:t>0.004</w:t>
            </w:r>
          </w:p>
        </w:tc>
      </w:tr>
      <w:tr w14:paraId="1880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57D55C94">
            <w:pPr>
              <w:pStyle w:val="32"/>
              <w:rPr>
                <w:rFonts w:cs="Times New Roman"/>
              </w:rPr>
            </w:pPr>
            <w:r>
              <w:rPr>
                <w:rFonts w:cs="Times New Roman"/>
              </w:rPr>
              <w:t>水</w:t>
            </w:r>
          </w:p>
          <w:p w14:paraId="2501605D">
            <w:pPr>
              <w:pStyle w:val="32"/>
              <w:rPr>
                <w:rFonts w:cs="Times New Roman"/>
              </w:rPr>
            </w:pPr>
            <w:r>
              <w:rPr>
                <w:rFonts w:cs="Times New Roman"/>
              </w:rPr>
              <w:t>污</w:t>
            </w:r>
          </w:p>
          <w:p w14:paraId="3898E46D">
            <w:pPr>
              <w:pStyle w:val="32"/>
              <w:rPr>
                <w:rFonts w:cs="Times New Roman"/>
              </w:rPr>
            </w:pPr>
            <w:r>
              <w:rPr>
                <w:rFonts w:cs="Times New Roman"/>
              </w:rPr>
              <w:t>染</w:t>
            </w:r>
          </w:p>
          <w:p w14:paraId="29D27127">
            <w:pPr>
              <w:pStyle w:val="32"/>
              <w:rPr>
                <w:rFonts w:cs="Times New Roman"/>
              </w:rPr>
            </w:pPr>
            <w:r>
              <w:rPr>
                <w:rFonts w:cs="Times New Roman"/>
              </w:rPr>
              <w:t>物</w:t>
            </w:r>
          </w:p>
        </w:tc>
        <w:tc>
          <w:tcPr>
            <w:tcW w:w="851" w:type="dxa"/>
            <w:vMerge w:val="restart"/>
            <w:vAlign w:val="center"/>
          </w:tcPr>
          <w:p w14:paraId="7C340281">
            <w:pPr>
              <w:pStyle w:val="32"/>
              <w:rPr>
                <w:rFonts w:cs="Times New Roman"/>
              </w:rPr>
            </w:pPr>
            <w:r>
              <w:rPr>
                <w:rFonts w:cs="Times New Roman"/>
              </w:rPr>
              <w:t>施工期</w:t>
            </w:r>
          </w:p>
        </w:tc>
        <w:tc>
          <w:tcPr>
            <w:tcW w:w="1781" w:type="dxa"/>
            <w:vMerge w:val="restart"/>
            <w:vAlign w:val="center"/>
          </w:tcPr>
          <w:p w14:paraId="7E469A7C">
            <w:pPr>
              <w:pStyle w:val="32"/>
              <w:rPr>
                <w:rFonts w:cs="Times New Roman"/>
                <w:spacing w:val="2"/>
              </w:rPr>
            </w:pPr>
            <w:r>
              <w:rPr>
                <w:rFonts w:cs="Times New Roman"/>
                <w:szCs w:val="21"/>
              </w:rPr>
              <w:t>施工场地</w:t>
            </w:r>
          </w:p>
        </w:tc>
        <w:tc>
          <w:tcPr>
            <w:tcW w:w="1560" w:type="dxa"/>
            <w:vAlign w:val="center"/>
          </w:tcPr>
          <w:p w14:paraId="0B6D51AC">
            <w:pPr>
              <w:pStyle w:val="32"/>
              <w:rPr>
                <w:rFonts w:cs="Times New Roman"/>
              </w:rPr>
            </w:pPr>
            <w:r>
              <w:rPr>
                <w:rFonts w:cs="Times New Roman"/>
                <w:szCs w:val="21"/>
              </w:rPr>
              <w:t>混凝土搅拌机冲洗废水</w:t>
            </w:r>
          </w:p>
        </w:tc>
        <w:tc>
          <w:tcPr>
            <w:tcW w:w="2126" w:type="dxa"/>
            <w:gridSpan w:val="2"/>
            <w:tcMar>
              <w:left w:w="28" w:type="dxa"/>
              <w:right w:w="28" w:type="dxa"/>
            </w:tcMar>
            <w:vAlign w:val="center"/>
          </w:tcPr>
          <w:p w14:paraId="436FBF2E">
            <w:pPr>
              <w:pStyle w:val="32"/>
              <w:rPr>
                <w:rFonts w:cs="Times New Roman"/>
              </w:rPr>
            </w:pPr>
            <w:r>
              <w:rPr>
                <w:rFonts w:cs="Times New Roman"/>
              </w:rPr>
              <w:t>0.9m</w:t>
            </w:r>
            <w:r>
              <w:rPr>
                <w:rFonts w:cs="Times New Roman"/>
                <w:vertAlign w:val="superscript"/>
              </w:rPr>
              <w:t>3</w:t>
            </w:r>
            <w:r>
              <w:rPr>
                <w:rFonts w:cs="Times New Roman"/>
              </w:rPr>
              <w:t>/d</w:t>
            </w:r>
          </w:p>
        </w:tc>
        <w:tc>
          <w:tcPr>
            <w:tcW w:w="2754" w:type="dxa"/>
            <w:gridSpan w:val="2"/>
            <w:vAlign w:val="center"/>
          </w:tcPr>
          <w:p w14:paraId="6874B1BD">
            <w:pPr>
              <w:pStyle w:val="52"/>
              <w:rPr>
                <w:color w:val="auto"/>
              </w:rPr>
            </w:pPr>
            <w:r>
              <w:rPr>
                <w:color w:val="auto"/>
              </w:rPr>
              <w:t>经雨水沉淀池处理后，回用于施工或洒水降尘，不外排</w:t>
            </w:r>
          </w:p>
        </w:tc>
      </w:tr>
      <w:tr w14:paraId="190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0B882F85">
            <w:pPr>
              <w:pStyle w:val="32"/>
              <w:rPr>
                <w:rFonts w:cs="Times New Roman"/>
              </w:rPr>
            </w:pPr>
          </w:p>
        </w:tc>
        <w:tc>
          <w:tcPr>
            <w:tcW w:w="851" w:type="dxa"/>
            <w:vMerge w:val="continue"/>
            <w:vAlign w:val="center"/>
          </w:tcPr>
          <w:p w14:paraId="36BF4384">
            <w:pPr>
              <w:pStyle w:val="32"/>
              <w:rPr>
                <w:rFonts w:cs="Times New Roman"/>
              </w:rPr>
            </w:pPr>
          </w:p>
        </w:tc>
        <w:tc>
          <w:tcPr>
            <w:tcW w:w="1781" w:type="dxa"/>
            <w:vMerge w:val="continue"/>
            <w:vAlign w:val="center"/>
          </w:tcPr>
          <w:p w14:paraId="6910E642">
            <w:pPr>
              <w:pStyle w:val="32"/>
              <w:rPr>
                <w:rFonts w:cs="Times New Roman"/>
                <w:szCs w:val="21"/>
              </w:rPr>
            </w:pPr>
          </w:p>
        </w:tc>
        <w:tc>
          <w:tcPr>
            <w:tcW w:w="1560" w:type="dxa"/>
            <w:vAlign w:val="center"/>
          </w:tcPr>
          <w:p w14:paraId="6C8AC3DD">
            <w:pPr>
              <w:pStyle w:val="32"/>
              <w:rPr>
                <w:rFonts w:cs="Times New Roman"/>
              </w:rPr>
            </w:pPr>
            <w:r>
              <w:rPr>
                <w:rFonts w:cs="Times New Roman"/>
                <w:szCs w:val="21"/>
              </w:rPr>
              <w:t>工具冲洗废水</w:t>
            </w:r>
          </w:p>
        </w:tc>
        <w:tc>
          <w:tcPr>
            <w:tcW w:w="2126" w:type="dxa"/>
            <w:gridSpan w:val="2"/>
            <w:tcMar>
              <w:left w:w="28" w:type="dxa"/>
              <w:right w:w="28" w:type="dxa"/>
            </w:tcMar>
            <w:vAlign w:val="center"/>
          </w:tcPr>
          <w:p w14:paraId="53470AAD">
            <w:pPr>
              <w:pStyle w:val="32"/>
              <w:rPr>
                <w:rFonts w:cs="Times New Roman"/>
              </w:rPr>
            </w:pPr>
            <w:r>
              <w:rPr>
                <w:rFonts w:cs="Times New Roman"/>
              </w:rPr>
              <w:t>0.144m</w:t>
            </w:r>
            <w:r>
              <w:rPr>
                <w:rFonts w:cs="Times New Roman"/>
                <w:vertAlign w:val="superscript"/>
              </w:rPr>
              <w:t>3</w:t>
            </w:r>
            <w:r>
              <w:rPr>
                <w:rFonts w:cs="Times New Roman"/>
              </w:rPr>
              <w:t>/d</w:t>
            </w:r>
          </w:p>
        </w:tc>
        <w:tc>
          <w:tcPr>
            <w:tcW w:w="2754" w:type="dxa"/>
            <w:gridSpan w:val="2"/>
            <w:vAlign w:val="center"/>
          </w:tcPr>
          <w:p w14:paraId="070E31A7">
            <w:pPr>
              <w:pStyle w:val="52"/>
              <w:rPr>
                <w:color w:val="auto"/>
              </w:rPr>
            </w:pPr>
            <w:r>
              <w:rPr>
                <w:color w:val="auto"/>
              </w:rPr>
              <w:t>经沉淀池处理后，回用于施工或洒水降尘，不外排</w:t>
            </w:r>
          </w:p>
        </w:tc>
      </w:tr>
      <w:tr w14:paraId="58A3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6D44936">
            <w:pPr>
              <w:pStyle w:val="32"/>
              <w:rPr>
                <w:rFonts w:cs="Times New Roman"/>
              </w:rPr>
            </w:pPr>
          </w:p>
        </w:tc>
        <w:tc>
          <w:tcPr>
            <w:tcW w:w="851" w:type="dxa"/>
            <w:vMerge w:val="continue"/>
            <w:vAlign w:val="center"/>
          </w:tcPr>
          <w:p w14:paraId="2E464570">
            <w:pPr>
              <w:pStyle w:val="32"/>
              <w:rPr>
                <w:rFonts w:cs="Times New Roman"/>
              </w:rPr>
            </w:pPr>
          </w:p>
        </w:tc>
        <w:tc>
          <w:tcPr>
            <w:tcW w:w="1781" w:type="dxa"/>
            <w:vMerge w:val="continue"/>
            <w:vAlign w:val="center"/>
          </w:tcPr>
          <w:p w14:paraId="0AA941B5">
            <w:pPr>
              <w:pStyle w:val="32"/>
              <w:rPr>
                <w:rFonts w:cs="Times New Roman"/>
                <w:spacing w:val="2"/>
              </w:rPr>
            </w:pPr>
          </w:p>
        </w:tc>
        <w:tc>
          <w:tcPr>
            <w:tcW w:w="1560" w:type="dxa"/>
            <w:vAlign w:val="center"/>
          </w:tcPr>
          <w:p w14:paraId="5C14CC4B">
            <w:pPr>
              <w:pStyle w:val="32"/>
              <w:rPr>
                <w:rFonts w:cs="Times New Roman"/>
              </w:rPr>
            </w:pPr>
            <w:r>
              <w:rPr>
                <w:rFonts w:cs="Times New Roman"/>
              </w:rPr>
              <w:t>生活污水</w:t>
            </w:r>
          </w:p>
        </w:tc>
        <w:tc>
          <w:tcPr>
            <w:tcW w:w="2126" w:type="dxa"/>
            <w:gridSpan w:val="2"/>
            <w:tcMar>
              <w:left w:w="28" w:type="dxa"/>
              <w:right w:w="28" w:type="dxa"/>
            </w:tcMar>
            <w:vAlign w:val="center"/>
          </w:tcPr>
          <w:p w14:paraId="1397996A">
            <w:pPr>
              <w:pStyle w:val="32"/>
              <w:rPr>
                <w:rFonts w:cs="Times New Roman"/>
              </w:rPr>
            </w:pPr>
            <w:r>
              <w:rPr>
                <w:rFonts w:cs="Times New Roman"/>
              </w:rPr>
              <w:t>0.864m</w:t>
            </w:r>
            <w:r>
              <w:rPr>
                <w:rFonts w:cs="Times New Roman"/>
                <w:vertAlign w:val="superscript"/>
              </w:rPr>
              <w:t>3</w:t>
            </w:r>
            <w:r>
              <w:rPr>
                <w:rFonts w:cs="Times New Roman"/>
              </w:rPr>
              <w:t>/d</w:t>
            </w:r>
          </w:p>
        </w:tc>
        <w:tc>
          <w:tcPr>
            <w:tcW w:w="2754" w:type="dxa"/>
            <w:gridSpan w:val="2"/>
            <w:vAlign w:val="center"/>
          </w:tcPr>
          <w:p w14:paraId="671A28AE">
            <w:pPr>
              <w:pStyle w:val="52"/>
              <w:rPr>
                <w:color w:val="auto"/>
              </w:rPr>
            </w:pPr>
            <w:r>
              <w:rPr>
                <w:color w:val="auto"/>
              </w:rPr>
              <w:t>经沉淀池处理后，回用于施工或洒水降尘，不外排</w:t>
            </w:r>
          </w:p>
        </w:tc>
      </w:tr>
      <w:tr w14:paraId="59E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EB92D17">
            <w:pPr>
              <w:pStyle w:val="32"/>
              <w:rPr>
                <w:rFonts w:cs="Times New Roman"/>
              </w:rPr>
            </w:pPr>
          </w:p>
        </w:tc>
        <w:tc>
          <w:tcPr>
            <w:tcW w:w="851" w:type="dxa"/>
            <w:vMerge w:val="continue"/>
            <w:vAlign w:val="center"/>
          </w:tcPr>
          <w:p w14:paraId="3F5230B0">
            <w:pPr>
              <w:pStyle w:val="32"/>
              <w:rPr>
                <w:rFonts w:cs="Times New Roman"/>
              </w:rPr>
            </w:pPr>
          </w:p>
        </w:tc>
        <w:tc>
          <w:tcPr>
            <w:tcW w:w="1781" w:type="dxa"/>
            <w:vAlign w:val="center"/>
          </w:tcPr>
          <w:p w14:paraId="5AFEA62A">
            <w:pPr>
              <w:pStyle w:val="32"/>
              <w:rPr>
                <w:rFonts w:cs="Times New Roman"/>
                <w:spacing w:val="2"/>
              </w:rPr>
            </w:pPr>
            <w:r>
              <w:rPr>
                <w:rFonts w:cs="Times New Roman"/>
                <w:spacing w:val="2"/>
              </w:rPr>
              <w:t>施工区</w:t>
            </w:r>
          </w:p>
        </w:tc>
        <w:tc>
          <w:tcPr>
            <w:tcW w:w="1560" w:type="dxa"/>
            <w:vAlign w:val="center"/>
          </w:tcPr>
          <w:p w14:paraId="4A80585A">
            <w:pPr>
              <w:pStyle w:val="32"/>
              <w:rPr>
                <w:rFonts w:cs="Times New Roman"/>
                <w:szCs w:val="21"/>
              </w:rPr>
            </w:pPr>
            <w:r>
              <w:rPr>
                <w:rFonts w:hint="eastAsia" w:cs="Times New Roman"/>
                <w:bCs/>
                <w:color w:val="FF0000"/>
              </w:rPr>
              <w:t>初期雨水</w:t>
            </w:r>
          </w:p>
        </w:tc>
        <w:tc>
          <w:tcPr>
            <w:tcW w:w="2126" w:type="dxa"/>
            <w:gridSpan w:val="2"/>
            <w:tcMar>
              <w:left w:w="28" w:type="dxa"/>
              <w:right w:w="28" w:type="dxa"/>
            </w:tcMar>
            <w:vAlign w:val="center"/>
          </w:tcPr>
          <w:p w14:paraId="251BE1E9">
            <w:pPr>
              <w:pStyle w:val="32"/>
              <w:rPr>
                <w:rFonts w:cs="Times New Roman"/>
              </w:rPr>
            </w:pPr>
            <w:r>
              <w:rPr>
                <w:rFonts w:cs="Times New Roman"/>
              </w:rPr>
              <w:t>/</w:t>
            </w:r>
          </w:p>
        </w:tc>
        <w:tc>
          <w:tcPr>
            <w:tcW w:w="2754" w:type="dxa"/>
            <w:gridSpan w:val="2"/>
            <w:vAlign w:val="center"/>
          </w:tcPr>
          <w:p w14:paraId="5F2DEA14">
            <w:pPr>
              <w:pStyle w:val="52"/>
              <w:rPr>
                <w:color w:val="auto"/>
              </w:rPr>
            </w:pPr>
            <w:r>
              <w:rPr>
                <w:color w:val="auto"/>
              </w:rPr>
              <w:t>经沉淀池沉淀处理后排放</w:t>
            </w:r>
          </w:p>
        </w:tc>
      </w:tr>
      <w:tr w14:paraId="4879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46DBB40">
            <w:pPr>
              <w:pStyle w:val="32"/>
              <w:rPr>
                <w:rFonts w:cs="Times New Roman"/>
              </w:rPr>
            </w:pPr>
          </w:p>
        </w:tc>
        <w:tc>
          <w:tcPr>
            <w:tcW w:w="851" w:type="dxa"/>
            <w:vMerge w:val="restart"/>
            <w:vAlign w:val="center"/>
          </w:tcPr>
          <w:p w14:paraId="750E6F76">
            <w:pPr>
              <w:pStyle w:val="32"/>
              <w:rPr>
                <w:rFonts w:cs="Times New Roman"/>
              </w:rPr>
            </w:pPr>
            <w:r>
              <w:rPr>
                <w:rFonts w:cs="Times New Roman"/>
              </w:rPr>
              <w:t>运营期</w:t>
            </w:r>
          </w:p>
        </w:tc>
        <w:tc>
          <w:tcPr>
            <w:tcW w:w="1781" w:type="dxa"/>
            <w:vMerge w:val="restart"/>
            <w:vAlign w:val="center"/>
          </w:tcPr>
          <w:p w14:paraId="313EB1C9">
            <w:pPr>
              <w:pStyle w:val="32"/>
              <w:rPr>
                <w:rFonts w:cs="Times New Roman"/>
              </w:rPr>
            </w:pPr>
            <w:r>
              <w:rPr>
                <w:rFonts w:cs="Times New Roman"/>
              </w:rPr>
              <w:t>生活污水</w:t>
            </w:r>
          </w:p>
        </w:tc>
        <w:tc>
          <w:tcPr>
            <w:tcW w:w="1560" w:type="dxa"/>
            <w:vAlign w:val="center"/>
          </w:tcPr>
          <w:p w14:paraId="442DB4DB">
            <w:pPr>
              <w:pStyle w:val="32"/>
              <w:rPr>
                <w:rFonts w:cs="Times New Roman"/>
                <w:bCs/>
              </w:rPr>
            </w:pPr>
            <w:r>
              <w:rPr>
                <w:rFonts w:cs="Times New Roman"/>
                <w:kern w:val="0"/>
              </w:rPr>
              <w:t>废水量</w:t>
            </w:r>
          </w:p>
        </w:tc>
        <w:tc>
          <w:tcPr>
            <w:tcW w:w="2126" w:type="dxa"/>
            <w:gridSpan w:val="2"/>
            <w:tcMar>
              <w:left w:w="28" w:type="dxa"/>
              <w:right w:w="28" w:type="dxa"/>
            </w:tcMar>
            <w:vAlign w:val="center"/>
          </w:tcPr>
          <w:p w14:paraId="3920BE83">
            <w:pPr>
              <w:pStyle w:val="32"/>
              <w:rPr>
                <w:rFonts w:cs="Times New Roman"/>
              </w:rPr>
            </w:pPr>
            <w:r>
              <w:rPr>
                <w:rFonts w:cs="Times New Roman"/>
              </w:rPr>
              <w:t>0.096万m</w:t>
            </w:r>
            <w:r>
              <w:rPr>
                <w:rFonts w:cs="Times New Roman"/>
                <w:vertAlign w:val="superscript"/>
              </w:rPr>
              <w:t>3</w:t>
            </w:r>
            <w:r>
              <w:rPr>
                <w:rFonts w:cs="Times New Roman"/>
              </w:rPr>
              <w:t>/a</w:t>
            </w:r>
          </w:p>
        </w:tc>
        <w:tc>
          <w:tcPr>
            <w:tcW w:w="2754" w:type="dxa"/>
            <w:gridSpan w:val="2"/>
            <w:vAlign w:val="center"/>
          </w:tcPr>
          <w:p w14:paraId="0FFE37DC">
            <w:pPr>
              <w:pStyle w:val="32"/>
              <w:rPr>
                <w:rFonts w:cs="Times New Roman"/>
              </w:rPr>
            </w:pPr>
            <w:r>
              <w:rPr>
                <w:rFonts w:cs="Times New Roman"/>
                <w:kern w:val="0"/>
              </w:rPr>
              <w:t>0万m</w:t>
            </w:r>
            <w:r>
              <w:rPr>
                <w:rFonts w:cs="Times New Roman"/>
                <w:kern w:val="0"/>
                <w:vertAlign w:val="superscript"/>
              </w:rPr>
              <w:t>3</w:t>
            </w:r>
            <w:r>
              <w:rPr>
                <w:rFonts w:cs="Times New Roman"/>
                <w:kern w:val="0"/>
              </w:rPr>
              <w:t>/a</w:t>
            </w:r>
          </w:p>
        </w:tc>
      </w:tr>
      <w:tr w14:paraId="5C44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082F217A">
            <w:pPr>
              <w:pStyle w:val="32"/>
              <w:rPr>
                <w:rFonts w:cs="Times New Roman"/>
              </w:rPr>
            </w:pPr>
          </w:p>
        </w:tc>
        <w:tc>
          <w:tcPr>
            <w:tcW w:w="851" w:type="dxa"/>
            <w:vMerge w:val="continue"/>
            <w:vAlign w:val="center"/>
          </w:tcPr>
          <w:p w14:paraId="2B0C725C">
            <w:pPr>
              <w:pStyle w:val="32"/>
              <w:rPr>
                <w:rFonts w:cs="Times New Roman"/>
              </w:rPr>
            </w:pPr>
          </w:p>
        </w:tc>
        <w:tc>
          <w:tcPr>
            <w:tcW w:w="1781" w:type="dxa"/>
            <w:vMerge w:val="continue"/>
            <w:vAlign w:val="center"/>
          </w:tcPr>
          <w:p w14:paraId="61564C93">
            <w:pPr>
              <w:pStyle w:val="32"/>
              <w:rPr>
                <w:rFonts w:cs="Times New Roman"/>
              </w:rPr>
            </w:pPr>
          </w:p>
        </w:tc>
        <w:tc>
          <w:tcPr>
            <w:tcW w:w="1560" w:type="dxa"/>
            <w:vAlign w:val="center"/>
          </w:tcPr>
          <w:p w14:paraId="299F29A1">
            <w:pPr>
              <w:pStyle w:val="32"/>
              <w:rPr>
                <w:rFonts w:cs="Times New Roman"/>
                <w:kern w:val="0"/>
              </w:rPr>
            </w:pPr>
            <w:r>
              <w:rPr>
                <w:rFonts w:cs="Times New Roman"/>
                <w:kern w:val="0"/>
              </w:rPr>
              <w:t>COD</w:t>
            </w:r>
          </w:p>
        </w:tc>
        <w:tc>
          <w:tcPr>
            <w:tcW w:w="1134" w:type="dxa"/>
            <w:vAlign w:val="center"/>
          </w:tcPr>
          <w:p w14:paraId="11499252">
            <w:pPr>
              <w:pStyle w:val="52"/>
              <w:rPr>
                <w:color w:val="auto"/>
              </w:rPr>
            </w:pPr>
            <w:r>
              <w:rPr>
                <w:color w:val="auto"/>
              </w:rPr>
              <w:t>350</w:t>
            </w:r>
          </w:p>
        </w:tc>
        <w:tc>
          <w:tcPr>
            <w:tcW w:w="992" w:type="dxa"/>
            <w:vAlign w:val="center"/>
          </w:tcPr>
          <w:p w14:paraId="63C1F643">
            <w:pPr>
              <w:pStyle w:val="52"/>
              <w:rPr>
                <w:color w:val="auto"/>
              </w:rPr>
            </w:pPr>
            <w:r>
              <w:rPr>
                <w:color w:val="auto"/>
              </w:rPr>
              <w:t>0.336</w:t>
            </w:r>
          </w:p>
        </w:tc>
        <w:tc>
          <w:tcPr>
            <w:tcW w:w="1273" w:type="dxa"/>
            <w:vAlign w:val="center"/>
          </w:tcPr>
          <w:p w14:paraId="398A97E0">
            <w:pPr>
              <w:pStyle w:val="32"/>
              <w:rPr>
                <w:rFonts w:cs="Times New Roman"/>
                <w:kern w:val="0"/>
              </w:rPr>
            </w:pPr>
            <w:r>
              <w:rPr>
                <w:rFonts w:cs="Times New Roman"/>
                <w:kern w:val="0"/>
              </w:rPr>
              <w:t>0</w:t>
            </w:r>
          </w:p>
        </w:tc>
        <w:tc>
          <w:tcPr>
            <w:tcW w:w="1481" w:type="dxa"/>
            <w:vAlign w:val="center"/>
          </w:tcPr>
          <w:p w14:paraId="3794B41F">
            <w:pPr>
              <w:pStyle w:val="32"/>
              <w:rPr>
                <w:rFonts w:cs="Times New Roman"/>
              </w:rPr>
            </w:pPr>
            <w:r>
              <w:rPr>
                <w:rFonts w:cs="Times New Roman"/>
                <w:kern w:val="0"/>
              </w:rPr>
              <w:t>0</w:t>
            </w:r>
          </w:p>
        </w:tc>
      </w:tr>
      <w:tr w14:paraId="73ED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B0DEC24">
            <w:pPr>
              <w:pStyle w:val="32"/>
              <w:rPr>
                <w:rFonts w:cs="Times New Roman"/>
              </w:rPr>
            </w:pPr>
          </w:p>
        </w:tc>
        <w:tc>
          <w:tcPr>
            <w:tcW w:w="851" w:type="dxa"/>
            <w:vMerge w:val="continue"/>
            <w:vAlign w:val="center"/>
          </w:tcPr>
          <w:p w14:paraId="7E7C0338">
            <w:pPr>
              <w:pStyle w:val="32"/>
              <w:rPr>
                <w:rFonts w:cs="Times New Roman"/>
              </w:rPr>
            </w:pPr>
          </w:p>
        </w:tc>
        <w:tc>
          <w:tcPr>
            <w:tcW w:w="1781" w:type="dxa"/>
            <w:vMerge w:val="continue"/>
            <w:vAlign w:val="center"/>
          </w:tcPr>
          <w:p w14:paraId="35DE63C6">
            <w:pPr>
              <w:pStyle w:val="32"/>
              <w:rPr>
                <w:rFonts w:cs="Times New Roman"/>
              </w:rPr>
            </w:pPr>
          </w:p>
        </w:tc>
        <w:tc>
          <w:tcPr>
            <w:tcW w:w="1560" w:type="dxa"/>
            <w:vAlign w:val="center"/>
          </w:tcPr>
          <w:p w14:paraId="72F2CECF">
            <w:pPr>
              <w:pStyle w:val="32"/>
              <w:rPr>
                <w:rFonts w:cs="Times New Roman"/>
                <w:kern w:val="0"/>
              </w:rPr>
            </w:pPr>
            <w:r>
              <w:rPr>
                <w:rFonts w:cs="Times New Roman"/>
                <w:kern w:val="0"/>
              </w:rPr>
              <w:t>BOD</w:t>
            </w:r>
            <w:r>
              <w:rPr>
                <w:rFonts w:cs="Times New Roman"/>
                <w:kern w:val="0"/>
                <w:vertAlign w:val="subscript"/>
              </w:rPr>
              <w:t>5</w:t>
            </w:r>
          </w:p>
        </w:tc>
        <w:tc>
          <w:tcPr>
            <w:tcW w:w="1134" w:type="dxa"/>
            <w:vAlign w:val="center"/>
          </w:tcPr>
          <w:p w14:paraId="249161A4">
            <w:pPr>
              <w:pStyle w:val="52"/>
              <w:rPr>
                <w:color w:val="auto"/>
              </w:rPr>
            </w:pPr>
            <w:r>
              <w:rPr>
                <w:color w:val="auto"/>
              </w:rPr>
              <w:t>300</w:t>
            </w:r>
          </w:p>
        </w:tc>
        <w:tc>
          <w:tcPr>
            <w:tcW w:w="992" w:type="dxa"/>
            <w:vAlign w:val="center"/>
          </w:tcPr>
          <w:p w14:paraId="15E8BF8D">
            <w:pPr>
              <w:pStyle w:val="52"/>
              <w:rPr>
                <w:color w:val="auto"/>
              </w:rPr>
            </w:pPr>
            <w:r>
              <w:rPr>
                <w:color w:val="auto"/>
              </w:rPr>
              <w:t>0.288</w:t>
            </w:r>
          </w:p>
        </w:tc>
        <w:tc>
          <w:tcPr>
            <w:tcW w:w="1273" w:type="dxa"/>
            <w:vAlign w:val="center"/>
          </w:tcPr>
          <w:p w14:paraId="7449A617">
            <w:pPr>
              <w:pStyle w:val="32"/>
              <w:rPr>
                <w:rFonts w:cs="Times New Roman"/>
                <w:kern w:val="0"/>
              </w:rPr>
            </w:pPr>
            <w:r>
              <w:rPr>
                <w:rFonts w:cs="Times New Roman"/>
                <w:kern w:val="0"/>
              </w:rPr>
              <w:t>0</w:t>
            </w:r>
          </w:p>
        </w:tc>
        <w:tc>
          <w:tcPr>
            <w:tcW w:w="1481" w:type="dxa"/>
            <w:vAlign w:val="center"/>
          </w:tcPr>
          <w:p w14:paraId="27C6E7BA">
            <w:pPr>
              <w:pStyle w:val="32"/>
              <w:rPr>
                <w:rFonts w:cs="Times New Roman"/>
              </w:rPr>
            </w:pPr>
            <w:r>
              <w:rPr>
                <w:rFonts w:cs="Times New Roman"/>
                <w:kern w:val="0"/>
              </w:rPr>
              <w:t>0</w:t>
            </w:r>
          </w:p>
        </w:tc>
      </w:tr>
      <w:tr w14:paraId="64ED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4CA1A23">
            <w:pPr>
              <w:pStyle w:val="32"/>
              <w:rPr>
                <w:rFonts w:cs="Times New Roman"/>
              </w:rPr>
            </w:pPr>
          </w:p>
        </w:tc>
        <w:tc>
          <w:tcPr>
            <w:tcW w:w="851" w:type="dxa"/>
            <w:vMerge w:val="continue"/>
            <w:vAlign w:val="center"/>
          </w:tcPr>
          <w:p w14:paraId="580070DB">
            <w:pPr>
              <w:pStyle w:val="32"/>
              <w:rPr>
                <w:rFonts w:cs="Times New Roman"/>
              </w:rPr>
            </w:pPr>
          </w:p>
        </w:tc>
        <w:tc>
          <w:tcPr>
            <w:tcW w:w="1781" w:type="dxa"/>
            <w:vMerge w:val="continue"/>
            <w:vAlign w:val="center"/>
          </w:tcPr>
          <w:p w14:paraId="5CBB25C6">
            <w:pPr>
              <w:pStyle w:val="32"/>
              <w:rPr>
                <w:rFonts w:cs="Times New Roman"/>
              </w:rPr>
            </w:pPr>
          </w:p>
        </w:tc>
        <w:tc>
          <w:tcPr>
            <w:tcW w:w="1560" w:type="dxa"/>
            <w:vAlign w:val="center"/>
          </w:tcPr>
          <w:p w14:paraId="5A530E05">
            <w:pPr>
              <w:pStyle w:val="32"/>
              <w:rPr>
                <w:rFonts w:cs="Times New Roman"/>
                <w:kern w:val="0"/>
              </w:rPr>
            </w:pPr>
            <w:r>
              <w:rPr>
                <w:rFonts w:cs="Times New Roman"/>
                <w:kern w:val="0"/>
              </w:rPr>
              <w:t>SS</w:t>
            </w:r>
          </w:p>
        </w:tc>
        <w:tc>
          <w:tcPr>
            <w:tcW w:w="1134" w:type="dxa"/>
            <w:vAlign w:val="center"/>
          </w:tcPr>
          <w:p w14:paraId="174E041B">
            <w:pPr>
              <w:pStyle w:val="52"/>
              <w:rPr>
                <w:color w:val="auto"/>
              </w:rPr>
            </w:pPr>
            <w:r>
              <w:rPr>
                <w:color w:val="auto"/>
              </w:rPr>
              <w:t>200</w:t>
            </w:r>
          </w:p>
        </w:tc>
        <w:tc>
          <w:tcPr>
            <w:tcW w:w="992" w:type="dxa"/>
            <w:vAlign w:val="center"/>
          </w:tcPr>
          <w:p w14:paraId="5863DAC4">
            <w:pPr>
              <w:pStyle w:val="52"/>
              <w:rPr>
                <w:color w:val="auto"/>
              </w:rPr>
            </w:pPr>
            <w:r>
              <w:rPr>
                <w:color w:val="auto"/>
              </w:rPr>
              <w:t>0.192</w:t>
            </w:r>
          </w:p>
        </w:tc>
        <w:tc>
          <w:tcPr>
            <w:tcW w:w="1273" w:type="dxa"/>
            <w:vAlign w:val="center"/>
          </w:tcPr>
          <w:p w14:paraId="6915F90D">
            <w:pPr>
              <w:pStyle w:val="32"/>
              <w:rPr>
                <w:rFonts w:cs="Times New Roman"/>
                <w:kern w:val="0"/>
              </w:rPr>
            </w:pPr>
            <w:r>
              <w:rPr>
                <w:rFonts w:cs="Times New Roman"/>
                <w:kern w:val="0"/>
              </w:rPr>
              <w:t>0</w:t>
            </w:r>
          </w:p>
        </w:tc>
        <w:tc>
          <w:tcPr>
            <w:tcW w:w="1481" w:type="dxa"/>
            <w:vAlign w:val="center"/>
          </w:tcPr>
          <w:p w14:paraId="53C9A9CF">
            <w:pPr>
              <w:pStyle w:val="32"/>
              <w:rPr>
                <w:rFonts w:cs="Times New Roman"/>
              </w:rPr>
            </w:pPr>
            <w:r>
              <w:rPr>
                <w:rFonts w:cs="Times New Roman"/>
                <w:kern w:val="0"/>
              </w:rPr>
              <w:t>0</w:t>
            </w:r>
          </w:p>
        </w:tc>
      </w:tr>
      <w:tr w14:paraId="6B80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FFFF1BD">
            <w:pPr>
              <w:pStyle w:val="32"/>
              <w:rPr>
                <w:rFonts w:cs="Times New Roman"/>
              </w:rPr>
            </w:pPr>
          </w:p>
        </w:tc>
        <w:tc>
          <w:tcPr>
            <w:tcW w:w="851" w:type="dxa"/>
            <w:vMerge w:val="continue"/>
            <w:vAlign w:val="center"/>
          </w:tcPr>
          <w:p w14:paraId="2D34FE80">
            <w:pPr>
              <w:pStyle w:val="32"/>
              <w:rPr>
                <w:rFonts w:cs="Times New Roman"/>
              </w:rPr>
            </w:pPr>
          </w:p>
        </w:tc>
        <w:tc>
          <w:tcPr>
            <w:tcW w:w="1781" w:type="dxa"/>
            <w:vMerge w:val="continue"/>
            <w:vAlign w:val="center"/>
          </w:tcPr>
          <w:p w14:paraId="46F5566C">
            <w:pPr>
              <w:pStyle w:val="32"/>
              <w:rPr>
                <w:rFonts w:cs="Times New Roman"/>
              </w:rPr>
            </w:pPr>
          </w:p>
        </w:tc>
        <w:tc>
          <w:tcPr>
            <w:tcW w:w="1560" w:type="dxa"/>
            <w:vAlign w:val="center"/>
          </w:tcPr>
          <w:p w14:paraId="02F8238E">
            <w:pPr>
              <w:pStyle w:val="32"/>
              <w:rPr>
                <w:rFonts w:cs="Times New Roman"/>
                <w:kern w:val="0"/>
              </w:rPr>
            </w:pPr>
            <w:r>
              <w:rPr>
                <w:rFonts w:cs="Times New Roman"/>
                <w:kern w:val="0"/>
              </w:rPr>
              <w:t>动植物油</w:t>
            </w:r>
          </w:p>
        </w:tc>
        <w:tc>
          <w:tcPr>
            <w:tcW w:w="1134" w:type="dxa"/>
            <w:vAlign w:val="center"/>
          </w:tcPr>
          <w:p w14:paraId="67AD1B33">
            <w:pPr>
              <w:pStyle w:val="52"/>
              <w:rPr>
                <w:color w:val="auto"/>
              </w:rPr>
            </w:pPr>
            <w:r>
              <w:rPr>
                <w:color w:val="auto"/>
              </w:rPr>
              <w:t>50</w:t>
            </w:r>
          </w:p>
        </w:tc>
        <w:tc>
          <w:tcPr>
            <w:tcW w:w="992" w:type="dxa"/>
            <w:vAlign w:val="center"/>
          </w:tcPr>
          <w:p w14:paraId="357BE1C8">
            <w:pPr>
              <w:pStyle w:val="52"/>
              <w:rPr>
                <w:color w:val="auto"/>
              </w:rPr>
            </w:pPr>
            <w:r>
              <w:rPr>
                <w:color w:val="auto"/>
              </w:rPr>
              <w:t>0.048</w:t>
            </w:r>
          </w:p>
        </w:tc>
        <w:tc>
          <w:tcPr>
            <w:tcW w:w="1273" w:type="dxa"/>
            <w:vAlign w:val="center"/>
          </w:tcPr>
          <w:p w14:paraId="7298BD43">
            <w:pPr>
              <w:pStyle w:val="32"/>
              <w:rPr>
                <w:rFonts w:cs="Times New Roman"/>
                <w:kern w:val="0"/>
              </w:rPr>
            </w:pPr>
            <w:r>
              <w:rPr>
                <w:rFonts w:cs="Times New Roman"/>
                <w:kern w:val="0"/>
              </w:rPr>
              <w:t>0</w:t>
            </w:r>
          </w:p>
        </w:tc>
        <w:tc>
          <w:tcPr>
            <w:tcW w:w="1481" w:type="dxa"/>
            <w:vAlign w:val="center"/>
          </w:tcPr>
          <w:p w14:paraId="46701B4A">
            <w:pPr>
              <w:pStyle w:val="32"/>
              <w:rPr>
                <w:rFonts w:cs="Times New Roman"/>
              </w:rPr>
            </w:pPr>
            <w:r>
              <w:rPr>
                <w:rFonts w:cs="Times New Roman"/>
                <w:kern w:val="0"/>
              </w:rPr>
              <w:t>0</w:t>
            </w:r>
          </w:p>
        </w:tc>
      </w:tr>
      <w:tr w14:paraId="2194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3D7933A4">
            <w:pPr>
              <w:pStyle w:val="32"/>
              <w:rPr>
                <w:rFonts w:cs="Times New Roman"/>
              </w:rPr>
            </w:pPr>
          </w:p>
        </w:tc>
        <w:tc>
          <w:tcPr>
            <w:tcW w:w="851" w:type="dxa"/>
            <w:vMerge w:val="continue"/>
            <w:vAlign w:val="center"/>
          </w:tcPr>
          <w:p w14:paraId="38840BDA">
            <w:pPr>
              <w:pStyle w:val="32"/>
              <w:rPr>
                <w:rFonts w:cs="Times New Roman"/>
              </w:rPr>
            </w:pPr>
          </w:p>
        </w:tc>
        <w:tc>
          <w:tcPr>
            <w:tcW w:w="1781" w:type="dxa"/>
            <w:vMerge w:val="continue"/>
            <w:vAlign w:val="center"/>
          </w:tcPr>
          <w:p w14:paraId="2FBD5180">
            <w:pPr>
              <w:pStyle w:val="32"/>
              <w:rPr>
                <w:rFonts w:cs="Times New Roman"/>
              </w:rPr>
            </w:pPr>
          </w:p>
        </w:tc>
        <w:tc>
          <w:tcPr>
            <w:tcW w:w="1560" w:type="dxa"/>
            <w:vAlign w:val="center"/>
          </w:tcPr>
          <w:p w14:paraId="0DAC08CD">
            <w:pPr>
              <w:pStyle w:val="32"/>
              <w:rPr>
                <w:rFonts w:cs="Times New Roman"/>
                <w:kern w:val="0"/>
              </w:rPr>
            </w:pPr>
            <w:r>
              <w:rPr>
                <w:rFonts w:cs="Times New Roman"/>
                <w:kern w:val="0"/>
              </w:rPr>
              <w:t>NH</w:t>
            </w:r>
            <w:r>
              <w:rPr>
                <w:rFonts w:cs="Times New Roman"/>
                <w:kern w:val="0"/>
                <w:vertAlign w:val="subscript"/>
              </w:rPr>
              <w:t>3</w:t>
            </w:r>
            <w:r>
              <w:rPr>
                <w:rFonts w:cs="Times New Roman"/>
                <w:kern w:val="0"/>
              </w:rPr>
              <w:t>-N</w:t>
            </w:r>
          </w:p>
        </w:tc>
        <w:tc>
          <w:tcPr>
            <w:tcW w:w="1134" w:type="dxa"/>
            <w:vAlign w:val="center"/>
          </w:tcPr>
          <w:p w14:paraId="1B969167">
            <w:pPr>
              <w:pStyle w:val="52"/>
              <w:rPr>
                <w:color w:val="auto"/>
              </w:rPr>
            </w:pPr>
            <w:r>
              <w:rPr>
                <w:color w:val="auto"/>
              </w:rPr>
              <w:t>35</w:t>
            </w:r>
          </w:p>
        </w:tc>
        <w:tc>
          <w:tcPr>
            <w:tcW w:w="992" w:type="dxa"/>
            <w:vAlign w:val="center"/>
          </w:tcPr>
          <w:p w14:paraId="57A9228D">
            <w:pPr>
              <w:pStyle w:val="52"/>
              <w:rPr>
                <w:color w:val="auto"/>
              </w:rPr>
            </w:pPr>
            <w:r>
              <w:rPr>
                <w:color w:val="auto"/>
              </w:rPr>
              <w:t>0.034</w:t>
            </w:r>
          </w:p>
        </w:tc>
        <w:tc>
          <w:tcPr>
            <w:tcW w:w="1273" w:type="dxa"/>
            <w:vAlign w:val="center"/>
          </w:tcPr>
          <w:p w14:paraId="08F7F8F6">
            <w:pPr>
              <w:pStyle w:val="32"/>
              <w:rPr>
                <w:rFonts w:cs="Times New Roman"/>
                <w:kern w:val="0"/>
              </w:rPr>
            </w:pPr>
            <w:r>
              <w:rPr>
                <w:rFonts w:cs="Times New Roman"/>
                <w:kern w:val="0"/>
              </w:rPr>
              <w:t>0</w:t>
            </w:r>
          </w:p>
        </w:tc>
        <w:tc>
          <w:tcPr>
            <w:tcW w:w="1481" w:type="dxa"/>
            <w:vAlign w:val="center"/>
          </w:tcPr>
          <w:p w14:paraId="1D761CF6">
            <w:pPr>
              <w:pStyle w:val="32"/>
              <w:rPr>
                <w:rFonts w:cs="Times New Roman"/>
              </w:rPr>
            </w:pPr>
            <w:r>
              <w:rPr>
                <w:rFonts w:cs="Times New Roman"/>
                <w:kern w:val="0"/>
              </w:rPr>
              <w:t>0</w:t>
            </w:r>
          </w:p>
        </w:tc>
      </w:tr>
      <w:tr w14:paraId="2908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47ACDA5">
            <w:pPr>
              <w:pStyle w:val="32"/>
              <w:rPr>
                <w:rFonts w:cs="Times New Roman"/>
              </w:rPr>
            </w:pPr>
          </w:p>
        </w:tc>
        <w:tc>
          <w:tcPr>
            <w:tcW w:w="851" w:type="dxa"/>
            <w:vMerge w:val="continue"/>
            <w:vAlign w:val="center"/>
          </w:tcPr>
          <w:p w14:paraId="4B32D236">
            <w:pPr>
              <w:pStyle w:val="32"/>
              <w:rPr>
                <w:rFonts w:cs="Times New Roman"/>
              </w:rPr>
            </w:pPr>
          </w:p>
        </w:tc>
        <w:tc>
          <w:tcPr>
            <w:tcW w:w="1781" w:type="dxa"/>
            <w:vMerge w:val="restart"/>
            <w:vAlign w:val="center"/>
          </w:tcPr>
          <w:p w14:paraId="3C85DAD6">
            <w:pPr>
              <w:pStyle w:val="32"/>
              <w:rPr>
                <w:rFonts w:cs="Times New Roman"/>
              </w:rPr>
            </w:pPr>
            <w:r>
              <w:rPr>
                <w:rFonts w:hint="eastAsia" w:cs="Times New Roman"/>
                <w:bCs/>
                <w:color w:val="FF0000"/>
              </w:rPr>
              <w:t>初期雨水</w:t>
            </w:r>
          </w:p>
        </w:tc>
        <w:tc>
          <w:tcPr>
            <w:tcW w:w="1560" w:type="dxa"/>
            <w:vAlign w:val="center"/>
          </w:tcPr>
          <w:p w14:paraId="4F823745">
            <w:pPr>
              <w:pStyle w:val="32"/>
              <w:rPr>
                <w:rFonts w:cs="Times New Roman"/>
                <w:kern w:val="0"/>
              </w:rPr>
            </w:pPr>
            <w:r>
              <w:rPr>
                <w:rFonts w:cs="Times New Roman"/>
                <w:kern w:val="0"/>
              </w:rPr>
              <w:t>废水量</w:t>
            </w:r>
          </w:p>
        </w:tc>
        <w:tc>
          <w:tcPr>
            <w:tcW w:w="2126" w:type="dxa"/>
            <w:gridSpan w:val="2"/>
            <w:vAlign w:val="center"/>
          </w:tcPr>
          <w:p w14:paraId="7028886F">
            <w:pPr>
              <w:pStyle w:val="32"/>
              <w:rPr>
                <w:rFonts w:cs="Times New Roman"/>
              </w:rPr>
            </w:pPr>
            <w:r>
              <w:rPr>
                <w:rFonts w:cs="Times New Roman"/>
              </w:rPr>
              <w:t>8.9784万m</w:t>
            </w:r>
            <w:r>
              <w:rPr>
                <w:rFonts w:cs="Times New Roman"/>
                <w:vertAlign w:val="superscript"/>
              </w:rPr>
              <w:t>3</w:t>
            </w:r>
            <w:r>
              <w:rPr>
                <w:rFonts w:cs="Times New Roman"/>
              </w:rPr>
              <w:t>/a</w:t>
            </w:r>
          </w:p>
        </w:tc>
        <w:tc>
          <w:tcPr>
            <w:tcW w:w="2754" w:type="dxa"/>
            <w:gridSpan w:val="2"/>
            <w:vAlign w:val="center"/>
          </w:tcPr>
          <w:p w14:paraId="2D36B69B">
            <w:pPr>
              <w:pStyle w:val="32"/>
              <w:rPr>
                <w:rFonts w:cs="Times New Roman"/>
                <w:kern w:val="0"/>
              </w:rPr>
            </w:pPr>
            <w:r>
              <w:rPr>
                <w:rFonts w:cs="Times New Roman"/>
              </w:rPr>
              <w:t>8.9784万m</w:t>
            </w:r>
            <w:r>
              <w:rPr>
                <w:rFonts w:cs="Times New Roman"/>
                <w:vertAlign w:val="superscript"/>
              </w:rPr>
              <w:t>3</w:t>
            </w:r>
            <w:r>
              <w:rPr>
                <w:rFonts w:cs="Times New Roman"/>
              </w:rPr>
              <w:t>/a</w:t>
            </w:r>
          </w:p>
        </w:tc>
      </w:tr>
      <w:tr w14:paraId="4D5C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1B70BE6">
            <w:pPr>
              <w:pStyle w:val="32"/>
              <w:rPr>
                <w:rFonts w:cs="Times New Roman"/>
              </w:rPr>
            </w:pPr>
          </w:p>
        </w:tc>
        <w:tc>
          <w:tcPr>
            <w:tcW w:w="851" w:type="dxa"/>
            <w:vMerge w:val="continue"/>
            <w:vAlign w:val="center"/>
          </w:tcPr>
          <w:p w14:paraId="1BEC62F3">
            <w:pPr>
              <w:pStyle w:val="32"/>
              <w:rPr>
                <w:rFonts w:cs="Times New Roman"/>
              </w:rPr>
            </w:pPr>
          </w:p>
        </w:tc>
        <w:tc>
          <w:tcPr>
            <w:tcW w:w="1781" w:type="dxa"/>
            <w:vMerge w:val="continue"/>
            <w:vAlign w:val="center"/>
          </w:tcPr>
          <w:p w14:paraId="6E53F2E4">
            <w:pPr>
              <w:pStyle w:val="32"/>
              <w:rPr>
                <w:rFonts w:cs="Times New Roman"/>
              </w:rPr>
            </w:pPr>
          </w:p>
        </w:tc>
        <w:tc>
          <w:tcPr>
            <w:tcW w:w="1560" w:type="dxa"/>
            <w:vAlign w:val="center"/>
          </w:tcPr>
          <w:p w14:paraId="11F98D33">
            <w:pPr>
              <w:pStyle w:val="32"/>
              <w:rPr>
                <w:rFonts w:cs="Times New Roman"/>
                <w:kern w:val="0"/>
              </w:rPr>
            </w:pPr>
            <w:r>
              <w:rPr>
                <w:rFonts w:cs="Times New Roman"/>
                <w:kern w:val="0"/>
              </w:rPr>
              <w:t>SS</w:t>
            </w:r>
          </w:p>
        </w:tc>
        <w:tc>
          <w:tcPr>
            <w:tcW w:w="1134" w:type="dxa"/>
            <w:vAlign w:val="center"/>
          </w:tcPr>
          <w:p w14:paraId="2EED7959">
            <w:pPr>
              <w:pStyle w:val="52"/>
              <w:rPr>
                <w:color w:val="auto"/>
              </w:rPr>
            </w:pPr>
            <w:r>
              <w:rPr>
                <w:color w:val="auto"/>
              </w:rPr>
              <w:t>4000</w:t>
            </w:r>
          </w:p>
        </w:tc>
        <w:tc>
          <w:tcPr>
            <w:tcW w:w="992" w:type="dxa"/>
            <w:vAlign w:val="center"/>
          </w:tcPr>
          <w:p w14:paraId="3C40FE92">
            <w:pPr>
              <w:pStyle w:val="52"/>
              <w:rPr>
                <w:color w:val="auto"/>
              </w:rPr>
            </w:pPr>
            <w:r>
              <w:rPr>
                <w:color w:val="auto"/>
              </w:rPr>
              <w:t>359.1</w:t>
            </w:r>
          </w:p>
        </w:tc>
        <w:tc>
          <w:tcPr>
            <w:tcW w:w="1273" w:type="dxa"/>
            <w:vAlign w:val="center"/>
          </w:tcPr>
          <w:p w14:paraId="2C021FFE">
            <w:pPr>
              <w:pStyle w:val="52"/>
              <w:rPr>
                <w:color w:val="auto"/>
              </w:rPr>
            </w:pPr>
            <w:r>
              <w:rPr>
                <w:color w:val="auto"/>
              </w:rPr>
              <w:t>400</w:t>
            </w:r>
          </w:p>
        </w:tc>
        <w:tc>
          <w:tcPr>
            <w:tcW w:w="1481" w:type="dxa"/>
            <w:vAlign w:val="center"/>
          </w:tcPr>
          <w:p w14:paraId="39FDD79F">
            <w:pPr>
              <w:pStyle w:val="52"/>
              <w:rPr>
                <w:color w:val="auto"/>
              </w:rPr>
            </w:pPr>
            <w:r>
              <w:rPr>
                <w:color w:val="auto"/>
              </w:rPr>
              <w:t>35.91</w:t>
            </w:r>
          </w:p>
        </w:tc>
      </w:tr>
      <w:tr w14:paraId="4B84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1D5C37E7">
            <w:pPr>
              <w:pStyle w:val="32"/>
              <w:rPr>
                <w:rFonts w:cs="Times New Roman"/>
              </w:rPr>
            </w:pPr>
            <w:r>
              <w:rPr>
                <w:rFonts w:cs="Times New Roman"/>
              </w:rPr>
              <w:t>固</w:t>
            </w:r>
          </w:p>
          <w:p w14:paraId="5920CD53">
            <w:pPr>
              <w:pStyle w:val="32"/>
              <w:rPr>
                <w:rFonts w:cs="Times New Roman"/>
              </w:rPr>
            </w:pPr>
            <w:r>
              <w:rPr>
                <w:rFonts w:cs="Times New Roman"/>
              </w:rPr>
              <w:t>体</w:t>
            </w:r>
          </w:p>
          <w:p w14:paraId="48088101">
            <w:pPr>
              <w:pStyle w:val="32"/>
              <w:rPr>
                <w:rFonts w:cs="Times New Roman"/>
              </w:rPr>
            </w:pPr>
            <w:r>
              <w:rPr>
                <w:rFonts w:cs="Times New Roman"/>
              </w:rPr>
              <w:t>废</w:t>
            </w:r>
          </w:p>
          <w:p w14:paraId="35A604BF">
            <w:pPr>
              <w:pStyle w:val="32"/>
              <w:rPr>
                <w:rFonts w:cs="Times New Roman"/>
              </w:rPr>
            </w:pPr>
            <w:r>
              <w:rPr>
                <w:rFonts w:cs="Times New Roman"/>
              </w:rPr>
              <w:t>物</w:t>
            </w:r>
          </w:p>
        </w:tc>
        <w:tc>
          <w:tcPr>
            <w:tcW w:w="851" w:type="dxa"/>
            <w:vMerge w:val="restart"/>
            <w:vAlign w:val="center"/>
          </w:tcPr>
          <w:p w14:paraId="2381A5C4">
            <w:pPr>
              <w:pStyle w:val="32"/>
              <w:rPr>
                <w:rFonts w:cs="Times New Roman"/>
              </w:rPr>
            </w:pPr>
            <w:r>
              <w:rPr>
                <w:rFonts w:cs="Times New Roman"/>
              </w:rPr>
              <w:t>施工期</w:t>
            </w:r>
          </w:p>
        </w:tc>
        <w:tc>
          <w:tcPr>
            <w:tcW w:w="1781" w:type="dxa"/>
            <w:vAlign w:val="center"/>
          </w:tcPr>
          <w:p w14:paraId="206F54DD">
            <w:pPr>
              <w:pStyle w:val="32"/>
              <w:rPr>
                <w:rFonts w:cs="Times New Roman"/>
              </w:rPr>
            </w:pPr>
            <w:r>
              <w:rPr>
                <w:rFonts w:cs="Times New Roman"/>
              </w:rPr>
              <w:t>土石方</w:t>
            </w:r>
          </w:p>
        </w:tc>
        <w:tc>
          <w:tcPr>
            <w:tcW w:w="6440" w:type="dxa"/>
            <w:gridSpan w:val="5"/>
            <w:vAlign w:val="center"/>
          </w:tcPr>
          <w:p w14:paraId="1B1B3DDC">
            <w:pPr>
              <w:pStyle w:val="32"/>
              <w:rPr>
                <w:rFonts w:cs="Times New Roman"/>
              </w:rPr>
            </w:pPr>
            <w:r>
              <w:rPr>
                <w:rFonts w:cs="Times New Roman"/>
              </w:rPr>
              <w:t>弃渣进入弃渣场</w:t>
            </w:r>
          </w:p>
        </w:tc>
      </w:tr>
      <w:tr w14:paraId="3D5F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EFB95EA">
            <w:pPr>
              <w:pStyle w:val="32"/>
              <w:rPr>
                <w:rFonts w:cs="Times New Roman"/>
              </w:rPr>
            </w:pPr>
          </w:p>
        </w:tc>
        <w:tc>
          <w:tcPr>
            <w:tcW w:w="851" w:type="dxa"/>
            <w:vMerge w:val="continue"/>
            <w:vAlign w:val="center"/>
          </w:tcPr>
          <w:p w14:paraId="26E0BA20">
            <w:pPr>
              <w:pStyle w:val="32"/>
              <w:rPr>
                <w:rFonts w:cs="Times New Roman"/>
              </w:rPr>
            </w:pPr>
          </w:p>
        </w:tc>
        <w:tc>
          <w:tcPr>
            <w:tcW w:w="1781" w:type="dxa"/>
            <w:vAlign w:val="center"/>
          </w:tcPr>
          <w:p w14:paraId="4746099A">
            <w:pPr>
              <w:pStyle w:val="32"/>
              <w:rPr>
                <w:rFonts w:cs="Times New Roman"/>
              </w:rPr>
            </w:pPr>
            <w:r>
              <w:rPr>
                <w:rFonts w:cs="Times New Roman"/>
              </w:rPr>
              <w:t>生活垃圾</w:t>
            </w:r>
          </w:p>
        </w:tc>
        <w:tc>
          <w:tcPr>
            <w:tcW w:w="6440" w:type="dxa"/>
            <w:gridSpan w:val="5"/>
            <w:vAlign w:val="center"/>
          </w:tcPr>
          <w:p w14:paraId="14A5D53B">
            <w:pPr>
              <w:pStyle w:val="32"/>
              <w:rPr>
                <w:rFonts w:cs="Times New Roman"/>
              </w:rPr>
            </w:pPr>
            <w:r>
              <w:rPr>
                <w:rFonts w:cs="Times New Roman"/>
              </w:rPr>
              <w:t>统一收集后运至附近村镇垃圾收集点</w:t>
            </w:r>
          </w:p>
        </w:tc>
      </w:tr>
      <w:tr w14:paraId="6064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35E2A90">
            <w:pPr>
              <w:pStyle w:val="32"/>
              <w:rPr>
                <w:rFonts w:cs="Times New Roman"/>
              </w:rPr>
            </w:pPr>
          </w:p>
        </w:tc>
        <w:tc>
          <w:tcPr>
            <w:tcW w:w="851" w:type="dxa"/>
            <w:vMerge w:val="continue"/>
            <w:vAlign w:val="center"/>
          </w:tcPr>
          <w:p w14:paraId="76B3BC18">
            <w:pPr>
              <w:pStyle w:val="32"/>
              <w:rPr>
                <w:rFonts w:cs="Times New Roman"/>
              </w:rPr>
            </w:pPr>
          </w:p>
        </w:tc>
        <w:tc>
          <w:tcPr>
            <w:tcW w:w="1781" w:type="dxa"/>
            <w:vAlign w:val="center"/>
          </w:tcPr>
          <w:p w14:paraId="5FF05857">
            <w:pPr>
              <w:pStyle w:val="32"/>
              <w:rPr>
                <w:rFonts w:cs="Times New Roman"/>
              </w:rPr>
            </w:pPr>
            <w:r>
              <w:rPr>
                <w:rFonts w:cs="Times New Roman"/>
              </w:rPr>
              <w:t>建筑垃圾</w:t>
            </w:r>
          </w:p>
        </w:tc>
        <w:tc>
          <w:tcPr>
            <w:tcW w:w="6440" w:type="dxa"/>
            <w:gridSpan w:val="5"/>
            <w:vAlign w:val="center"/>
          </w:tcPr>
          <w:p w14:paraId="2233C843">
            <w:pPr>
              <w:pStyle w:val="32"/>
              <w:rPr>
                <w:rFonts w:cs="Times New Roman"/>
              </w:rPr>
            </w:pPr>
            <w:r>
              <w:rPr>
                <w:rFonts w:cs="Times New Roman"/>
              </w:rPr>
              <w:t>建筑垃圾进行分类，可再生利用部分回收利用，不能利用的运至住建部门指定点处置</w:t>
            </w:r>
          </w:p>
        </w:tc>
      </w:tr>
      <w:tr w14:paraId="0DE0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3A8F3743">
            <w:pPr>
              <w:pStyle w:val="32"/>
              <w:rPr>
                <w:rFonts w:cs="Times New Roman"/>
              </w:rPr>
            </w:pPr>
          </w:p>
        </w:tc>
        <w:tc>
          <w:tcPr>
            <w:tcW w:w="851" w:type="dxa"/>
            <w:vMerge w:val="restart"/>
            <w:vAlign w:val="center"/>
          </w:tcPr>
          <w:p w14:paraId="2008B724">
            <w:pPr>
              <w:pStyle w:val="32"/>
              <w:rPr>
                <w:rFonts w:cs="Times New Roman"/>
              </w:rPr>
            </w:pPr>
            <w:r>
              <w:rPr>
                <w:rFonts w:cs="Times New Roman"/>
              </w:rPr>
              <w:t>运营期</w:t>
            </w:r>
          </w:p>
        </w:tc>
        <w:tc>
          <w:tcPr>
            <w:tcW w:w="1781" w:type="dxa"/>
            <w:vMerge w:val="restart"/>
            <w:vAlign w:val="center"/>
          </w:tcPr>
          <w:p w14:paraId="6ED3F257">
            <w:pPr>
              <w:pStyle w:val="32"/>
              <w:rPr>
                <w:rFonts w:cs="Times New Roman"/>
              </w:rPr>
            </w:pPr>
            <w:r>
              <w:rPr>
                <w:rFonts w:cs="Times New Roman"/>
              </w:rPr>
              <w:t>项目区</w:t>
            </w:r>
          </w:p>
        </w:tc>
        <w:tc>
          <w:tcPr>
            <w:tcW w:w="1560" w:type="dxa"/>
            <w:vAlign w:val="center"/>
          </w:tcPr>
          <w:p w14:paraId="2A723909">
            <w:pPr>
              <w:pStyle w:val="32"/>
              <w:rPr>
                <w:rFonts w:cs="Times New Roman"/>
              </w:rPr>
            </w:pPr>
            <w:r>
              <w:rPr>
                <w:rFonts w:cs="Times New Roman"/>
              </w:rPr>
              <w:t>废土石</w:t>
            </w:r>
          </w:p>
        </w:tc>
        <w:tc>
          <w:tcPr>
            <w:tcW w:w="2126" w:type="dxa"/>
            <w:gridSpan w:val="2"/>
            <w:shd w:val="clear" w:color="auto" w:fill="auto"/>
            <w:vAlign w:val="center"/>
          </w:tcPr>
          <w:p w14:paraId="26CA24C5">
            <w:pPr>
              <w:pStyle w:val="52"/>
              <w:rPr>
                <w:color w:val="auto"/>
              </w:rPr>
            </w:pPr>
            <w:r>
              <w:rPr>
                <w:color w:val="auto"/>
              </w:rPr>
              <w:t>6.437万m</w:t>
            </w:r>
            <w:r>
              <w:rPr>
                <w:color w:val="auto"/>
                <w:vertAlign w:val="superscript"/>
              </w:rPr>
              <w:t>3</w:t>
            </w:r>
          </w:p>
        </w:tc>
        <w:tc>
          <w:tcPr>
            <w:tcW w:w="2754" w:type="dxa"/>
            <w:gridSpan w:val="2"/>
            <w:shd w:val="clear" w:color="auto" w:fill="auto"/>
            <w:vAlign w:val="center"/>
          </w:tcPr>
          <w:p w14:paraId="25A4C049">
            <w:pPr>
              <w:pStyle w:val="32"/>
              <w:rPr>
                <w:rFonts w:cs="Times New Roman"/>
              </w:rPr>
            </w:pPr>
            <w:r>
              <w:rPr>
                <w:rFonts w:cs="Times New Roman"/>
              </w:rPr>
              <w:t>0</w:t>
            </w:r>
          </w:p>
        </w:tc>
      </w:tr>
      <w:tr w14:paraId="1BCC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7270CCA">
            <w:pPr>
              <w:pStyle w:val="32"/>
              <w:rPr>
                <w:rFonts w:cs="Times New Roman"/>
              </w:rPr>
            </w:pPr>
          </w:p>
        </w:tc>
        <w:tc>
          <w:tcPr>
            <w:tcW w:w="851" w:type="dxa"/>
            <w:vMerge w:val="continue"/>
            <w:vAlign w:val="center"/>
          </w:tcPr>
          <w:p w14:paraId="135312A5">
            <w:pPr>
              <w:pStyle w:val="32"/>
              <w:rPr>
                <w:rFonts w:cs="Times New Roman"/>
              </w:rPr>
            </w:pPr>
          </w:p>
        </w:tc>
        <w:tc>
          <w:tcPr>
            <w:tcW w:w="1781" w:type="dxa"/>
            <w:vMerge w:val="continue"/>
            <w:vAlign w:val="center"/>
          </w:tcPr>
          <w:p w14:paraId="7291F174">
            <w:pPr>
              <w:pStyle w:val="32"/>
              <w:rPr>
                <w:rFonts w:cs="Times New Roman"/>
              </w:rPr>
            </w:pPr>
          </w:p>
        </w:tc>
        <w:tc>
          <w:tcPr>
            <w:tcW w:w="1560" w:type="dxa"/>
            <w:vAlign w:val="center"/>
          </w:tcPr>
          <w:p w14:paraId="6EE10DDE">
            <w:pPr>
              <w:pStyle w:val="32"/>
              <w:rPr>
                <w:rFonts w:cs="Times New Roman"/>
              </w:rPr>
            </w:pPr>
            <w:r>
              <w:rPr>
                <w:rFonts w:cs="Times New Roman"/>
              </w:rPr>
              <w:t>化粪池污泥</w:t>
            </w:r>
          </w:p>
        </w:tc>
        <w:tc>
          <w:tcPr>
            <w:tcW w:w="2126" w:type="dxa"/>
            <w:gridSpan w:val="2"/>
            <w:shd w:val="clear" w:color="auto" w:fill="auto"/>
            <w:vAlign w:val="center"/>
          </w:tcPr>
          <w:p w14:paraId="709EFE07">
            <w:pPr>
              <w:pStyle w:val="52"/>
              <w:rPr>
                <w:color w:val="auto"/>
              </w:rPr>
            </w:pPr>
            <w:r>
              <w:rPr>
                <w:color w:val="auto"/>
              </w:rPr>
              <w:t>0.432t/a</w:t>
            </w:r>
          </w:p>
        </w:tc>
        <w:tc>
          <w:tcPr>
            <w:tcW w:w="2754" w:type="dxa"/>
            <w:gridSpan w:val="2"/>
            <w:shd w:val="clear" w:color="auto" w:fill="auto"/>
            <w:vAlign w:val="center"/>
          </w:tcPr>
          <w:p w14:paraId="686A1325">
            <w:pPr>
              <w:pStyle w:val="32"/>
              <w:rPr>
                <w:rFonts w:cs="Times New Roman"/>
              </w:rPr>
            </w:pPr>
            <w:r>
              <w:rPr>
                <w:rFonts w:cs="Times New Roman"/>
              </w:rPr>
              <w:t>0</w:t>
            </w:r>
          </w:p>
        </w:tc>
      </w:tr>
      <w:tr w14:paraId="0CDD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CCC93C9">
            <w:pPr>
              <w:pStyle w:val="32"/>
              <w:rPr>
                <w:rFonts w:cs="Times New Roman"/>
              </w:rPr>
            </w:pPr>
          </w:p>
        </w:tc>
        <w:tc>
          <w:tcPr>
            <w:tcW w:w="851" w:type="dxa"/>
            <w:vMerge w:val="continue"/>
            <w:vAlign w:val="center"/>
          </w:tcPr>
          <w:p w14:paraId="0DF26D22">
            <w:pPr>
              <w:pStyle w:val="32"/>
              <w:rPr>
                <w:rFonts w:cs="Times New Roman"/>
              </w:rPr>
            </w:pPr>
          </w:p>
        </w:tc>
        <w:tc>
          <w:tcPr>
            <w:tcW w:w="1781" w:type="dxa"/>
            <w:vMerge w:val="continue"/>
            <w:vAlign w:val="center"/>
          </w:tcPr>
          <w:p w14:paraId="35573058">
            <w:pPr>
              <w:pStyle w:val="32"/>
              <w:rPr>
                <w:rFonts w:cs="Times New Roman"/>
              </w:rPr>
            </w:pPr>
          </w:p>
        </w:tc>
        <w:tc>
          <w:tcPr>
            <w:tcW w:w="1560" w:type="dxa"/>
            <w:vAlign w:val="center"/>
          </w:tcPr>
          <w:p w14:paraId="59CCDEB6">
            <w:pPr>
              <w:pStyle w:val="32"/>
              <w:rPr>
                <w:rFonts w:cs="Times New Roman"/>
              </w:rPr>
            </w:pPr>
            <w:r>
              <w:rPr>
                <w:rFonts w:cs="Times New Roman"/>
              </w:rPr>
              <w:t>雨水沉淀池沉渣</w:t>
            </w:r>
          </w:p>
        </w:tc>
        <w:tc>
          <w:tcPr>
            <w:tcW w:w="2126" w:type="dxa"/>
            <w:gridSpan w:val="2"/>
            <w:shd w:val="clear" w:color="auto" w:fill="auto"/>
            <w:vAlign w:val="center"/>
          </w:tcPr>
          <w:p w14:paraId="575D5272">
            <w:pPr>
              <w:pStyle w:val="52"/>
              <w:rPr>
                <w:color w:val="auto"/>
              </w:rPr>
            </w:pPr>
            <w:r>
              <w:rPr>
                <w:color w:val="auto"/>
              </w:rPr>
              <w:t>323.19t/a</w:t>
            </w:r>
          </w:p>
        </w:tc>
        <w:tc>
          <w:tcPr>
            <w:tcW w:w="2754" w:type="dxa"/>
            <w:gridSpan w:val="2"/>
            <w:shd w:val="clear" w:color="auto" w:fill="auto"/>
            <w:vAlign w:val="center"/>
          </w:tcPr>
          <w:p w14:paraId="4350B4F3">
            <w:pPr>
              <w:pStyle w:val="32"/>
              <w:rPr>
                <w:rFonts w:cs="Times New Roman"/>
              </w:rPr>
            </w:pPr>
            <w:r>
              <w:rPr>
                <w:rFonts w:cs="Times New Roman"/>
              </w:rPr>
              <w:t>0</w:t>
            </w:r>
          </w:p>
        </w:tc>
      </w:tr>
      <w:tr w14:paraId="74C3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84D8709">
            <w:pPr>
              <w:pStyle w:val="32"/>
              <w:rPr>
                <w:rFonts w:cs="Times New Roman"/>
              </w:rPr>
            </w:pPr>
          </w:p>
        </w:tc>
        <w:tc>
          <w:tcPr>
            <w:tcW w:w="851" w:type="dxa"/>
            <w:vMerge w:val="continue"/>
            <w:vAlign w:val="center"/>
          </w:tcPr>
          <w:p w14:paraId="001BED55">
            <w:pPr>
              <w:pStyle w:val="32"/>
              <w:rPr>
                <w:rFonts w:cs="Times New Roman"/>
              </w:rPr>
            </w:pPr>
          </w:p>
        </w:tc>
        <w:tc>
          <w:tcPr>
            <w:tcW w:w="1781" w:type="dxa"/>
            <w:vMerge w:val="continue"/>
            <w:vAlign w:val="center"/>
          </w:tcPr>
          <w:p w14:paraId="0C535FB3">
            <w:pPr>
              <w:pStyle w:val="32"/>
              <w:rPr>
                <w:rFonts w:cs="Times New Roman"/>
              </w:rPr>
            </w:pPr>
          </w:p>
        </w:tc>
        <w:tc>
          <w:tcPr>
            <w:tcW w:w="1560" w:type="dxa"/>
            <w:vAlign w:val="center"/>
          </w:tcPr>
          <w:p w14:paraId="0B59C9A9">
            <w:pPr>
              <w:pStyle w:val="32"/>
              <w:rPr>
                <w:rFonts w:cs="Times New Roman"/>
              </w:rPr>
            </w:pPr>
            <w:r>
              <w:rPr>
                <w:rFonts w:cs="Times New Roman"/>
              </w:rPr>
              <w:t>生活垃圾</w:t>
            </w:r>
          </w:p>
        </w:tc>
        <w:tc>
          <w:tcPr>
            <w:tcW w:w="2126" w:type="dxa"/>
            <w:gridSpan w:val="2"/>
            <w:shd w:val="clear" w:color="auto" w:fill="auto"/>
            <w:vAlign w:val="center"/>
          </w:tcPr>
          <w:p w14:paraId="13B7B6CF">
            <w:pPr>
              <w:pStyle w:val="52"/>
              <w:rPr>
                <w:color w:val="auto"/>
              </w:rPr>
            </w:pPr>
            <w:r>
              <w:rPr>
                <w:color w:val="auto"/>
              </w:rPr>
              <w:t>6.0t/a</w:t>
            </w:r>
          </w:p>
        </w:tc>
        <w:tc>
          <w:tcPr>
            <w:tcW w:w="2754" w:type="dxa"/>
            <w:gridSpan w:val="2"/>
            <w:shd w:val="clear" w:color="auto" w:fill="auto"/>
            <w:vAlign w:val="center"/>
          </w:tcPr>
          <w:p w14:paraId="6865F691">
            <w:pPr>
              <w:pStyle w:val="32"/>
              <w:rPr>
                <w:rFonts w:cs="Times New Roman"/>
              </w:rPr>
            </w:pPr>
            <w:r>
              <w:rPr>
                <w:rFonts w:cs="Times New Roman"/>
              </w:rPr>
              <w:t>0</w:t>
            </w:r>
          </w:p>
        </w:tc>
      </w:tr>
      <w:tr w14:paraId="705B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E491816">
            <w:pPr>
              <w:pStyle w:val="32"/>
              <w:rPr>
                <w:rFonts w:cs="Times New Roman"/>
              </w:rPr>
            </w:pPr>
          </w:p>
        </w:tc>
        <w:tc>
          <w:tcPr>
            <w:tcW w:w="851" w:type="dxa"/>
            <w:vMerge w:val="continue"/>
            <w:vAlign w:val="center"/>
          </w:tcPr>
          <w:p w14:paraId="127E7043">
            <w:pPr>
              <w:pStyle w:val="32"/>
              <w:rPr>
                <w:rFonts w:cs="Times New Roman"/>
              </w:rPr>
            </w:pPr>
          </w:p>
        </w:tc>
        <w:tc>
          <w:tcPr>
            <w:tcW w:w="1781" w:type="dxa"/>
            <w:vMerge w:val="continue"/>
            <w:vAlign w:val="center"/>
          </w:tcPr>
          <w:p w14:paraId="5F5AF196">
            <w:pPr>
              <w:pStyle w:val="32"/>
              <w:rPr>
                <w:rFonts w:cs="Times New Roman"/>
              </w:rPr>
            </w:pPr>
          </w:p>
        </w:tc>
        <w:tc>
          <w:tcPr>
            <w:tcW w:w="1560" w:type="dxa"/>
            <w:vAlign w:val="center"/>
          </w:tcPr>
          <w:p w14:paraId="7CD97747">
            <w:pPr>
              <w:pStyle w:val="32"/>
              <w:rPr>
                <w:rFonts w:cs="Times New Roman"/>
              </w:rPr>
            </w:pPr>
            <w:r>
              <w:rPr>
                <w:rFonts w:cs="Times New Roman"/>
              </w:rPr>
              <w:t>厨房泔水和隔油池废油</w:t>
            </w:r>
          </w:p>
        </w:tc>
        <w:tc>
          <w:tcPr>
            <w:tcW w:w="2126" w:type="dxa"/>
            <w:gridSpan w:val="2"/>
            <w:shd w:val="clear" w:color="auto" w:fill="auto"/>
            <w:vAlign w:val="center"/>
          </w:tcPr>
          <w:p w14:paraId="2CC99DD9">
            <w:pPr>
              <w:pStyle w:val="52"/>
              <w:rPr>
                <w:color w:val="auto"/>
              </w:rPr>
            </w:pPr>
            <w:r>
              <w:rPr>
                <w:color w:val="auto"/>
              </w:rPr>
              <w:t>2.4t/a</w:t>
            </w:r>
          </w:p>
        </w:tc>
        <w:tc>
          <w:tcPr>
            <w:tcW w:w="2754" w:type="dxa"/>
            <w:gridSpan w:val="2"/>
            <w:shd w:val="clear" w:color="auto" w:fill="auto"/>
            <w:vAlign w:val="center"/>
          </w:tcPr>
          <w:p w14:paraId="2EF7558A">
            <w:pPr>
              <w:pStyle w:val="32"/>
              <w:rPr>
                <w:rFonts w:cs="Times New Roman"/>
              </w:rPr>
            </w:pPr>
            <w:r>
              <w:rPr>
                <w:rFonts w:cs="Times New Roman"/>
              </w:rPr>
              <w:t>0</w:t>
            </w:r>
          </w:p>
        </w:tc>
      </w:tr>
      <w:tr w14:paraId="484B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B3D3CDC">
            <w:pPr>
              <w:pStyle w:val="32"/>
              <w:rPr>
                <w:rFonts w:cs="Times New Roman"/>
              </w:rPr>
            </w:pPr>
          </w:p>
        </w:tc>
        <w:tc>
          <w:tcPr>
            <w:tcW w:w="851" w:type="dxa"/>
            <w:vMerge w:val="continue"/>
            <w:vAlign w:val="center"/>
          </w:tcPr>
          <w:p w14:paraId="3FF47D68">
            <w:pPr>
              <w:pStyle w:val="32"/>
              <w:rPr>
                <w:rFonts w:cs="Times New Roman"/>
              </w:rPr>
            </w:pPr>
          </w:p>
        </w:tc>
        <w:tc>
          <w:tcPr>
            <w:tcW w:w="1781" w:type="dxa"/>
            <w:vMerge w:val="continue"/>
            <w:vAlign w:val="center"/>
          </w:tcPr>
          <w:p w14:paraId="73F67722">
            <w:pPr>
              <w:pStyle w:val="32"/>
              <w:rPr>
                <w:rFonts w:cs="Times New Roman"/>
              </w:rPr>
            </w:pPr>
          </w:p>
        </w:tc>
        <w:tc>
          <w:tcPr>
            <w:tcW w:w="1560" w:type="dxa"/>
            <w:vAlign w:val="center"/>
          </w:tcPr>
          <w:p w14:paraId="519E8E67">
            <w:pPr>
              <w:pStyle w:val="32"/>
              <w:rPr>
                <w:rFonts w:cs="Times New Roman"/>
              </w:rPr>
            </w:pPr>
            <w:r>
              <w:rPr>
                <w:rFonts w:cs="Times New Roman"/>
              </w:rPr>
              <w:t>机修废油</w:t>
            </w:r>
          </w:p>
        </w:tc>
        <w:tc>
          <w:tcPr>
            <w:tcW w:w="2126" w:type="dxa"/>
            <w:gridSpan w:val="2"/>
            <w:shd w:val="clear" w:color="auto" w:fill="auto"/>
            <w:vAlign w:val="center"/>
          </w:tcPr>
          <w:p w14:paraId="6068DBBD">
            <w:pPr>
              <w:pStyle w:val="52"/>
              <w:rPr>
                <w:color w:val="auto"/>
              </w:rPr>
            </w:pPr>
            <w:r>
              <w:rPr>
                <w:color w:val="auto"/>
              </w:rPr>
              <w:t>0.03t/a</w:t>
            </w:r>
          </w:p>
        </w:tc>
        <w:tc>
          <w:tcPr>
            <w:tcW w:w="2754" w:type="dxa"/>
            <w:gridSpan w:val="2"/>
            <w:shd w:val="clear" w:color="auto" w:fill="auto"/>
            <w:vAlign w:val="center"/>
          </w:tcPr>
          <w:p w14:paraId="5605F2B6">
            <w:pPr>
              <w:pStyle w:val="32"/>
              <w:rPr>
                <w:rFonts w:cs="Times New Roman"/>
              </w:rPr>
            </w:pPr>
            <w:r>
              <w:rPr>
                <w:rFonts w:cs="Times New Roman"/>
              </w:rPr>
              <w:t>0</w:t>
            </w:r>
          </w:p>
        </w:tc>
      </w:tr>
      <w:tr w14:paraId="5EC7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2909E263">
            <w:pPr>
              <w:pStyle w:val="32"/>
              <w:rPr>
                <w:rFonts w:cs="Times New Roman"/>
              </w:rPr>
            </w:pPr>
            <w:r>
              <w:rPr>
                <w:rFonts w:cs="Times New Roman"/>
              </w:rPr>
              <w:t>噪</w:t>
            </w:r>
          </w:p>
          <w:p w14:paraId="69447264">
            <w:pPr>
              <w:pStyle w:val="32"/>
              <w:rPr>
                <w:rFonts w:cs="Times New Roman"/>
              </w:rPr>
            </w:pPr>
            <w:r>
              <w:rPr>
                <w:rFonts w:cs="Times New Roman"/>
              </w:rPr>
              <w:t>声</w:t>
            </w:r>
          </w:p>
        </w:tc>
        <w:tc>
          <w:tcPr>
            <w:tcW w:w="851" w:type="dxa"/>
            <w:vAlign w:val="center"/>
          </w:tcPr>
          <w:p w14:paraId="59A85177">
            <w:pPr>
              <w:pStyle w:val="32"/>
              <w:rPr>
                <w:rFonts w:cs="Times New Roman"/>
              </w:rPr>
            </w:pPr>
            <w:r>
              <w:rPr>
                <w:rFonts w:cs="Times New Roman"/>
              </w:rPr>
              <w:t>施工期</w:t>
            </w:r>
          </w:p>
        </w:tc>
        <w:tc>
          <w:tcPr>
            <w:tcW w:w="1781" w:type="dxa"/>
            <w:vAlign w:val="center"/>
          </w:tcPr>
          <w:p w14:paraId="644BD6D5">
            <w:pPr>
              <w:pStyle w:val="32"/>
              <w:rPr>
                <w:rFonts w:cs="Times New Roman"/>
              </w:rPr>
            </w:pPr>
            <w:r>
              <w:rPr>
                <w:rFonts w:cs="Times New Roman"/>
                <w:szCs w:val="21"/>
              </w:rPr>
              <w:t>施工机械、运输车辆</w:t>
            </w:r>
          </w:p>
        </w:tc>
        <w:tc>
          <w:tcPr>
            <w:tcW w:w="1560" w:type="dxa"/>
            <w:vAlign w:val="center"/>
          </w:tcPr>
          <w:p w14:paraId="0B77A53A">
            <w:pPr>
              <w:pStyle w:val="32"/>
              <w:rPr>
                <w:rFonts w:cs="Times New Roman"/>
              </w:rPr>
            </w:pPr>
            <w:r>
              <w:rPr>
                <w:rFonts w:cs="Times New Roman"/>
                <w:szCs w:val="21"/>
              </w:rPr>
              <w:t>噪声</w:t>
            </w:r>
          </w:p>
        </w:tc>
        <w:tc>
          <w:tcPr>
            <w:tcW w:w="2126" w:type="dxa"/>
            <w:gridSpan w:val="2"/>
            <w:shd w:val="clear" w:color="auto" w:fill="auto"/>
            <w:vAlign w:val="center"/>
          </w:tcPr>
          <w:p w14:paraId="4A09AC23">
            <w:pPr>
              <w:pStyle w:val="32"/>
              <w:rPr>
                <w:rFonts w:cs="Times New Roman"/>
              </w:rPr>
            </w:pPr>
            <w:r>
              <w:rPr>
                <w:rFonts w:cs="Times New Roman"/>
              </w:rPr>
              <w:t>70-95 dB（A</w:t>
            </w:r>
          </w:p>
        </w:tc>
        <w:tc>
          <w:tcPr>
            <w:tcW w:w="2754" w:type="dxa"/>
            <w:gridSpan w:val="2"/>
            <w:shd w:val="clear" w:color="auto" w:fill="auto"/>
            <w:vAlign w:val="center"/>
          </w:tcPr>
          <w:p w14:paraId="71B55C93">
            <w:pPr>
              <w:pStyle w:val="32"/>
              <w:rPr>
                <w:rFonts w:cs="Times New Roman"/>
              </w:rPr>
            </w:pPr>
            <w:r>
              <w:rPr>
                <w:rFonts w:cs="Times New Roman"/>
              </w:rPr>
              <w:t>《建筑施工场界环境噪声排放标准》（GB12523-2011），昼间≤70dB（A），夜间≤55dB（A）</w:t>
            </w:r>
          </w:p>
        </w:tc>
      </w:tr>
      <w:tr w14:paraId="7E04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3ED53130">
            <w:pPr>
              <w:pStyle w:val="32"/>
              <w:rPr>
                <w:rFonts w:cs="Times New Roman"/>
              </w:rPr>
            </w:pPr>
          </w:p>
        </w:tc>
        <w:tc>
          <w:tcPr>
            <w:tcW w:w="851" w:type="dxa"/>
            <w:vAlign w:val="center"/>
          </w:tcPr>
          <w:p w14:paraId="07DF832C">
            <w:pPr>
              <w:pStyle w:val="32"/>
              <w:rPr>
                <w:rFonts w:cs="Times New Roman"/>
              </w:rPr>
            </w:pPr>
            <w:r>
              <w:rPr>
                <w:rFonts w:cs="Times New Roman"/>
              </w:rPr>
              <w:t>运营期</w:t>
            </w:r>
          </w:p>
        </w:tc>
        <w:tc>
          <w:tcPr>
            <w:tcW w:w="1781" w:type="dxa"/>
            <w:vAlign w:val="center"/>
          </w:tcPr>
          <w:p w14:paraId="68FFA716">
            <w:pPr>
              <w:pStyle w:val="32"/>
              <w:rPr>
                <w:rFonts w:cs="Times New Roman"/>
              </w:rPr>
            </w:pPr>
            <w:r>
              <w:rPr>
                <w:rFonts w:cs="Times New Roman"/>
              </w:rPr>
              <w:t>设备运行</w:t>
            </w:r>
          </w:p>
        </w:tc>
        <w:tc>
          <w:tcPr>
            <w:tcW w:w="1560" w:type="dxa"/>
            <w:vAlign w:val="center"/>
          </w:tcPr>
          <w:p w14:paraId="418CAC2D">
            <w:pPr>
              <w:pStyle w:val="32"/>
              <w:rPr>
                <w:rFonts w:cs="Times New Roman"/>
              </w:rPr>
            </w:pPr>
            <w:r>
              <w:rPr>
                <w:rFonts w:cs="Times New Roman"/>
              </w:rPr>
              <w:t>噪声</w:t>
            </w:r>
          </w:p>
        </w:tc>
        <w:tc>
          <w:tcPr>
            <w:tcW w:w="2126" w:type="dxa"/>
            <w:gridSpan w:val="2"/>
            <w:shd w:val="clear" w:color="auto" w:fill="auto"/>
            <w:vAlign w:val="center"/>
          </w:tcPr>
          <w:p w14:paraId="5CC637EC">
            <w:pPr>
              <w:pStyle w:val="32"/>
              <w:rPr>
                <w:rFonts w:cs="Times New Roman"/>
              </w:rPr>
            </w:pPr>
            <w:r>
              <w:rPr>
                <w:rFonts w:cs="Times New Roman"/>
              </w:rPr>
              <w:t>75～110dB(A)</w:t>
            </w:r>
          </w:p>
        </w:tc>
        <w:tc>
          <w:tcPr>
            <w:tcW w:w="2754" w:type="dxa"/>
            <w:gridSpan w:val="2"/>
            <w:shd w:val="clear" w:color="auto" w:fill="auto"/>
            <w:vAlign w:val="center"/>
          </w:tcPr>
          <w:p w14:paraId="66D7788E">
            <w:pPr>
              <w:pStyle w:val="32"/>
              <w:rPr>
                <w:rFonts w:cs="Times New Roman"/>
              </w:rPr>
            </w:pPr>
            <w:r>
              <w:rPr>
                <w:rFonts w:cs="Times New Roman"/>
              </w:rPr>
              <w:t>达标排放</w:t>
            </w:r>
          </w:p>
        </w:tc>
      </w:tr>
      <w:tr w14:paraId="649C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87" w:type="dxa"/>
            <w:gridSpan w:val="8"/>
            <w:vAlign w:val="center"/>
          </w:tcPr>
          <w:p w14:paraId="66BC1936">
            <w:pPr>
              <w:ind w:firstLine="0" w:firstLineChars="0"/>
              <w:rPr>
                <w:rFonts w:cs="Times New Roman"/>
                <w:b/>
              </w:rPr>
            </w:pPr>
            <w:r>
              <w:rPr>
                <w:rFonts w:cs="Times New Roman"/>
                <w:b/>
              </w:rPr>
              <w:t>主要生态影响</w:t>
            </w:r>
          </w:p>
          <w:p w14:paraId="1D74316C">
            <w:pPr>
              <w:ind w:left="480" w:firstLine="0" w:firstLineChars="0"/>
              <w:rPr>
                <w:rFonts w:cs="Times New Roman"/>
              </w:rPr>
            </w:pPr>
            <w:r>
              <w:rPr>
                <w:rFonts w:cs="Times New Roman"/>
              </w:rPr>
              <w:t>（1）植被破坏</w:t>
            </w:r>
          </w:p>
          <w:p w14:paraId="23A4653D">
            <w:pPr>
              <w:ind w:firstLine="480"/>
              <w:rPr>
                <w:rFonts w:cs="Times New Roman"/>
              </w:rPr>
            </w:pPr>
            <w:r>
              <w:rPr>
                <w:rFonts w:cs="Times New Roman"/>
              </w:rPr>
              <w:t>矿石的开采会对植被产生一定的影响。随着植被的破坏以及矿区开采、机械设备运转、运输等人为干扰对工程区栖息动物也会产生影响。</w:t>
            </w:r>
          </w:p>
          <w:p w14:paraId="6DE54194">
            <w:pPr>
              <w:ind w:firstLine="480"/>
              <w:rPr>
                <w:rFonts w:cs="Times New Roman"/>
              </w:rPr>
            </w:pPr>
            <w:r>
              <w:rPr>
                <w:rFonts w:cs="Times New Roman"/>
              </w:rPr>
              <w:t>（2）占地</w:t>
            </w:r>
          </w:p>
          <w:p w14:paraId="7E2ADEC3">
            <w:pPr>
              <w:ind w:firstLine="480"/>
              <w:rPr>
                <w:rFonts w:cs="Times New Roman"/>
              </w:rPr>
            </w:pPr>
            <w:r>
              <w:rPr>
                <w:rFonts w:cs="Times New Roman"/>
              </w:rPr>
              <w:t>项目总占地面积37.44hm</w:t>
            </w:r>
            <w:r>
              <w:rPr>
                <w:rFonts w:cs="Times New Roman"/>
                <w:vertAlign w:val="superscript"/>
              </w:rPr>
              <w:t>2</w:t>
            </w:r>
            <w:r>
              <w:rPr>
                <w:rFonts w:cs="Times New Roman"/>
              </w:rPr>
              <w:t>，</w:t>
            </w:r>
            <w:r>
              <w:rPr>
                <w:rFonts w:cs="Times New Roman"/>
                <w:bCs/>
              </w:rPr>
              <w:t>露天采</w:t>
            </w:r>
            <w:r>
              <w:rPr>
                <w:rFonts w:cs="Times New Roman"/>
                <w:bCs/>
                <w:szCs w:val="24"/>
              </w:rPr>
              <w:t>场面积</w:t>
            </w:r>
            <w:r>
              <w:rPr>
                <w:rFonts w:cs="Times New Roman"/>
              </w:rPr>
              <w:t>29.2hm</w:t>
            </w:r>
            <w:r>
              <w:rPr>
                <w:rFonts w:cs="Times New Roman"/>
                <w:vertAlign w:val="superscript"/>
              </w:rPr>
              <w:t>2</w:t>
            </w:r>
            <w:r>
              <w:rPr>
                <w:rFonts w:cs="Times New Roman"/>
              </w:rPr>
              <w:t>，项目的建设将会改变土地现有利用类型，破坏局部植被，对生态环境产生影响。</w:t>
            </w:r>
          </w:p>
          <w:p w14:paraId="38AB9BD9">
            <w:pPr>
              <w:ind w:firstLine="480"/>
              <w:rPr>
                <w:rFonts w:cs="Times New Roman"/>
              </w:rPr>
            </w:pPr>
          </w:p>
          <w:p w14:paraId="0B6FB36B">
            <w:pPr>
              <w:ind w:firstLine="480"/>
              <w:rPr>
                <w:rFonts w:cs="Times New Roman"/>
              </w:rPr>
            </w:pPr>
          </w:p>
          <w:p w14:paraId="357A7A7F">
            <w:pPr>
              <w:ind w:firstLine="480"/>
              <w:rPr>
                <w:rFonts w:cs="Times New Roman"/>
              </w:rPr>
            </w:pPr>
          </w:p>
          <w:p w14:paraId="56B7B668">
            <w:pPr>
              <w:ind w:firstLine="480"/>
              <w:rPr>
                <w:rFonts w:cs="Times New Roman"/>
              </w:rPr>
            </w:pPr>
          </w:p>
          <w:p w14:paraId="31D29DF7">
            <w:pPr>
              <w:ind w:firstLine="480"/>
              <w:rPr>
                <w:rFonts w:cs="Times New Roman"/>
              </w:rPr>
            </w:pPr>
          </w:p>
          <w:p w14:paraId="018F7A41">
            <w:pPr>
              <w:ind w:firstLine="480"/>
              <w:rPr>
                <w:rFonts w:cs="Times New Roman"/>
              </w:rPr>
            </w:pPr>
          </w:p>
          <w:p w14:paraId="4F28BC65">
            <w:pPr>
              <w:ind w:firstLine="480"/>
              <w:rPr>
                <w:rFonts w:cs="Times New Roman"/>
              </w:rPr>
            </w:pPr>
          </w:p>
          <w:p w14:paraId="4E73A83A">
            <w:pPr>
              <w:ind w:firstLine="480"/>
              <w:rPr>
                <w:rFonts w:cs="Times New Roman"/>
              </w:rPr>
            </w:pPr>
          </w:p>
          <w:p w14:paraId="61479A41">
            <w:pPr>
              <w:ind w:firstLine="480"/>
              <w:rPr>
                <w:rFonts w:cs="Times New Roman"/>
              </w:rPr>
            </w:pPr>
          </w:p>
          <w:p w14:paraId="1426EE69">
            <w:pPr>
              <w:ind w:firstLine="480"/>
              <w:rPr>
                <w:rFonts w:cs="Times New Roman"/>
              </w:rPr>
            </w:pPr>
          </w:p>
          <w:p w14:paraId="1DE76EFB">
            <w:pPr>
              <w:ind w:firstLine="480"/>
              <w:rPr>
                <w:rFonts w:cs="Times New Roman"/>
              </w:rPr>
            </w:pPr>
          </w:p>
          <w:p w14:paraId="4928E585">
            <w:pPr>
              <w:ind w:firstLine="480"/>
              <w:rPr>
                <w:rFonts w:cs="Times New Roman"/>
              </w:rPr>
            </w:pPr>
          </w:p>
          <w:p w14:paraId="4A4DFA30">
            <w:pPr>
              <w:ind w:firstLine="480"/>
              <w:rPr>
                <w:rFonts w:cs="Times New Roman"/>
              </w:rPr>
            </w:pPr>
          </w:p>
          <w:p w14:paraId="5AF2EA95">
            <w:pPr>
              <w:ind w:firstLine="480"/>
              <w:rPr>
                <w:rFonts w:cs="Times New Roman"/>
              </w:rPr>
            </w:pPr>
          </w:p>
          <w:p w14:paraId="04537C04">
            <w:pPr>
              <w:ind w:firstLine="480"/>
              <w:rPr>
                <w:rFonts w:cs="Times New Roman"/>
              </w:rPr>
            </w:pPr>
          </w:p>
          <w:p w14:paraId="1BD4B6CC">
            <w:pPr>
              <w:ind w:firstLine="480"/>
              <w:rPr>
                <w:rFonts w:cs="Times New Roman"/>
              </w:rPr>
            </w:pPr>
          </w:p>
          <w:p w14:paraId="32A2563B">
            <w:pPr>
              <w:ind w:firstLine="480"/>
              <w:rPr>
                <w:rFonts w:cs="Times New Roman"/>
              </w:rPr>
            </w:pPr>
          </w:p>
          <w:p w14:paraId="72E4568B">
            <w:pPr>
              <w:ind w:firstLine="480"/>
              <w:rPr>
                <w:rFonts w:cs="Times New Roman"/>
              </w:rPr>
            </w:pPr>
          </w:p>
          <w:p w14:paraId="6CAAF7AD">
            <w:pPr>
              <w:ind w:firstLine="480"/>
              <w:rPr>
                <w:rFonts w:cs="Times New Roman"/>
              </w:rPr>
            </w:pPr>
          </w:p>
        </w:tc>
      </w:tr>
    </w:tbl>
    <w:p w14:paraId="660D2DA1">
      <w:pPr>
        <w:widowControl/>
        <w:spacing w:line="240" w:lineRule="auto"/>
        <w:ind w:firstLine="0" w:firstLineChars="0"/>
        <w:rPr>
          <w:rFonts w:cs="Times New Roman"/>
        </w:rPr>
      </w:pPr>
      <w:r>
        <w:rPr>
          <w:rFonts w:cs="Times New Roman"/>
        </w:rPr>
        <w:br w:type="page"/>
      </w:r>
    </w:p>
    <w:p w14:paraId="55AEA9E1">
      <w:pPr>
        <w:pStyle w:val="3"/>
        <w:rPr>
          <w:rFonts w:cs="Times New Roman"/>
        </w:rPr>
      </w:pPr>
      <w:bookmarkStart w:id="39" w:name="_Toc480990437"/>
      <w:bookmarkStart w:id="40" w:name="_Toc509498237"/>
      <w:bookmarkStart w:id="41" w:name="_Toc480991557"/>
      <w:bookmarkStart w:id="42" w:name="_Toc509498036"/>
      <w:r>
        <w:rPr>
          <w:rFonts w:cs="Times New Roman"/>
        </w:rPr>
        <w:t>表七、环境影响分析</w:t>
      </w:r>
      <w:bookmarkEnd w:id="39"/>
      <w:bookmarkEnd w:id="40"/>
      <w:bookmarkEnd w:id="41"/>
      <w:bookmarkEnd w:id="42"/>
    </w:p>
    <w:tbl>
      <w:tblPr>
        <w:tblStyle w:val="22"/>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14:paraId="7EF1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5" w:hRule="atLeast"/>
        </w:trPr>
        <w:tc>
          <w:tcPr>
            <w:tcW w:w="9923" w:type="dxa"/>
          </w:tcPr>
          <w:p w14:paraId="2F4FEFA4">
            <w:pPr>
              <w:ind w:firstLine="0" w:firstLineChars="0"/>
              <w:rPr>
                <w:rFonts w:cs="Times New Roman"/>
                <w:b/>
              </w:rPr>
            </w:pPr>
            <w:r>
              <w:rPr>
                <w:rFonts w:cs="Times New Roman"/>
                <w:b/>
              </w:rPr>
              <w:t>一、产业政策符合性分析</w:t>
            </w:r>
          </w:p>
          <w:p w14:paraId="02C628F3">
            <w:pPr>
              <w:ind w:firstLine="480"/>
              <w:rPr>
                <w:rFonts w:cs="Times New Roman"/>
                <w:bCs/>
              </w:rPr>
            </w:pPr>
            <w:r>
              <w:rPr>
                <w:rFonts w:cs="Times New Roman"/>
              </w:rPr>
              <w:t>本项目不属于中华人民共和国国家发展和改革委员会令第9号《产业结构调整指导目录（2011年本）（2013年修正）》中的限制和淘汰类，为允许类建设项目，所采用的生产设备和生产工艺不属于限制类和淘汰类，符合现行国家有关产业政策</w:t>
            </w:r>
            <w:r>
              <w:rPr>
                <w:rFonts w:cs="Times New Roman"/>
                <w:bCs/>
              </w:rPr>
              <w:t>。</w:t>
            </w:r>
          </w:p>
          <w:p w14:paraId="1DF88753">
            <w:pPr>
              <w:ind w:firstLine="0" w:firstLineChars="0"/>
              <w:rPr>
                <w:rFonts w:cs="Times New Roman"/>
                <w:b/>
              </w:rPr>
            </w:pPr>
            <w:r>
              <w:rPr>
                <w:rFonts w:cs="Times New Roman"/>
                <w:b/>
              </w:rPr>
              <w:t>二、规划符合性分析</w:t>
            </w:r>
          </w:p>
          <w:p w14:paraId="20578FA1">
            <w:pPr>
              <w:ind w:firstLine="480"/>
              <w:rPr>
                <w:rFonts w:cs="Times New Roman"/>
              </w:rPr>
            </w:pPr>
            <w:r>
              <w:rPr>
                <w:rFonts w:cs="Times New Roman"/>
              </w:rPr>
              <w:t>1、与《矿山生态环境保护与污染防治技术政策》（环发【2005】109）符合性分析</w:t>
            </w:r>
          </w:p>
          <w:p w14:paraId="0A8834AC">
            <w:pPr>
              <w:ind w:firstLine="480"/>
              <w:rPr>
                <w:rFonts w:cs="Times New Roman"/>
              </w:rPr>
            </w:pPr>
            <w:r>
              <w:rPr>
                <w:rFonts w:cs="Times New Roman"/>
              </w:rPr>
              <w:t>本项目与《矿山生态环境保护与污染防治技术政策》（环发【2005】109）符合性分析详见表 7-1。</w:t>
            </w:r>
          </w:p>
          <w:p w14:paraId="493A12D2">
            <w:pPr>
              <w:pStyle w:val="31"/>
              <w:rPr>
                <w:rFonts w:cs="Times New Roman"/>
              </w:rPr>
            </w:pPr>
            <w:r>
              <w:rPr>
                <w:rFonts w:cs="Times New Roman"/>
              </w:rPr>
              <w:t>表7-1  本项目与《矿山生态环境保护与污染防治技术政策》要求对比表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4561"/>
              <w:gridCol w:w="3828"/>
              <w:gridCol w:w="822"/>
            </w:tblGrid>
            <w:tr w14:paraId="2134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1F489B62">
                  <w:pPr>
                    <w:pStyle w:val="32"/>
                    <w:rPr>
                      <w:rFonts w:cs="Times New Roman"/>
                    </w:rPr>
                  </w:pPr>
                  <w:r>
                    <w:rPr>
                      <w:rFonts w:cs="Times New Roman"/>
                    </w:rPr>
                    <w:t>序号</w:t>
                  </w:r>
                </w:p>
              </w:tc>
              <w:tc>
                <w:tcPr>
                  <w:tcW w:w="4561" w:type="dxa"/>
                  <w:vAlign w:val="center"/>
                </w:tcPr>
                <w:p w14:paraId="6414295C">
                  <w:pPr>
                    <w:pStyle w:val="32"/>
                    <w:rPr>
                      <w:rFonts w:cs="Times New Roman"/>
                    </w:rPr>
                  </w:pPr>
                  <w:r>
                    <w:rPr>
                      <w:rFonts w:cs="Times New Roman"/>
                      <w:kern w:val="0"/>
                    </w:rPr>
                    <w:t>《矿山生态环境保护与污染防治技术政策》</w:t>
                  </w:r>
                  <w:r>
                    <w:rPr>
                      <w:rFonts w:cs="Times New Roman"/>
                    </w:rPr>
                    <w:t>禁止的矿产资源开发活动</w:t>
                  </w:r>
                </w:p>
              </w:tc>
              <w:tc>
                <w:tcPr>
                  <w:tcW w:w="3828" w:type="dxa"/>
                  <w:vAlign w:val="center"/>
                </w:tcPr>
                <w:p w14:paraId="1532F337">
                  <w:pPr>
                    <w:pStyle w:val="32"/>
                    <w:rPr>
                      <w:rFonts w:cs="Times New Roman"/>
                    </w:rPr>
                  </w:pPr>
                  <w:r>
                    <w:rPr>
                      <w:rFonts w:cs="Times New Roman"/>
                    </w:rPr>
                    <w:t>本项目实际情况</w:t>
                  </w:r>
                </w:p>
              </w:tc>
              <w:tc>
                <w:tcPr>
                  <w:tcW w:w="822" w:type="dxa"/>
                  <w:vAlign w:val="center"/>
                </w:tcPr>
                <w:p w14:paraId="438AB77E">
                  <w:pPr>
                    <w:pStyle w:val="32"/>
                    <w:rPr>
                      <w:rFonts w:cs="Times New Roman"/>
                    </w:rPr>
                  </w:pPr>
                  <w:r>
                    <w:rPr>
                      <w:rFonts w:cs="Times New Roman"/>
                    </w:rPr>
                    <w:t>符合情况</w:t>
                  </w:r>
                </w:p>
              </w:tc>
            </w:tr>
            <w:tr w14:paraId="07AC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736B7C06">
                  <w:pPr>
                    <w:pStyle w:val="32"/>
                    <w:rPr>
                      <w:rFonts w:cs="Times New Roman"/>
                    </w:rPr>
                  </w:pPr>
                  <w:r>
                    <w:rPr>
                      <w:rFonts w:cs="Times New Roman"/>
                    </w:rPr>
                    <w:t>1</w:t>
                  </w:r>
                </w:p>
              </w:tc>
              <w:tc>
                <w:tcPr>
                  <w:tcW w:w="4561" w:type="dxa"/>
                  <w:vAlign w:val="center"/>
                </w:tcPr>
                <w:p w14:paraId="0D793D22">
                  <w:pPr>
                    <w:pStyle w:val="32"/>
                    <w:rPr>
                      <w:rFonts w:cs="Times New Roman"/>
                    </w:rPr>
                  </w:pPr>
                  <w:r>
                    <w:rPr>
                      <w:rFonts w:cs="Times New Roman"/>
                    </w:rPr>
                    <w:t>禁止在依法划定的自然保护区（核心区、缓冲区）、风景名胜区、森林公园、饮用水水源保护区、重要湖泊周边、文物古迹所在地、地质遗迹保护区、基本农田保护区等区域内采矿。</w:t>
                  </w:r>
                </w:p>
              </w:tc>
              <w:tc>
                <w:tcPr>
                  <w:tcW w:w="3828" w:type="dxa"/>
                  <w:vAlign w:val="center"/>
                </w:tcPr>
                <w:p w14:paraId="61E097BC">
                  <w:pPr>
                    <w:pStyle w:val="32"/>
                    <w:rPr>
                      <w:rFonts w:cs="Times New Roman"/>
                    </w:rPr>
                  </w:pPr>
                  <w:r>
                    <w:rPr>
                      <w:rFonts w:cs="Times New Roman"/>
                    </w:rPr>
                    <w:t>本项目所在区域不属于自然保护区（核心区、缓冲区）、风景名胜区、森林公园、饮用水水源保护区、重要湖泊周边、文物古迹所在地、地质遗迹保护区、基本农田保护区等区域。</w:t>
                  </w:r>
                </w:p>
              </w:tc>
              <w:tc>
                <w:tcPr>
                  <w:tcW w:w="822" w:type="dxa"/>
                  <w:vAlign w:val="center"/>
                </w:tcPr>
                <w:p w14:paraId="00660832">
                  <w:pPr>
                    <w:pStyle w:val="32"/>
                    <w:rPr>
                      <w:rFonts w:cs="Times New Roman"/>
                    </w:rPr>
                  </w:pPr>
                  <w:r>
                    <w:rPr>
                      <w:rFonts w:cs="Times New Roman"/>
                    </w:rPr>
                    <w:t>符合</w:t>
                  </w:r>
                </w:p>
              </w:tc>
            </w:tr>
            <w:tr w14:paraId="794D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52BC269F">
                  <w:pPr>
                    <w:pStyle w:val="32"/>
                    <w:rPr>
                      <w:rFonts w:cs="Times New Roman"/>
                    </w:rPr>
                  </w:pPr>
                  <w:r>
                    <w:rPr>
                      <w:rFonts w:cs="Times New Roman"/>
                    </w:rPr>
                    <w:t>2</w:t>
                  </w:r>
                </w:p>
              </w:tc>
              <w:tc>
                <w:tcPr>
                  <w:tcW w:w="4561" w:type="dxa"/>
                  <w:vAlign w:val="center"/>
                </w:tcPr>
                <w:p w14:paraId="75B18A62">
                  <w:pPr>
                    <w:pStyle w:val="32"/>
                    <w:rPr>
                      <w:rFonts w:cs="Times New Roman"/>
                    </w:rPr>
                  </w:pPr>
                  <w:r>
                    <w:rPr>
                      <w:rFonts w:cs="Times New Roman"/>
                    </w:rPr>
                    <w:t>禁止在铁路、国道、省道两侧的直观可视范围内进行露天开采。</w:t>
                  </w:r>
                </w:p>
              </w:tc>
              <w:tc>
                <w:tcPr>
                  <w:tcW w:w="3828" w:type="dxa"/>
                  <w:vAlign w:val="center"/>
                </w:tcPr>
                <w:p w14:paraId="1C15D33A">
                  <w:pPr>
                    <w:pStyle w:val="32"/>
                    <w:rPr>
                      <w:rFonts w:cs="Times New Roman"/>
                    </w:rPr>
                  </w:pPr>
                  <w:r>
                    <w:rPr>
                      <w:rFonts w:cs="Times New Roman"/>
                    </w:rPr>
                    <w:t>项目未处于铁路、国道、省道两侧的直观可视范围。</w:t>
                  </w:r>
                </w:p>
              </w:tc>
              <w:tc>
                <w:tcPr>
                  <w:tcW w:w="822" w:type="dxa"/>
                  <w:vAlign w:val="center"/>
                </w:tcPr>
                <w:p w14:paraId="3D5CAFE1">
                  <w:pPr>
                    <w:pStyle w:val="32"/>
                    <w:rPr>
                      <w:rFonts w:cs="Times New Roman"/>
                    </w:rPr>
                  </w:pPr>
                  <w:r>
                    <w:rPr>
                      <w:rFonts w:cs="Times New Roman"/>
                    </w:rPr>
                    <w:t>符合</w:t>
                  </w:r>
                </w:p>
              </w:tc>
            </w:tr>
            <w:tr w14:paraId="3483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882BAFF">
                  <w:pPr>
                    <w:pStyle w:val="32"/>
                    <w:rPr>
                      <w:rFonts w:cs="Times New Roman"/>
                    </w:rPr>
                  </w:pPr>
                  <w:r>
                    <w:rPr>
                      <w:rFonts w:cs="Times New Roman"/>
                    </w:rPr>
                    <w:t>3</w:t>
                  </w:r>
                </w:p>
              </w:tc>
              <w:tc>
                <w:tcPr>
                  <w:tcW w:w="4561" w:type="dxa"/>
                  <w:vAlign w:val="center"/>
                </w:tcPr>
                <w:p w14:paraId="184B00B6">
                  <w:pPr>
                    <w:pStyle w:val="32"/>
                    <w:rPr>
                      <w:rFonts w:cs="Times New Roman"/>
                    </w:rPr>
                  </w:pPr>
                  <w:r>
                    <w:rPr>
                      <w:rFonts w:cs="Times New Roman"/>
                    </w:rPr>
                    <w:t>禁止在地质灾害危险区开采矿产资源。</w:t>
                  </w:r>
                </w:p>
              </w:tc>
              <w:tc>
                <w:tcPr>
                  <w:tcW w:w="3828" w:type="dxa"/>
                  <w:vAlign w:val="center"/>
                </w:tcPr>
                <w:p w14:paraId="77B7BA82">
                  <w:pPr>
                    <w:pStyle w:val="32"/>
                    <w:rPr>
                      <w:rFonts w:cs="Times New Roman"/>
                    </w:rPr>
                  </w:pPr>
                  <w:r>
                    <w:rPr>
                      <w:rFonts w:cs="Times New Roman"/>
                    </w:rPr>
                    <w:t>项目区内矿山地质环境条件较好，不属于地质灾害危险区。</w:t>
                  </w:r>
                </w:p>
              </w:tc>
              <w:tc>
                <w:tcPr>
                  <w:tcW w:w="822" w:type="dxa"/>
                  <w:vAlign w:val="center"/>
                </w:tcPr>
                <w:p w14:paraId="3D2978E3">
                  <w:pPr>
                    <w:pStyle w:val="32"/>
                    <w:rPr>
                      <w:rFonts w:cs="Times New Roman"/>
                    </w:rPr>
                  </w:pPr>
                  <w:r>
                    <w:rPr>
                      <w:rFonts w:cs="Times New Roman"/>
                    </w:rPr>
                    <w:t>符合</w:t>
                  </w:r>
                </w:p>
              </w:tc>
            </w:tr>
            <w:tr w14:paraId="3055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7D3AA2AB">
                  <w:pPr>
                    <w:pStyle w:val="32"/>
                    <w:rPr>
                      <w:rFonts w:cs="Times New Roman"/>
                    </w:rPr>
                  </w:pPr>
                  <w:r>
                    <w:rPr>
                      <w:rFonts w:cs="Times New Roman"/>
                    </w:rPr>
                    <w:t>4</w:t>
                  </w:r>
                </w:p>
              </w:tc>
              <w:tc>
                <w:tcPr>
                  <w:tcW w:w="4561" w:type="dxa"/>
                  <w:vAlign w:val="center"/>
                </w:tcPr>
                <w:p w14:paraId="2C69B8A7">
                  <w:pPr>
                    <w:pStyle w:val="32"/>
                    <w:rPr>
                      <w:rFonts w:cs="Times New Roman"/>
                    </w:rPr>
                  </w:pPr>
                  <w:r>
                    <w:rPr>
                      <w:rFonts w:cs="Times New Roman"/>
                    </w:rPr>
                    <w:t>禁止土法采、选冶金矿和土法冶炼汞、砷、铅、锌、焦、硫、钒等矿产资源开发活动。</w:t>
                  </w:r>
                </w:p>
              </w:tc>
              <w:tc>
                <w:tcPr>
                  <w:tcW w:w="3828" w:type="dxa"/>
                  <w:vAlign w:val="center"/>
                </w:tcPr>
                <w:p w14:paraId="6D67DE1D">
                  <w:pPr>
                    <w:pStyle w:val="32"/>
                    <w:rPr>
                      <w:rFonts w:cs="Times New Roman"/>
                    </w:rPr>
                  </w:pPr>
                  <w:r>
                    <w:rPr>
                      <w:rFonts w:cs="Times New Roman"/>
                    </w:rPr>
                    <w:t>本项目开采的矿产资源为水泥、建筑石料用灰岩矿。</w:t>
                  </w:r>
                </w:p>
              </w:tc>
              <w:tc>
                <w:tcPr>
                  <w:tcW w:w="822" w:type="dxa"/>
                  <w:vAlign w:val="center"/>
                </w:tcPr>
                <w:p w14:paraId="0E37A1A0">
                  <w:pPr>
                    <w:pStyle w:val="32"/>
                    <w:rPr>
                      <w:rFonts w:cs="Times New Roman"/>
                    </w:rPr>
                  </w:pPr>
                  <w:r>
                    <w:rPr>
                      <w:rFonts w:cs="Times New Roman"/>
                    </w:rPr>
                    <w:t>符合</w:t>
                  </w:r>
                </w:p>
              </w:tc>
            </w:tr>
            <w:tr w14:paraId="0F4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2000FD8">
                  <w:pPr>
                    <w:pStyle w:val="32"/>
                    <w:rPr>
                      <w:rFonts w:cs="Times New Roman"/>
                    </w:rPr>
                  </w:pPr>
                  <w:r>
                    <w:rPr>
                      <w:rFonts w:cs="Times New Roman"/>
                    </w:rPr>
                    <w:t>5</w:t>
                  </w:r>
                </w:p>
              </w:tc>
              <w:tc>
                <w:tcPr>
                  <w:tcW w:w="4561" w:type="dxa"/>
                  <w:vAlign w:val="center"/>
                </w:tcPr>
                <w:p w14:paraId="08E35E73">
                  <w:pPr>
                    <w:pStyle w:val="32"/>
                    <w:rPr>
                      <w:rFonts w:cs="Times New Roman"/>
                    </w:rPr>
                  </w:pPr>
                  <w:r>
                    <w:rPr>
                      <w:rFonts w:cs="Times New Roman"/>
                    </w:rPr>
                    <w:t>禁止</w:t>
                  </w:r>
                  <w:r>
                    <w:rPr>
                      <w:rFonts w:hint="eastAsia" w:cs="Times New Roman"/>
                    </w:rPr>
                    <w:t>新</w:t>
                  </w:r>
                  <w:r>
                    <w:rPr>
                      <w:rFonts w:cs="Times New Roman"/>
                    </w:rPr>
                    <w:t>建对生态环境产生不可恢复利用的、产生破坏性影响的矿产资源开发项目。</w:t>
                  </w:r>
                </w:p>
              </w:tc>
              <w:tc>
                <w:tcPr>
                  <w:tcW w:w="3828" w:type="dxa"/>
                  <w:vAlign w:val="center"/>
                </w:tcPr>
                <w:p w14:paraId="5ED43CEE">
                  <w:pPr>
                    <w:pStyle w:val="32"/>
                    <w:rPr>
                      <w:rFonts w:cs="Times New Roman"/>
                    </w:rPr>
                  </w:pPr>
                  <w:r>
                    <w:rPr>
                      <w:rFonts w:cs="Times New Roman"/>
                    </w:rPr>
                    <w:t>本项目的建设实行边开发边进行植被恢复治理，对生态环境影响较小。</w:t>
                  </w:r>
                </w:p>
              </w:tc>
              <w:tc>
                <w:tcPr>
                  <w:tcW w:w="822" w:type="dxa"/>
                  <w:vAlign w:val="center"/>
                </w:tcPr>
                <w:p w14:paraId="1A8AEB37">
                  <w:pPr>
                    <w:pStyle w:val="32"/>
                    <w:rPr>
                      <w:rFonts w:cs="Times New Roman"/>
                    </w:rPr>
                  </w:pPr>
                  <w:r>
                    <w:rPr>
                      <w:rFonts w:cs="Times New Roman"/>
                    </w:rPr>
                    <w:t>符合</w:t>
                  </w:r>
                </w:p>
              </w:tc>
            </w:tr>
            <w:tr w14:paraId="2972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60DBC43D">
                  <w:pPr>
                    <w:pStyle w:val="32"/>
                    <w:rPr>
                      <w:rFonts w:cs="Times New Roman"/>
                    </w:rPr>
                  </w:pPr>
                  <w:r>
                    <w:rPr>
                      <w:rFonts w:cs="Times New Roman"/>
                    </w:rPr>
                    <w:t>6</w:t>
                  </w:r>
                </w:p>
              </w:tc>
              <w:tc>
                <w:tcPr>
                  <w:tcW w:w="4561" w:type="dxa"/>
                  <w:vAlign w:val="center"/>
                </w:tcPr>
                <w:p w14:paraId="34C85B0E">
                  <w:pPr>
                    <w:pStyle w:val="32"/>
                    <w:rPr>
                      <w:rFonts w:cs="Times New Roman"/>
                    </w:rPr>
                  </w:pPr>
                  <w:r>
                    <w:rPr>
                      <w:rFonts w:cs="Times New Roman"/>
                    </w:rPr>
                    <w:t>禁止新建煤层含硫量大于3%的煤矿。</w:t>
                  </w:r>
                </w:p>
              </w:tc>
              <w:tc>
                <w:tcPr>
                  <w:tcW w:w="3828" w:type="dxa"/>
                  <w:vAlign w:val="center"/>
                </w:tcPr>
                <w:p w14:paraId="2970A4C9">
                  <w:pPr>
                    <w:pStyle w:val="32"/>
                    <w:rPr>
                      <w:rFonts w:cs="Times New Roman"/>
                    </w:rPr>
                  </w:pPr>
                  <w:r>
                    <w:rPr>
                      <w:rFonts w:cs="Times New Roman"/>
                    </w:rPr>
                    <w:t>本项目开采的矿产资源为石灰岩矿，不属于煤层含硫量大于3%的煤矿。</w:t>
                  </w:r>
                </w:p>
              </w:tc>
              <w:tc>
                <w:tcPr>
                  <w:tcW w:w="822" w:type="dxa"/>
                  <w:vAlign w:val="center"/>
                </w:tcPr>
                <w:p w14:paraId="11F5A940">
                  <w:pPr>
                    <w:pStyle w:val="32"/>
                    <w:rPr>
                      <w:rFonts w:cs="Times New Roman"/>
                    </w:rPr>
                  </w:pPr>
                  <w:r>
                    <w:rPr>
                      <w:rFonts w:cs="Times New Roman"/>
                    </w:rPr>
                    <w:t>符合</w:t>
                  </w:r>
                </w:p>
              </w:tc>
            </w:tr>
          </w:tbl>
          <w:p w14:paraId="78B0AA10">
            <w:pPr>
              <w:pStyle w:val="65"/>
              <w:ind w:firstLine="480"/>
            </w:pPr>
            <w:r>
              <w:t>从上表可以看出，本项目符合《矿山生态环境保护与污染防治技术政策》相关要求。</w:t>
            </w:r>
          </w:p>
          <w:p w14:paraId="258E379B">
            <w:pPr>
              <w:pStyle w:val="65"/>
              <w:ind w:firstLine="480"/>
            </w:pPr>
            <w:r>
              <w:t>2、与《云南省生态功能区划》符合性分析</w:t>
            </w:r>
          </w:p>
          <w:p w14:paraId="111A7622">
            <w:pPr>
              <w:ind w:firstLine="480"/>
              <w:rPr>
                <w:rFonts w:cs="Times New Roman"/>
              </w:rPr>
            </w:pPr>
            <w:r>
              <w:rPr>
                <w:rFonts w:cs="Times New Roman"/>
              </w:rPr>
              <w:t>根据《云南省生态功能区划》，项目区不属于</w:t>
            </w:r>
            <w:r>
              <w:rPr>
                <w:rFonts w:hint="eastAsia" w:ascii="宋体" w:hAnsi="宋体" w:cs="宋体"/>
                <w:snapToGrid w:val="0"/>
              </w:rPr>
              <w:t>Ⅰ</w:t>
            </w:r>
            <w:r>
              <w:rPr>
                <w:rFonts w:cs="Times New Roman"/>
                <w:snapToGrid w:val="0"/>
              </w:rPr>
              <w:t>季风热带北缘热带雨林生态区，</w:t>
            </w:r>
            <w:r>
              <w:rPr>
                <w:rFonts w:hint="eastAsia" w:ascii="宋体" w:hAnsi="宋体" w:cs="宋体"/>
                <w:snapToGrid w:val="0"/>
              </w:rPr>
              <w:t>Ⅰ</w:t>
            </w:r>
            <w:r>
              <w:rPr>
                <w:rFonts w:cs="Times New Roman"/>
                <w:snapToGrid w:val="0"/>
              </w:rPr>
              <w:t>3 滇西南中山宽谷半常绿季雨林生态亚区，</w:t>
            </w:r>
            <w:r>
              <w:rPr>
                <w:rFonts w:hint="eastAsia" w:ascii="宋体" w:hAnsi="宋体" w:cs="宋体"/>
                <w:snapToGrid w:val="0"/>
              </w:rPr>
              <w:t>Ⅰ</w:t>
            </w:r>
            <w:r>
              <w:rPr>
                <w:rFonts w:cs="Times New Roman"/>
                <w:snapToGrid w:val="0"/>
              </w:rPr>
              <w:t>3-1大盈江、南畹河下游中山丘陵农业生态功能区，</w:t>
            </w:r>
            <w:r>
              <w:rPr>
                <w:rFonts w:cs="Times New Roman"/>
              </w:rPr>
              <w:t>该生态区包括瑞丽、潞西，陇川，盈江、梁河以及龙陵县的南部地区，面积9332.67km</w:t>
            </w:r>
            <w:r>
              <w:rPr>
                <w:rFonts w:cs="Times New Roman"/>
                <w:vertAlign w:val="superscript"/>
              </w:rPr>
              <w:t>2</w:t>
            </w:r>
            <w:r>
              <w:rPr>
                <w:rFonts w:cs="Times New Roman"/>
              </w:rPr>
              <w:t>。本区生态系统特征主要为中山丘陵地貌为主，年降水量1400-1700毫米，地带性植被类型为季风常绿阔叶林。地带性土壤类型为赤红壤、红壤；主要生态问题是旅游业和不合理的热区开发带来的生态破坏；生态环境敏感性为</w:t>
            </w:r>
            <w:r>
              <w:rPr>
                <w:rFonts w:cs="Times New Roman"/>
                <w:snapToGrid w:val="0"/>
              </w:rPr>
              <w:t>生境高度敏感和极为敏感、土壤侵蚀极为敏感；</w:t>
            </w:r>
            <w:r>
              <w:rPr>
                <w:rFonts w:cs="Times New Roman"/>
              </w:rPr>
              <w:t>主要生态服务功能为发展生态农业和以蔗糖为主热带作物、以澳洲坚果和柠檬为主的热带经济林；</w:t>
            </w:r>
            <w:r>
              <w:rPr>
                <w:rFonts w:cs="Times New Roman"/>
                <w:snapToGrid w:val="0"/>
              </w:rPr>
              <w:t>保护措施与发展方向为保护农业生态环境，防止水土流失和旅游和边境贸易带来的环境污染，推行清洁生产，加强国际大通道的建设</w:t>
            </w:r>
            <w:r>
              <w:rPr>
                <w:rFonts w:cs="Times New Roman"/>
              </w:rPr>
              <w:t>。</w:t>
            </w:r>
          </w:p>
          <w:p w14:paraId="02C1EBC7">
            <w:pPr>
              <w:ind w:firstLine="480"/>
              <w:rPr>
                <w:rFonts w:cs="Times New Roman"/>
              </w:rPr>
            </w:pPr>
            <w:r>
              <w:rPr>
                <w:rFonts w:cs="Times New Roman"/>
              </w:rPr>
              <w:t>本项目实施边开采边进行植被恢复等措施，将本项目的建设对生态环境的影响降到最低程度，随着矿山开采结束和土地复垦，生态将逐步得到恢复，本项目发展方向与《云南省生态功能区划》要求相一致。</w:t>
            </w:r>
          </w:p>
          <w:p w14:paraId="0F10FDE7">
            <w:pPr>
              <w:ind w:firstLine="480"/>
              <w:rPr>
                <w:rFonts w:cs="Times New Roman"/>
              </w:rPr>
            </w:pPr>
            <w:r>
              <w:rPr>
                <w:rFonts w:cs="Times New Roman"/>
              </w:rPr>
              <w:t>3、与非煤矿山转型升级相关要求的符合性分析</w:t>
            </w:r>
          </w:p>
          <w:p w14:paraId="202E618E">
            <w:pPr>
              <w:ind w:firstLine="480"/>
              <w:rPr>
                <w:rFonts w:cs="Times New Roman"/>
              </w:rPr>
            </w:pPr>
            <w:r>
              <w:rPr>
                <w:rFonts w:cs="Times New Roman"/>
              </w:rPr>
              <w:t>根据云南省人民政府办公厅2015年6月1日印发的“云南省人民政府关于促进非煤矿山转型升级的实施意见云政发〔2015〕38号”，云南省已有的建筑用石料类（饰面板除外）矿山最小开采规模为10万吨。</w:t>
            </w:r>
          </w:p>
          <w:p w14:paraId="58200BE1">
            <w:pPr>
              <w:ind w:firstLine="480"/>
              <w:rPr>
                <w:rFonts w:cs="Times New Roman"/>
              </w:rPr>
            </w:pPr>
            <w:r>
              <w:rPr>
                <w:rFonts w:cs="Times New Roman"/>
              </w:rPr>
              <w:t>根据芒市人民政府2015年10月21日发布的“芒市人民政府办公室关于印发非煤矿山转型升级实施方案的通知（芒政办发〔2015〕166号），该矿山被列入改造升级类，且属于已有矿山。矿山改造升级后规模为60万吨/年，满足已有矿山最小开采规模（≥10万吨/a）的要求。</w:t>
            </w:r>
          </w:p>
          <w:p w14:paraId="58B22F81">
            <w:pPr>
              <w:ind w:firstLine="480"/>
              <w:rPr>
                <w:rFonts w:cs="Times New Roman"/>
              </w:rPr>
            </w:pPr>
            <w:r>
              <w:rPr>
                <w:rFonts w:cs="Times New Roman"/>
              </w:rPr>
              <w:t>4、“三线一单”符合性分析</w:t>
            </w:r>
          </w:p>
          <w:p w14:paraId="5E4452BE">
            <w:pPr>
              <w:ind w:firstLine="480"/>
              <w:rPr>
                <w:rFonts w:cs="Times New Roman"/>
              </w:rPr>
            </w:pPr>
            <w:r>
              <w:rPr>
                <w:rFonts w:cs="Times New Roman"/>
              </w:rPr>
              <w:t>本项目位于芒市风平镇户育村，矿区范围内不涉及自然保护区、饮用水源地保护区等生态保护目标。根据查询可知，本项目不在芒市生态保护红线范围内。</w:t>
            </w:r>
          </w:p>
          <w:p w14:paraId="1DD60489">
            <w:pPr>
              <w:ind w:firstLine="480"/>
              <w:jc w:val="both"/>
              <w:rPr>
                <w:rFonts w:cs="Times New Roman"/>
                <w:szCs w:val="24"/>
              </w:rPr>
            </w:pPr>
            <w:r>
              <w:rPr>
                <w:rFonts w:cs="Times New Roman"/>
                <w:szCs w:val="24"/>
              </w:rPr>
              <w:t>本项目与“三线一单”符合性分析</w:t>
            </w:r>
          </w:p>
          <w:p w14:paraId="7C13858D">
            <w:pPr>
              <w:adjustRightInd w:val="0"/>
              <w:snapToGrid w:val="0"/>
              <w:spacing w:line="240" w:lineRule="auto"/>
              <w:ind w:firstLine="0" w:firstLineChars="0"/>
              <w:jc w:val="center"/>
              <w:rPr>
                <w:rFonts w:cs="Times New Roman"/>
                <w:b/>
                <w:szCs w:val="20"/>
              </w:rPr>
            </w:pPr>
            <w:r>
              <w:rPr>
                <w:rFonts w:cs="Times New Roman"/>
                <w:b/>
                <w:szCs w:val="20"/>
              </w:rPr>
              <w:t>表7-2  “三线一单”符合性分析表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7023"/>
              <w:gridCol w:w="1028"/>
            </w:tblGrid>
            <w:tr w14:paraId="037D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49" w:type="pct"/>
                  <w:vAlign w:val="center"/>
                </w:tcPr>
                <w:p w14:paraId="3BDAE5CC">
                  <w:pPr>
                    <w:spacing w:line="240" w:lineRule="auto"/>
                    <w:ind w:firstLine="0" w:firstLineChars="0"/>
                    <w:jc w:val="center"/>
                    <w:rPr>
                      <w:rFonts w:cs="Times New Roman"/>
                      <w:b/>
                      <w:sz w:val="21"/>
                    </w:rPr>
                  </w:pPr>
                  <w:r>
                    <w:rPr>
                      <w:rFonts w:cs="Times New Roman"/>
                      <w:b/>
                      <w:sz w:val="21"/>
                    </w:rPr>
                    <w:t>“三线一单”</w:t>
                  </w:r>
                </w:p>
              </w:tc>
              <w:tc>
                <w:tcPr>
                  <w:tcW w:w="3621" w:type="pct"/>
                  <w:vAlign w:val="center"/>
                </w:tcPr>
                <w:p w14:paraId="44D30E94">
                  <w:pPr>
                    <w:spacing w:line="240" w:lineRule="auto"/>
                    <w:ind w:firstLine="0" w:firstLineChars="0"/>
                    <w:jc w:val="center"/>
                    <w:rPr>
                      <w:rFonts w:cs="Times New Roman"/>
                      <w:b/>
                      <w:sz w:val="21"/>
                    </w:rPr>
                  </w:pPr>
                  <w:r>
                    <w:rPr>
                      <w:rFonts w:cs="Times New Roman"/>
                      <w:b/>
                      <w:sz w:val="21"/>
                    </w:rPr>
                    <w:t>本项目情况</w:t>
                  </w:r>
                </w:p>
              </w:tc>
              <w:tc>
                <w:tcPr>
                  <w:tcW w:w="530" w:type="pct"/>
                  <w:vAlign w:val="center"/>
                </w:tcPr>
                <w:p w14:paraId="2FF99B5E">
                  <w:pPr>
                    <w:spacing w:line="240" w:lineRule="auto"/>
                    <w:ind w:firstLine="0" w:firstLineChars="0"/>
                    <w:jc w:val="center"/>
                    <w:rPr>
                      <w:rFonts w:cs="Times New Roman"/>
                      <w:b/>
                      <w:sz w:val="21"/>
                    </w:rPr>
                  </w:pPr>
                  <w:r>
                    <w:rPr>
                      <w:rFonts w:cs="Times New Roman"/>
                      <w:b/>
                      <w:sz w:val="21"/>
                    </w:rPr>
                    <w:t>符合性</w:t>
                  </w:r>
                </w:p>
              </w:tc>
            </w:tr>
            <w:tr w14:paraId="4B4F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9" w:type="pct"/>
                  <w:vAlign w:val="center"/>
                </w:tcPr>
                <w:p w14:paraId="1427338E">
                  <w:pPr>
                    <w:spacing w:line="240" w:lineRule="auto"/>
                    <w:ind w:firstLine="0" w:firstLineChars="0"/>
                    <w:jc w:val="center"/>
                    <w:rPr>
                      <w:rFonts w:cs="Times New Roman"/>
                      <w:sz w:val="21"/>
                    </w:rPr>
                  </w:pPr>
                  <w:r>
                    <w:rPr>
                      <w:rFonts w:cs="Times New Roman"/>
                      <w:sz w:val="21"/>
                    </w:rPr>
                    <w:t>生态保护红线</w:t>
                  </w:r>
                </w:p>
              </w:tc>
              <w:tc>
                <w:tcPr>
                  <w:tcW w:w="3621" w:type="pct"/>
                  <w:vAlign w:val="center"/>
                </w:tcPr>
                <w:p w14:paraId="404E6F2F">
                  <w:pPr>
                    <w:spacing w:line="240" w:lineRule="auto"/>
                    <w:ind w:firstLine="420"/>
                    <w:rPr>
                      <w:rFonts w:cs="Times New Roman"/>
                      <w:sz w:val="21"/>
                    </w:rPr>
                  </w:pPr>
                  <w:r>
                    <w:rPr>
                      <w:rFonts w:cs="Times New Roman"/>
                      <w:bCs/>
                      <w:sz w:val="21"/>
                    </w:rPr>
                    <w:t>根据芒市四维科技有限公司出具图纸</w:t>
                  </w:r>
                  <w:r>
                    <w:rPr>
                      <w:rFonts w:cs="Times New Roman"/>
                      <w:sz w:val="21"/>
                    </w:rPr>
                    <w:t>，项目所在区域无自然保护区、风景名胜区，不在生态保护红线管控范围内。</w:t>
                  </w:r>
                </w:p>
              </w:tc>
              <w:tc>
                <w:tcPr>
                  <w:tcW w:w="530" w:type="pct"/>
                  <w:vAlign w:val="center"/>
                </w:tcPr>
                <w:p w14:paraId="31E73E6F">
                  <w:pPr>
                    <w:spacing w:line="240" w:lineRule="auto"/>
                    <w:ind w:firstLine="0" w:firstLineChars="0"/>
                    <w:jc w:val="center"/>
                    <w:rPr>
                      <w:rFonts w:cs="Times New Roman"/>
                      <w:sz w:val="21"/>
                    </w:rPr>
                  </w:pPr>
                  <w:r>
                    <w:rPr>
                      <w:rFonts w:cs="Times New Roman"/>
                      <w:sz w:val="21"/>
                    </w:rPr>
                    <w:t>符合</w:t>
                  </w:r>
                </w:p>
              </w:tc>
            </w:tr>
            <w:tr w14:paraId="549F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49" w:type="pct"/>
                  <w:vAlign w:val="center"/>
                </w:tcPr>
                <w:p w14:paraId="15016D82">
                  <w:pPr>
                    <w:spacing w:line="240" w:lineRule="auto"/>
                    <w:ind w:firstLine="0" w:firstLineChars="0"/>
                    <w:jc w:val="center"/>
                    <w:rPr>
                      <w:rFonts w:cs="Times New Roman"/>
                      <w:sz w:val="21"/>
                    </w:rPr>
                  </w:pPr>
                  <w:r>
                    <w:rPr>
                      <w:rFonts w:cs="Times New Roman"/>
                      <w:sz w:val="21"/>
                    </w:rPr>
                    <w:t>环境质量底线</w:t>
                  </w:r>
                </w:p>
              </w:tc>
              <w:tc>
                <w:tcPr>
                  <w:tcW w:w="3621" w:type="pct"/>
                  <w:vAlign w:val="center"/>
                </w:tcPr>
                <w:p w14:paraId="76CB4AC3">
                  <w:pPr>
                    <w:spacing w:line="240" w:lineRule="auto"/>
                    <w:ind w:firstLine="420"/>
                    <w:rPr>
                      <w:rFonts w:cs="Times New Roman"/>
                      <w:sz w:val="21"/>
                    </w:rPr>
                  </w:pPr>
                  <w:r>
                    <w:rPr>
                      <w:rFonts w:cs="Times New Roman"/>
                      <w:sz w:val="21"/>
                    </w:rPr>
                    <w:t>项目采取先进的工艺和有效的环保措施，不会改变区域大气环境质量；项目无生产废水产生，生活污水统一收集委托清掏处理，不会改变区域地表水、地下水的功能。项目先期建设手续齐全，本项目的建设，符合芒市的环境质量底线要求。</w:t>
                  </w:r>
                </w:p>
              </w:tc>
              <w:tc>
                <w:tcPr>
                  <w:tcW w:w="530" w:type="pct"/>
                  <w:vAlign w:val="center"/>
                </w:tcPr>
                <w:p w14:paraId="775A4FFC">
                  <w:pPr>
                    <w:spacing w:line="240" w:lineRule="auto"/>
                    <w:ind w:firstLine="0" w:firstLineChars="0"/>
                    <w:jc w:val="center"/>
                    <w:rPr>
                      <w:rFonts w:cs="Times New Roman"/>
                      <w:sz w:val="21"/>
                    </w:rPr>
                  </w:pPr>
                  <w:r>
                    <w:rPr>
                      <w:rFonts w:cs="Times New Roman"/>
                      <w:sz w:val="21"/>
                    </w:rPr>
                    <w:t>符合</w:t>
                  </w:r>
                </w:p>
              </w:tc>
            </w:tr>
            <w:tr w14:paraId="3FC5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9" w:type="pct"/>
                  <w:vAlign w:val="center"/>
                </w:tcPr>
                <w:p w14:paraId="7BEE8346">
                  <w:pPr>
                    <w:spacing w:line="240" w:lineRule="auto"/>
                    <w:ind w:firstLine="0" w:firstLineChars="0"/>
                    <w:jc w:val="center"/>
                    <w:rPr>
                      <w:rFonts w:cs="Times New Roman"/>
                      <w:sz w:val="21"/>
                    </w:rPr>
                  </w:pPr>
                  <w:r>
                    <w:rPr>
                      <w:rFonts w:cs="Times New Roman"/>
                      <w:sz w:val="21"/>
                    </w:rPr>
                    <w:t>资源利用上线</w:t>
                  </w:r>
                </w:p>
              </w:tc>
              <w:tc>
                <w:tcPr>
                  <w:tcW w:w="3621" w:type="pct"/>
                  <w:vAlign w:val="center"/>
                </w:tcPr>
                <w:p w14:paraId="065C09EA">
                  <w:pPr>
                    <w:spacing w:line="240" w:lineRule="auto"/>
                    <w:ind w:firstLine="420"/>
                    <w:rPr>
                      <w:rFonts w:cs="Times New Roman"/>
                      <w:bCs/>
                      <w:sz w:val="21"/>
                    </w:rPr>
                  </w:pPr>
                  <w:r>
                    <w:rPr>
                      <w:rFonts w:cs="Times New Roman"/>
                      <w:sz w:val="21"/>
                    </w:rPr>
                    <w:t>根据芒市人民政府2015年10月21日发布的“芒市人民政府办公室关于印发非煤矿山转型升级实施方案的通知（芒政办发〔2015〕166号），该矿山被列入改造升级类，且属于已有矿山。矿山改造升级后规模为60万吨/年，满足已有矿山最小开采规模（≥10万吨/a）的要求</w:t>
                  </w:r>
                  <w:r>
                    <w:rPr>
                      <w:rFonts w:cs="Times New Roman"/>
                      <w:bCs/>
                      <w:sz w:val="21"/>
                    </w:rPr>
                    <w:t>。</w:t>
                  </w:r>
                </w:p>
                <w:p w14:paraId="0B1CCB75">
                  <w:pPr>
                    <w:spacing w:line="240" w:lineRule="auto"/>
                    <w:ind w:firstLine="420"/>
                    <w:rPr>
                      <w:rFonts w:cs="Times New Roman"/>
                      <w:sz w:val="21"/>
                    </w:rPr>
                  </w:pPr>
                  <w:r>
                    <w:rPr>
                      <w:rFonts w:cs="Times New Roman"/>
                      <w:bCs/>
                      <w:sz w:val="21"/>
                    </w:rPr>
                    <w:t>本项目营运过程中需消耗一定量的电及水资源，项目资源利用量相对区域资源总量较少，符合资源利用上线要求</w:t>
                  </w:r>
                </w:p>
              </w:tc>
              <w:tc>
                <w:tcPr>
                  <w:tcW w:w="530" w:type="pct"/>
                  <w:vAlign w:val="center"/>
                </w:tcPr>
                <w:p w14:paraId="61E1A6E3">
                  <w:pPr>
                    <w:spacing w:line="240" w:lineRule="auto"/>
                    <w:ind w:firstLine="0" w:firstLineChars="0"/>
                    <w:jc w:val="center"/>
                    <w:rPr>
                      <w:rFonts w:cs="Times New Roman"/>
                      <w:sz w:val="21"/>
                    </w:rPr>
                  </w:pPr>
                  <w:r>
                    <w:rPr>
                      <w:rFonts w:cs="Times New Roman"/>
                      <w:sz w:val="21"/>
                    </w:rPr>
                    <w:t>符合</w:t>
                  </w:r>
                </w:p>
              </w:tc>
            </w:tr>
            <w:tr w14:paraId="33FD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49" w:type="pct"/>
                  <w:vAlign w:val="center"/>
                </w:tcPr>
                <w:p w14:paraId="3D3255F8">
                  <w:pPr>
                    <w:spacing w:line="240" w:lineRule="auto"/>
                    <w:ind w:firstLine="0" w:firstLineChars="0"/>
                    <w:jc w:val="center"/>
                    <w:rPr>
                      <w:rFonts w:cs="Times New Roman"/>
                      <w:sz w:val="21"/>
                    </w:rPr>
                  </w:pPr>
                  <w:r>
                    <w:rPr>
                      <w:rFonts w:cs="Times New Roman"/>
                      <w:sz w:val="21"/>
                    </w:rPr>
                    <w:t>负面清单</w:t>
                  </w:r>
                </w:p>
              </w:tc>
              <w:tc>
                <w:tcPr>
                  <w:tcW w:w="3621" w:type="pct"/>
                  <w:vAlign w:val="center"/>
                </w:tcPr>
                <w:p w14:paraId="7457BA34">
                  <w:pPr>
                    <w:spacing w:line="240" w:lineRule="auto"/>
                    <w:ind w:firstLine="420"/>
                    <w:rPr>
                      <w:rFonts w:cs="Times New Roman"/>
                      <w:sz w:val="21"/>
                    </w:rPr>
                  </w:pPr>
                  <w:r>
                    <w:rPr>
                      <w:rFonts w:cs="Times New Roman"/>
                      <w:sz w:val="21"/>
                    </w:rPr>
                    <w:t>本项目属于粘土及其他土砂开采（B1019），属于允许类项目。</w:t>
                  </w:r>
                </w:p>
              </w:tc>
              <w:tc>
                <w:tcPr>
                  <w:tcW w:w="530" w:type="pct"/>
                  <w:vAlign w:val="center"/>
                </w:tcPr>
                <w:p w14:paraId="4445C504">
                  <w:pPr>
                    <w:spacing w:line="240" w:lineRule="auto"/>
                    <w:ind w:firstLine="0" w:firstLineChars="0"/>
                    <w:jc w:val="center"/>
                    <w:rPr>
                      <w:rFonts w:cs="Times New Roman"/>
                      <w:sz w:val="21"/>
                    </w:rPr>
                  </w:pPr>
                  <w:r>
                    <w:rPr>
                      <w:rFonts w:cs="Times New Roman"/>
                      <w:sz w:val="21"/>
                    </w:rPr>
                    <w:t>符合</w:t>
                  </w:r>
                </w:p>
              </w:tc>
            </w:tr>
          </w:tbl>
          <w:p w14:paraId="0E061560">
            <w:pPr>
              <w:ind w:firstLine="0" w:firstLineChars="0"/>
              <w:rPr>
                <w:rFonts w:cs="Times New Roman"/>
              </w:rPr>
            </w:pPr>
          </w:p>
          <w:p w14:paraId="6F4DFAE2">
            <w:pPr>
              <w:ind w:firstLine="0" w:firstLineChars="0"/>
              <w:rPr>
                <w:rFonts w:cs="Times New Roman"/>
                <w:b/>
              </w:rPr>
            </w:pPr>
            <w:r>
              <w:rPr>
                <w:rFonts w:cs="Times New Roman"/>
                <w:b/>
              </w:rPr>
              <w:t>三、选址合理性分析</w:t>
            </w:r>
          </w:p>
          <w:p w14:paraId="0F74D293">
            <w:pPr>
              <w:ind w:firstLine="480"/>
              <w:rPr>
                <w:rFonts w:cs="Times New Roman"/>
                <w:b/>
              </w:rPr>
            </w:pPr>
            <w:r>
              <w:rPr>
                <w:rFonts w:cs="Times New Roman"/>
              </w:rPr>
              <w:t>1、项目选址合理性分析</w:t>
            </w:r>
          </w:p>
          <w:p w14:paraId="6228DCD2">
            <w:pPr>
              <w:ind w:firstLine="480"/>
              <w:rPr>
                <w:rFonts w:cs="Times New Roman"/>
              </w:rPr>
            </w:pPr>
            <w:r>
              <w:rPr>
                <w:rFonts w:cs="Times New Roman"/>
              </w:rPr>
              <w:t>根据现场踏勘，本项目占地范围及矿区范围不涉及依法划定的自然保护区、风景名胜区、森林公园、饮用水水源保护区、重要湖泊周边、文物古迹所在地、地质遗迹保护区、基本农田保护区等区域。根据现场踏勘，项目区最近环境保护目标为采区</w:t>
            </w:r>
            <w:r>
              <w:rPr>
                <w:rFonts w:cs="Times New Roman"/>
                <w:color w:val="FF0000"/>
                <w:spacing w:val="-10"/>
              </w:rPr>
              <w:t>西南侧</w:t>
            </w:r>
            <w:r>
              <w:rPr>
                <w:rFonts w:hint="eastAsia" w:cs="Times New Roman"/>
                <w:color w:val="FF0000"/>
              </w:rPr>
              <w:t>8</w:t>
            </w:r>
            <w:r>
              <w:rPr>
                <w:rFonts w:cs="Times New Roman"/>
                <w:color w:val="FF0000"/>
              </w:rPr>
              <w:t>00m处</w:t>
            </w:r>
            <w:r>
              <w:rPr>
                <w:rFonts w:cs="Times New Roman"/>
              </w:rPr>
              <w:t>的</w:t>
            </w:r>
            <w:r>
              <w:rPr>
                <w:rFonts w:cs="Times New Roman"/>
                <w:snapToGrid w:val="0"/>
              </w:rPr>
              <w:t>芦姐萨</w:t>
            </w:r>
            <w:r>
              <w:rPr>
                <w:rFonts w:cs="Times New Roman"/>
              </w:rPr>
              <w:t>村，加工区则距离较远，项目运营期产生污染物对其影响不大。</w:t>
            </w:r>
          </w:p>
          <w:p w14:paraId="76BEAF3E">
            <w:pPr>
              <w:ind w:firstLine="480"/>
              <w:rPr>
                <w:rFonts w:cs="Times New Roman"/>
              </w:rPr>
            </w:pPr>
            <w:r>
              <w:rPr>
                <w:rFonts w:cs="Times New Roman"/>
              </w:rPr>
              <w:t>根据《矿业权涉及各类保护区及相关规划审查意见表》（详见附件），本项目已得到芒市林业局、芒市水利局、芒市</w:t>
            </w:r>
            <w:r>
              <w:rPr>
                <w:rFonts w:hint="eastAsia" w:cs="Times New Roman"/>
                <w:lang w:eastAsia="zh-CN"/>
              </w:rPr>
              <w:t>住房和城乡建设局</w:t>
            </w:r>
            <w:r>
              <w:rPr>
                <w:rFonts w:cs="Times New Roman"/>
              </w:rPr>
              <w:t>、芒市安全生产监督管理局、</w:t>
            </w:r>
            <w:r>
              <w:rPr>
                <w:rFonts w:cs="Times New Roman"/>
                <w:szCs w:val="28"/>
              </w:rPr>
              <w:t>芒市自然资源局</w:t>
            </w:r>
            <w:r>
              <w:rPr>
                <w:rFonts w:cs="Times New Roman"/>
              </w:rPr>
              <w:t>等的许可。由此可知，本项目建设已得到相关主管部门认可。</w:t>
            </w:r>
          </w:p>
          <w:p w14:paraId="08D4A871">
            <w:pPr>
              <w:ind w:firstLine="480"/>
              <w:rPr>
                <w:rFonts w:cs="Times New Roman"/>
              </w:rPr>
            </w:pPr>
            <w:r>
              <w:rPr>
                <w:rFonts w:cs="Times New Roman"/>
              </w:rPr>
              <w:t>综上，从环境保护角度，本项目的选址是合理的。</w:t>
            </w:r>
          </w:p>
          <w:p w14:paraId="3896DA97">
            <w:pPr>
              <w:autoSpaceDE w:val="0"/>
              <w:autoSpaceDN w:val="0"/>
              <w:adjustRightInd w:val="0"/>
              <w:ind w:firstLine="480"/>
              <w:rPr>
                <w:rFonts w:cs="Times New Roman"/>
              </w:rPr>
            </w:pPr>
            <w:r>
              <w:rPr>
                <w:rFonts w:cs="Times New Roman"/>
              </w:rPr>
              <w:t>2、弃渣场选址合理</w:t>
            </w:r>
          </w:p>
          <w:p w14:paraId="54CC07EB">
            <w:pPr>
              <w:ind w:firstLine="480"/>
              <w:rPr>
                <w:rFonts w:cs="Times New Roman"/>
              </w:rPr>
            </w:pPr>
            <w:r>
              <w:rPr>
                <w:rFonts w:cs="Times New Roman"/>
              </w:rPr>
              <w:t>项目区</w:t>
            </w:r>
            <w:r>
              <w:rPr>
                <w:rStyle w:val="59"/>
                <w:rFonts w:cs="Times New Roman"/>
              </w:rPr>
              <w:t>弃渣场</w:t>
            </w:r>
            <w:r>
              <w:rPr>
                <w:rFonts w:cs="Times New Roman"/>
              </w:rPr>
              <w:t>位于矿区西北侧，场内无溶洞及断层发育，地质条件良好。本项目产生的废土石为第</w:t>
            </w:r>
            <w:r>
              <w:rPr>
                <w:rFonts w:hint="eastAsia" w:ascii="宋体" w:hAnsi="宋体" w:cs="宋体"/>
              </w:rPr>
              <w:t>Ⅰ</w:t>
            </w:r>
            <w:r>
              <w:rPr>
                <w:rFonts w:cs="Times New Roman"/>
              </w:rPr>
              <w:t>类一般工业固体废物，本项目弃渣场的选址与《一般工业固体废物贮存、处置场污染控制标准》（GB18599-2001）中第</w:t>
            </w:r>
            <w:r>
              <w:rPr>
                <w:rFonts w:hint="eastAsia" w:ascii="宋体" w:hAnsi="宋体" w:cs="宋体"/>
              </w:rPr>
              <w:t>Ⅰ</w:t>
            </w:r>
            <w:r>
              <w:rPr>
                <w:rFonts w:cs="Times New Roman"/>
              </w:rPr>
              <w:t>类场选址要求及修改单（环境保护部公告2013年36号）对比如下表7-</w:t>
            </w:r>
            <w:r>
              <w:rPr>
                <w:rFonts w:hint="eastAsia" w:cs="Times New Roman"/>
              </w:rPr>
              <w:t>3</w:t>
            </w:r>
            <w:r>
              <w:rPr>
                <w:rFonts w:cs="Times New Roman"/>
              </w:rPr>
              <w:t>。</w:t>
            </w:r>
          </w:p>
          <w:p w14:paraId="1D1F151B">
            <w:pPr>
              <w:pStyle w:val="31"/>
              <w:rPr>
                <w:rFonts w:cs="Times New Roman"/>
              </w:rPr>
            </w:pPr>
            <w:r>
              <w:rPr>
                <w:rFonts w:cs="Times New Roman"/>
              </w:rPr>
              <w:t>表7-3  弃渣场选址与相关要求对比表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4352"/>
              <w:gridCol w:w="3706"/>
              <w:gridCol w:w="871"/>
            </w:tblGrid>
            <w:tr w14:paraId="71F6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7AA697B5">
                  <w:pPr>
                    <w:pStyle w:val="52"/>
                    <w:rPr>
                      <w:color w:val="auto"/>
                    </w:rPr>
                  </w:pPr>
                  <w:r>
                    <w:rPr>
                      <w:color w:val="auto"/>
                    </w:rPr>
                    <w:t>序号</w:t>
                  </w:r>
                </w:p>
              </w:tc>
              <w:tc>
                <w:tcPr>
                  <w:tcW w:w="4352" w:type="dxa"/>
                  <w:vAlign w:val="center"/>
                </w:tcPr>
                <w:p w14:paraId="33795019">
                  <w:pPr>
                    <w:pStyle w:val="52"/>
                    <w:rPr>
                      <w:color w:val="auto"/>
                    </w:rPr>
                  </w:pPr>
                  <w:r>
                    <w:rPr>
                      <w:color w:val="auto"/>
                    </w:rPr>
                    <w:t>GB 18599-2001</w:t>
                  </w:r>
                  <w:r>
                    <w:rPr>
                      <w:rFonts w:hint="eastAsia" w:ascii="宋体" w:hAnsi="宋体" w:cs="宋体"/>
                      <w:color w:val="auto"/>
                    </w:rPr>
                    <w:t>Ⅰ</w:t>
                  </w:r>
                  <w:r>
                    <w:rPr>
                      <w:color w:val="auto"/>
                    </w:rPr>
                    <w:t>类场选址要求</w:t>
                  </w:r>
                </w:p>
              </w:tc>
              <w:tc>
                <w:tcPr>
                  <w:tcW w:w="3706" w:type="dxa"/>
                  <w:vAlign w:val="center"/>
                </w:tcPr>
                <w:p w14:paraId="6B7618F8">
                  <w:pPr>
                    <w:pStyle w:val="52"/>
                    <w:rPr>
                      <w:color w:val="auto"/>
                    </w:rPr>
                  </w:pPr>
                  <w:r>
                    <w:rPr>
                      <w:color w:val="auto"/>
                    </w:rPr>
                    <w:t>本项目弃渣场选址情况</w:t>
                  </w:r>
                </w:p>
              </w:tc>
              <w:tc>
                <w:tcPr>
                  <w:tcW w:w="871" w:type="dxa"/>
                  <w:vAlign w:val="center"/>
                </w:tcPr>
                <w:p w14:paraId="2DA907FD">
                  <w:pPr>
                    <w:pStyle w:val="52"/>
                    <w:rPr>
                      <w:color w:val="auto"/>
                    </w:rPr>
                  </w:pPr>
                  <w:r>
                    <w:rPr>
                      <w:color w:val="auto"/>
                    </w:rPr>
                    <w:t>符合</w:t>
                  </w:r>
                </w:p>
                <w:p w14:paraId="5C611410">
                  <w:pPr>
                    <w:pStyle w:val="52"/>
                    <w:rPr>
                      <w:color w:val="auto"/>
                    </w:rPr>
                  </w:pPr>
                  <w:r>
                    <w:rPr>
                      <w:color w:val="auto"/>
                    </w:rPr>
                    <w:t>情况</w:t>
                  </w:r>
                </w:p>
              </w:tc>
            </w:tr>
            <w:tr w14:paraId="41D2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6FA74AC">
                  <w:pPr>
                    <w:pStyle w:val="52"/>
                    <w:rPr>
                      <w:color w:val="auto"/>
                    </w:rPr>
                  </w:pPr>
                  <w:r>
                    <w:rPr>
                      <w:color w:val="auto"/>
                    </w:rPr>
                    <w:t>1</w:t>
                  </w:r>
                </w:p>
              </w:tc>
              <w:tc>
                <w:tcPr>
                  <w:tcW w:w="4352" w:type="dxa"/>
                  <w:vAlign w:val="center"/>
                </w:tcPr>
                <w:p w14:paraId="1B1134FC">
                  <w:pPr>
                    <w:pStyle w:val="52"/>
                    <w:rPr>
                      <w:color w:val="auto"/>
                    </w:rPr>
                  </w:pPr>
                  <w:r>
                    <w:rPr>
                      <w:color w:val="auto"/>
                    </w:rPr>
                    <w:t>所选场址应符合当地城乡建设总体规划要求</w:t>
                  </w:r>
                </w:p>
              </w:tc>
              <w:tc>
                <w:tcPr>
                  <w:tcW w:w="3706" w:type="dxa"/>
                  <w:vAlign w:val="center"/>
                </w:tcPr>
                <w:p w14:paraId="2CC22A24">
                  <w:pPr>
                    <w:pStyle w:val="52"/>
                    <w:rPr>
                      <w:color w:val="auto"/>
                    </w:rPr>
                  </w:pPr>
                  <w:r>
                    <w:rPr>
                      <w:color w:val="auto"/>
                    </w:rPr>
                    <w:t>弃渣场所占土地无基本农田，不涉及城乡建设规划区</w:t>
                  </w:r>
                </w:p>
              </w:tc>
              <w:tc>
                <w:tcPr>
                  <w:tcW w:w="871" w:type="dxa"/>
                  <w:vAlign w:val="center"/>
                </w:tcPr>
                <w:p w14:paraId="3E8C3226">
                  <w:pPr>
                    <w:pStyle w:val="52"/>
                    <w:rPr>
                      <w:color w:val="auto"/>
                    </w:rPr>
                  </w:pPr>
                  <w:r>
                    <w:rPr>
                      <w:color w:val="auto"/>
                    </w:rPr>
                    <w:t>符合</w:t>
                  </w:r>
                </w:p>
              </w:tc>
            </w:tr>
            <w:tr w14:paraId="1445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50D3AE56">
                  <w:pPr>
                    <w:pStyle w:val="52"/>
                    <w:rPr>
                      <w:color w:val="auto"/>
                    </w:rPr>
                  </w:pPr>
                  <w:r>
                    <w:rPr>
                      <w:color w:val="auto"/>
                    </w:rPr>
                    <w:t>2</w:t>
                  </w:r>
                </w:p>
              </w:tc>
              <w:tc>
                <w:tcPr>
                  <w:tcW w:w="4352" w:type="dxa"/>
                  <w:vAlign w:val="center"/>
                </w:tcPr>
                <w:p w14:paraId="170044E5">
                  <w:pPr>
                    <w:pStyle w:val="52"/>
                    <w:jc w:val="left"/>
                    <w:rPr>
                      <w:snapToGrid w:val="0"/>
                      <w:color w:val="auto"/>
                    </w:rPr>
                  </w:pPr>
                  <w:r>
                    <w:rPr>
                      <w:snapToGrid w:val="0"/>
                      <w:color w:val="auto"/>
                    </w:rPr>
                    <w:t>应依据环境影响评价结论确定场址的位置及其与周围人群的距离，并经具有审批权的环境保护行政主管部门批准，并可作为规划控制的依据。</w:t>
                  </w:r>
                </w:p>
                <w:p w14:paraId="634E7F6B">
                  <w:pPr>
                    <w:pStyle w:val="52"/>
                    <w:jc w:val="left"/>
                    <w:rPr>
                      <w:color w:val="auto"/>
                    </w:rPr>
                  </w:pPr>
                  <w:r>
                    <w:rPr>
                      <w:snapToGrid w:val="0"/>
                      <w:color w:val="auto"/>
                    </w:rPr>
                    <w:t>在对一般工业固体废物贮存、处置场场址进行环境影响评价时，应重点考虑一般工业固体废物贮存、处置场产生的渗滤液以及粉尘等大气污染物等因素，根据其所在地区的环境功能区类别，综合评价其对周围环境、居住人群的身体健康、日常生活和生产活动的影响，确定其与常住居民居住场所、农用地、地表水体、高速公路、交通主干道（国道或省道）、铁路、飞机场、军事基地等敏感对象之间合理的位置关系。</w:t>
                  </w:r>
                </w:p>
              </w:tc>
              <w:tc>
                <w:tcPr>
                  <w:tcW w:w="3706" w:type="dxa"/>
                  <w:vAlign w:val="center"/>
                </w:tcPr>
                <w:p w14:paraId="3C13AE16">
                  <w:pPr>
                    <w:pStyle w:val="52"/>
                    <w:rPr>
                      <w:color w:val="auto"/>
                    </w:rPr>
                  </w:pPr>
                  <w:r>
                    <w:rPr>
                      <w:color w:val="auto"/>
                    </w:rPr>
                    <w:t>经核算项目区无需设置大气防护距离；与弃渣场距离最近的保护目标为弃渣场</w:t>
                  </w:r>
                  <w:r>
                    <w:rPr>
                      <w:color w:val="auto"/>
                      <w:spacing w:val="-10"/>
                    </w:rPr>
                    <w:t>西南侧</w:t>
                  </w:r>
                  <w:r>
                    <w:rPr>
                      <w:color w:val="auto"/>
                    </w:rPr>
                    <w:t>1100m处的</w:t>
                  </w:r>
                  <w:r>
                    <w:rPr>
                      <w:snapToGrid w:val="0"/>
                      <w:color w:val="auto"/>
                    </w:rPr>
                    <w:t>芦姐萨</w:t>
                  </w:r>
                  <w:r>
                    <w:rPr>
                      <w:color w:val="auto"/>
                    </w:rPr>
                    <w:t>村，距离较远，弃渣场产生粉尘对其影响不大；弃渣场下游无居民点等敏感目标，不会威胁群众生命安全</w:t>
                  </w:r>
                </w:p>
              </w:tc>
              <w:tc>
                <w:tcPr>
                  <w:tcW w:w="871" w:type="dxa"/>
                  <w:vAlign w:val="center"/>
                </w:tcPr>
                <w:p w14:paraId="291B131A">
                  <w:pPr>
                    <w:pStyle w:val="52"/>
                    <w:rPr>
                      <w:color w:val="auto"/>
                    </w:rPr>
                  </w:pPr>
                  <w:r>
                    <w:rPr>
                      <w:color w:val="auto"/>
                    </w:rPr>
                    <w:t>符合</w:t>
                  </w:r>
                </w:p>
              </w:tc>
            </w:tr>
            <w:tr w14:paraId="4DEF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D5BBA2E">
                  <w:pPr>
                    <w:pStyle w:val="52"/>
                    <w:rPr>
                      <w:color w:val="auto"/>
                    </w:rPr>
                  </w:pPr>
                  <w:r>
                    <w:rPr>
                      <w:color w:val="auto"/>
                    </w:rPr>
                    <w:t>3</w:t>
                  </w:r>
                </w:p>
              </w:tc>
              <w:tc>
                <w:tcPr>
                  <w:tcW w:w="4352" w:type="dxa"/>
                  <w:vAlign w:val="center"/>
                </w:tcPr>
                <w:p w14:paraId="188B0534">
                  <w:pPr>
                    <w:pStyle w:val="52"/>
                    <w:jc w:val="left"/>
                    <w:rPr>
                      <w:color w:val="auto"/>
                    </w:rPr>
                  </w:pPr>
                  <w:r>
                    <w:rPr>
                      <w:color w:val="auto"/>
                    </w:rPr>
                    <w:t>应选在满足承载力要求的地基上，以避免地基下沉的影响，特别是不均匀或局部下沉的影响。</w:t>
                  </w:r>
                </w:p>
              </w:tc>
              <w:tc>
                <w:tcPr>
                  <w:tcW w:w="3706" w:type="dxa"/>
                  <w:vAlign w:val="center"/>
                </w:tcPr>
                <w:p w14:paraId="0001BD3C">
                  <w:pPr>
                    <w:pStyle w:val="52"/>
                    <w:jc w:val="left"/>
                    <w:rPr>
                      <w:color w:val="auto"/>
                    </w:rPr>
                  </w:pPr>
                  <w:r>
                    <w:rPr>
                      <w:color w:val="auto"/>
                    </w:rPr>
                    <w:t>弃渣场占地范围内未发现有断层、地表下沉、崩塌、不稳定边坡等</w:t>
                  </w:r>
                </w:p>
              </w:tc>
              <w:tc>
                <w:tcPr>
                  <w:tcW w:w="871" w:type="dxa"/>
                  <w:vAlign w:val="center"/>
                </w:tcPr>
                <w:p w14:paraId="32C1DA12">
                  <w:pPr>
                    <w:pStyle w:val="52"/>
                    <w:rPr>
                      <w:color w:val="auto"/>
                    </w:rPr>
                  </w:pPr>
                  <w:r>
                    <w:rPr>
                      <w:color w:val="auto"/>
                    </w:rPr>
                    <w:t>符合</w:t>
                  </w:r>
                </w:p>
              </w:tc>
            </w:tr>
            <w:tr w14:paraId="3527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230DAB5">
                  <w:pPr>
                    <w:pStyle w:val="52"/>
                    <w:rPr>
                      <w:color w:val="auto"/>
                    </w:rPr>
                  </w:pPr>
                  <w:r>
                    <w:rPr>
                      <w:color w:val="auto"/>
                    </w:rPr>
                    <w:t>4</w:t>
                  </w:r>
                </w:p>
              </w:tc>
              <w:tc>
                <w:tcPr>
                  <w:tcW w:w="4352" w:type="dxa"/>
                  <w:vAlign w:val="center"/>
                </w:tcPr>
                <w:p w14:paraId="00C5CDCA">
                  <w:pPr>
                    <w:pStyle w:val="52"/>
                    <w:rPr>
                      <w:color w:val="auto"/>
                    </w:rPr>
                  </w:pPr>
                  <w:r>
                    <w:rPr>
                      <w:color w:val="auto"/>
                    </w:rPr>
                    <w:t>应避开断层、断层破碎带、溶洞区，以及天然滑坡或泥石流影响区。</w:t>
                  </w:r>
                </w:p>
              </w:tc>
              <w:tc>
                <w:tcPr>
                  <w:tcW w:w="3706" w:type="dxa"/>
                  <w:vAlign w:val="center"/>
                </w:tcPr>
                <w:p w14:paraId="631E9B1E">
                  <w:pPr>
                    <w:pStyle w:val="52"/>
                    <w:rPr>
                      <w:color w:val="auto"/>
                    </w:rPr>
                  </w:pPr>
                  <w:r>
                    <w:rPr>
                      <w:color w:val="auto"/>
                    </w:rPr>
                    <w:t>弃渣场占地不在断层、断层破碎带、溶洞区，以及天然滑坡或泥石流影响区</w:t>
                  </w:r>
                </w:p>
              </w:tc>
              <w:tc>
                <w:tcPr>
                  <w:tcW w:w="871" w:type="dxa"/>
                  <w:vAlign w:val="center"/>
                </w:tcPr>
                <w:p w14:paraId="74165BD0">
                  <w:pPr>
                    <w:pStyle w:val="52"/>
                    <w:rPr>
                      <w:color w:val="auto"/>
                    </w:rPr>
                  </w:pPr>
                  <w:r>
                    <w:rPr>
                      <w:color w:val="auto"/>
                    </w:rPr>
                    <w:t>符合</w:t>
                  </w:r>
                </w:p>
              </w:tc>
            </w:tr>
            <w:tr w14:paraId="5BCA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08F30E0">
                  <w:pPr>
                    <w:pStyle w:val="52"/>
                    <w:rPr>
                      <w:color w:val="auto"/>
                    </w:rPr>
                  </w:pPr>
                  <w:r>
                    <w:rPr>
                      <w:color w:val="auto"/>
                    </w:rPr>
                    <w:t>5</w:t>
                  </w:r>
                </w:p>
              </w:tc>
              <w:tc>
                <w:tcPr>
                  <w:tcW w:w="4352" w:type="dxa"/>
                  <w:vAlign w:val="center"/>
                </w:tcPr>
                <w:p w14:paraId="3068EF11">
                  <w:pPr>
                    <w:pStyle w:val="52"/>
                    <w:jc w:val="left"/>
                    <w:rPr>
                      <w:color w:val="auto"/>
                    </w:rPr>
                  </w:pPr>
                  <w:r>
                    <w:rPr>
                      <w:color w:val="auto"/>
                    </w:rPr>
                    <w:t>禁止选在江河、湖泊、水库最高水位线以下的滩地和洪泛区。</w:t>
                  </w:r>
                </w:p>
              </w:tc>
              <w:tc>
                <w:tcPr>
                  <w:tcW w:w="3706" w:type="dxa"/>
                  <w:vAlign w:val="center"/>
                </w:tcPr>
                <w:p w14:paraId="51328F44">
                  <w:pPr>
                    <w:pStyle w:val="52"/>
                    <w:jc w:val="left"/>
                    <w:rPr>
                      <w:color w:val="auto"/>
                    </w:rPr>
                  </w:pPr>
                  <w:r>
                    <w:rPr>
                      <w:color w:val="auto"/>
                    </w:rPr>
                    <w:t>弃渣场标高920~948m，项目区最近的地表水体为弃渣场东侧1000m处的南相章河，弃渣场不在南相章河的最高水位线以下的滩地和洪泛区。</w:t>
                  </w:r>
                </w:p>
              </w:tc>
              <w:tc>
                <w:tcPr>
                  <w:tcW w:w="871" w:type="dxa"/>
                  <w:vAlign w:val="center"/>
                </w:tcPr>
                <w:p w14:paraId="13F641A4">
                  <w:pPr>
                    <w:pStyle w:val="52"/>
                    <w:rPr>
                      <w:color w:val="auto"/>
                    </w:rPr>
                  </w:pPr>
                  <w:r>
                    <w:rPr>
                      <w:color w:val="auto"/>
                    </w:rPr>
                    <w:t>符合</w:t>
                  </w:r>
                </w:p>
              </w:tc>
            </w:tr>
            <w:tr w14:paraId="26C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1304162">
                  <w:pPr>
                    <w:pStyle w:val="52"/>
                    <w:rPr>
                      <w:color w:val="auto"/>
                    </w:rPr>
                  </w:pPr>
                  <w:r>
                    <w:rPr>
                      <w:color w:val="auto"/>
                    </w:rPr>
                    <w:t>6</w:t>
                  </w:r>
                </w:p>
              </w:tc>
              <w:tc>
                <w:tcPr>
                  <w:tcW w:w="4352" w:type="dxa"/>
                  <w:vAlign w:val="center"/>
                </w:tcPr>
                <w:p w14:paraId="25DBC359">
                  <w:pPr>
                    <w:pStyle w:val="52"/>
                    <w:rPr>
                      <w:color w:val="auto"/>
                    </w:rPr>
                  </w:pPr>
                  <w:r>
                    <w:rPr>
                      <w:color w:val="auto"/>
                    </w:rPr>
                    <w:t>禁止选在自然保护区、风景名胜区和其他需要特别保护的区域。</w:t>
                  </w:r>
                </w:p>
              </w:tc>
              <w:tc>
                <w:tcPr>
                  <w:tcW w:w="3706" w:type="dxa"/>
                  <w:vAlign w:val="center"/>
                </w:tcPr>
                <w:p w14:paraId="2F63514E">
                  <w:pPr>
                    <w:pStyle w:val="52"/>
                    <w:rPr>
                      <w:color w:val="auto"/>
                    </w:rPr>
                  </w:pPr>
                  <w:r>
                    <w:rPr>
                      <w:color w:val="auto"/>
                    </w:rPr>
                    <w:t>弃渣场选址不在自然保护区、风景名胜区和其他需要特别保护的区域，不涉及芒市生态保护红线</w:t>
                  </w:r>
                </w:p>
              </w:tc>
              <w:tc>
                <w:tcPr>
                  <w:tcW w:w="871" w:type="dxa"/>
                  <w:vAlign w:val="center"/>
                </w:tcPr>
                <w:p w14:paraId="68375A5D">
                  <w:pPr>
                    <w:pStyle w:val="52"/>
                    <w:rPr>
                      <w:color w:val="auto"/>
                    </w:rPr>
                  </w:pPr>
                  <w:r>
                    <w:rPr>
                      <w:color w:val="auto"/>
                    </w:rPr>
                    <w:t>符合</w:t>
                  </w:r>
                </w:p>
              </w:tc>
            </w:tr>
          </w:tbl>
          <w:p w14:paraId="2D660F42">
            <w:pPr>
              <w:ind w:firstLine="480"/>
              <w:rPr>
                <w:rFonts w:cs="Times New Roman"/>
              </w:rPr>
            </w:pPr>
            <w:r>
              <w:rPr>
                <w:rFonts w:cs="Times New Roman"/>
              </w:rPr>
              <w:t>从上表可以看出，本项目弃渣场的选址符合《一般工业固体废物贮存、处置场污染控制标准》（GB18599-2001）及修改单（环境保护部公告2013年36号）中第</w:t>
            </w:r>
            <w:r>
              <w:rPr>
                <w:rFonts w:hint="eastAsia" w:ascii="宋体" w:hAnsi="宋体" w:cs="宋体"/>
              </w:rPr>
              <w:t>Ⅰ</w:t>
            </w:r>
            <w:r>
              <w:rPr>
                <w:rFonts w:cs="Times New Roman"/>
              </w:rPr>
              <w:t>类场选址要求，其选址符合环境保护要求，选址合理。</w:t>
            </w:r>
          </w:p>
          <w:p w14:paraId="05C7E664">
            <w:pPr>
              <w:ind w:firstLine="0" w:firstLineChars="0"/>
              <w:rPr>
                <w:rFonts w:cs="Times New Roman"/>
                <w:b/>
              </w:rPr>
            </w:pPr>
            <w:r>
              <w:rPr>
                <w:rFonts w:cs="Times New Roman"/>
                <w:b/>
              </w:rPr>
              <w:t>四、平面布置合理性分析</w:t>
            </w:r>
          </w:p>
          <w:p w14:paraId="78C54891">
            <w:pPr>
              <w:ind w:firstLine="480"/>
              <w:rPr>
                <w:rFonts w:cs="Times New Roman"/>
              </w:rPr>
            </w:pPr>
            <w:r>
              <w:rPr>
                <w:rFonts w:cs="Times New Roman"/>
              </w:rPr>
              <w:t>根据项目总平面布置，本项目主要由露天采场、生产加工区、堆料场、弃渣场、办公生活区、运输道路6个部分组成。</w:t>
            </w:r>
          </w:p>
          <w:p w14:paraId="76C59874">
            <w:pPr>
              <w:ind w:firstLine="480"/>
              <w:rPr>
                <w:rFonts w:cs="Times New Roman"/>
              </w:rPr>
            </w:pPr>
            <w:r>
              <w:rPr>
                <w:rFonts w:cs="Times New Roman"/>
              </w:rPr>
              <w:t>生产加工区位于露天采场东北侧，堆料场位于生产加工区北侧，办公生活区位于堆料场北侧。</w:t>
            </w:r>
          </w:p>
          <w:p w14:paraId="67830CB2">
            <w:pPr>
              <w:ind w:firstLine="480"/>
              <w:rPr>
                <w:rFonts w:cs="Times New Roman"/>
              </w:rPr>
            </w:pPr>
            <w:r>
              <w:rPr>
                <w:rFonts w:cs="Times New Roman"/>
              </w:rPr>
              <w:t>项目矿山露天采场设计开采标高高于当地最低侵蚀基准面，有利于水的自排泄，在露天采场不会形成地下积水影响矿山的开采工作，露天采场的设置依据经济合理剥采比而定，较为合理。</w:t>
            </w:r>
          </w:p>
          <w:p w14:paraId="6CD0396E">
            <w:pPr>
              <w:ind w:firstLine="480"/>
              <w:rPr>
                <w:rFonts w:cs="Times New Roman"/>
              </w:rPr>
            </w:pPr>
            <w:r>
              <w:rPr>
                <w:rFonts w:cs="Times New Roman"/>
              </w:rPr>
              <w:t>办公生活区、生产加工区和弃渣场、堆料场位于矿区北侧，位于露天采场境界外，不会影响露天采场的工作，且距离采场较近，便于废土石的运输，布置合理。</w:t>
            </w:r>
          </w:p>
          <w:p w14:paraId="2C1CA45D">
            <w:pPr>
              <w:ind w:firstLine="480"/>
              <w:rPr>
                <w:rFonts w:cs="Times New Roman"/>
              </w:rPr>
            </w:pPr>
            <w:r>
              <w:rPr>
                <w:rFonts w:cs="Times New Roman"/>
              </w:rPr>
              <w:t>堆料场、矿石加工区位于矿区东北侧，位于露天采场境界外，未对资源造成压覆，且位于进场道路傍，便于矿石外运，布置合理。</w:t>
            </w:r>
          </w:p>
          <w:p w14:paraId="67149A87">
            <w:pPr>
              <w:ind w:firstLine="480"/>
              <w:rPr>
                <w:rFonts w:cs="Times New Roman"/>
              </w:rPr>
            </w:pPr>
            <w:r>
              <w:rPr>
                <w:rFonts w:cs="Times New Roman"/>
              </w:rPr>
              <w:t>项目区整体南、中部高，雨水沉淀池及沉砂池均设置于矿区采区的南侧及弃渣场的北侧，弃渣场及露天采场产生</w:t>
            </w:r>
            <w:r>
              <w:rPr>
                <w:rFonts w:hint="eastAsia" w:cs="Times New Roman"/>
                <w:bCs/>
                <w:color w:val="FF0000"/>
              </w:rPr>
              <w:t>初期雨水</w:t>
            </w:r>
            <w:r>
              <w:rPr>
                <w:rFonts w:cs="Times New Roman"/>
              </w:rPr>
              <w:t>能自流进入雨水沉淀池及沉砂池处理，布置合理。</w:t>
            </w:r>
          </w:p>
          <w:p w14:paraId="158C5276">
            <w:pPr>
              <w:ind w:firstLine="480"/>
              <w:rPr>
                <w:rFonts w:cs="Times New Roman"/>
              </w:rPr>
            </w:pPr>
            <w:r>
              <w:rPr>
                <w:rFonts w:cs="Times New Roman"/>
              </w:rPr>
              <w:t>综上所述，项目区平面布置合理。</w:t>
            </w:r>
          </w:p>
          <w:p w14:paraId="4DCEE58C">
            <w:pPr>
              <w:ind w:firstLine="0" w:firstLineChars="0"/>
              <w:rPr>
                <w:rFonts w:cs="Times New Roman"/>
                <w:b/>
              </w:rPr>
            </w:pPr>
            <w:r>
              <w:rPr>
                <w:rFonts w:cs="Times New Roman"/>
                <w:b/>
              </w:rPr>
              <w:t>五、施工期环境影响分析</w:t>
            </w:r>
          </w:p>
          <w:p w14:paraId="15BF5862">
            <w:pPr>
              <w:ind w:firstLine="480"/>
              <w:rPr>
                <w:rFonts w:cs="Times New Roman"/>
              </w:rPr>
            </w:pPr>
            <w:r>
              <w:rPr>
                <w:rFonts w:cs="Times New Roman"/>
              </w:rPr>
              <w:t>工程在建设过程中，在施工的各个阶段，因土石方开挖和施工所产生的固废、废水、废气和噪声，将对局部环境产生一定的影响。</w:t>
            </w:r>
          </w:p>
          <w:p w14:paraId="517815D1">
            <w:pPr>
              <w:ind w:firstLine="482"/>
              <w:rPr>
                <w:rFonts w:cs="Times New Roman"/>
                <w:b/>
              </w:rPr>
            </w:pPr>
            <w:r>
              <w:rPr>
                <w:rFonts w:cs="Times New Roman"/>
                <w:b/>
              </w:rPr>
              <w:t>1、施工期大气环境影响分析</w:t>
            </w:r>
          </w:p>
          <w:p w14:paraId="416B028C">
            <w:pPr>
              <w:ind w:firstLine="480"/>
              <w:rPr>
                <w:rFonts w:cs="Times New Roman"/>
              </w:rPr>
            </w:pPr>
            <w:r>
              <w:rPr>
                <w:rFonts w:cs="Times New Roman"/>
              </w:rPr>
              <w:t>（1）施工场地扬尘、粉尘</w:t>
            </w:r>
          </w:p>
          <w:p w14:paraId="605257E4">
            <w:pPr>
              <w:pStyle w:val="50"/>
              <w:ind w:firstLine="480"/>
              <w:rPr>
                <w:kern w:val="0"/>
              </w:rPr>
            </w:pPr>
            <w:r>
              <w:rPr>
                <w:kern w:val="0"/>
              </w:rPr>
              <w:t>本项目施工扬尘主要来自于场地开挖、混凝土拌和、施工原材料运输和装卸。本工程以物料装卸、施工机械运输产生的粉尘影响较大，主要影响区域是施工现场，影响对象为施工人员，在各工区和主要施工公路沿线局部范围运输高峰时段TSP浓度会超过GB3095-2012《环境空气质量标准》二级标准。</w:t>
            </w:r>
          </w:p>
          <w:p w14:paraId="68B6F2E6">
            <w:pPr>
              <w:pStyle w:val="50"/>
              <w:ind w:firstLine="480"/>
              <w:rPr>
                <w:kern w:val="0"/>
              </w:rPr>
            </w:pPr>
            <w:r>
              <w:rPr>
                <w:kern w:val="0"/>
              </w:rPr>
              <w:t>施工期的扬尘属无组织排放，其产生量与施工范围、方式方法、土壤干湿度、气象等诸多因素有关，由于施工的需要，一些建材需露天堆放，一些施工点表层土壤需人工开挖、堆放，在气候干燥又有风的情况下，会产生扬尘，堆场起尘的经验计算公式为：</w:t>
            </w:r>
          </w:p>
          <w:p w14:paraId="3F1C46CD">
            <w:pPr>
              <w:pStyle w:val="50"/>
              <w:ind w:firstLine="480"/>
              <w:jc w:val="center"/>
              <w:rPr>
                <w:kern w:val="0"/>
                <w:lang w:val="en-US"/>
              </w:rPr>
            </w:pPr>
            <w:r>
              <w:rPr>
                <w:kern w:val="0"/>
                <w:lang w:val="en-US"/>
              </w:rPr>
              <w:drawing>
                <wp:inline distT="0" distB="0" distL="0" distR="0">
                  <wp:extent cx="1918970" cy="3416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18970" cy="341630"/>
                          </a:xfrm>
                          <a:prstGeom prst="rect">
                            <a:avLst/>
                          </a:prstGeom>
                          <a:noFill/>
                          <a:ln>
                            <a:noFill/>
                          </a:ln>
                        </pic:spPr>
                      </pic:pic>
                    </a:graphicData>
                  </a:graphic>
                </wp:inline>
              </w:drawing>
            </w:r>
          </w:p>
          <w:p w14:paraId="3D5022AC">
            <w:pPr>
              <w:pStyle w:val="50"/>
              <w:ind w:firstLine="480"/>
              <w:rPr>
                <w:kern w:val="0"/>
                <w:lang w:val="en-US"/>
              </w:rPr>
            </w:pPr>
            <w:r>
              <w:rPr>
                <w:kern w:val="0"/>
                <w:lang w:val="en-US"/>
              </w:rPr>
              <w:t>其中：Q——起尘量，kg/吨·年；</w:t>
            </w:r>
          </w:p>
          <w:p w14:paraId="52BE8F00">
            <w:pPr>
              <w:pStyle w:val="50"/>
              <w:ind w:firstLine="1080" w:firstLineChars="450"/>
              <w:rPr>
                <w:kern w:val="0"/>
                <w:lang w:val="en-US"/>
              </w:rPr>
            </w:pPr>
            <w:r>
              <w:rPr>
                <w:kern w:val="0"/>
                <w:lang w:val="en-US"/>
              </w:rPr>
              <w:t>V</w:t>
            </w:r>
            <w:r>
              <w:rPr>
                <w:kern w:val="0"/>
                <w:vertAlign w:val="subscript"/>
                <w:lang w:val="en-US"/>
              </w:rPr>
              <w:t>50</w:t>
            </w:r>
            <w:r>
              <w:rPr>
                <w:kern w:val="0"/>
                <w:lang w:val="en-US"/>
              </w:rPr>
              <w:t>——距地面50m处风速，m/s；</w:t>
            </w:r>
          </w:p>
          <w:p w14:paraId="77AC7F16">
            <w:pPr>
              <w:pStyle w:val="50"/>
              <w:ind w:firstLine="1080" w:firstLineChars="450"/>
              <w:rPr>
                <w:kern w:val="0"/>
                <w:lang w:val="en-US"/>
              </w:rPr>
            </w:pPr>
            <w:r>
              <w:rPr>
                <w:kern w:val="0"/>
                <w:lang w:val="en-US"/>
              </w:rPr>
              <w:t>V</w:t>
            </w:r>
            <w:r>
              <w:rPr>
                <w:kern w:val="0"/>
                <w:vertAlign w:val="subscript"/>
                <w:lang w:val="en-US"/>
              </w:rPr>
              <w:t>0</w:t>
            </w:r>
            <w:r>
              <w:rPr>
                <w:kern w:val="0"/>
                <w:lang w:val="en-US"/>
              </w:rPr>
              <w:t>——起尘风速，m/s；</w:t>
            </w:r>
          </w:p>
          <w:p w14:paraId="672B9D0C">
            <w:pPr>
              <w:pStyle w:val="50"/>
              <w:ind w:firstLine="1080" w:firstLineChars="450"/>
              <w:rPr>
                <w:kern w:val="0"/>
                <w:lang w:val="en-US"/>
              </w:rPr>
            </w:pPr>
            <w:r>
              <w:rPr>
                <w:kern w:val="0"/>
                <w:lang w:val="en-US"/>
              </w:rPr>
              <w:t>W——尘粒的含水率，%。</w:t>
            </w:r>
          </w:p>
          <w:p w14:paraId="0020A8FA">
            <w:pPr>
              <w:pStyle w:val="31"/>
              <w:rPr>
                <w:rFonts w:cs="Times New Roman"/>
              </w:rPr>
            </w:pPr>
            <w:r>
              <w:rPr>
                <w:rFonts w:cs="Times New Roman"/>
              </w:rPr>
              <w:t>表7-4  不同粒径尘粒的沉降速度</w:t>
            </w:r>
          </w:p>
          <w:tbl>
            <w:tblPr>
              <w:tblStyle w:val="21"/>
              <w:tblW w:w="96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39"/>
              <w:gridCol w:w="1093"/>
              <w:gridCol w:w="956"/>
              <w:gridCol w:w="1093"/>
              <w:gridCol w:w="1093"/>
              <w:gridCol w:w="1091"/>
              <w:gridCol w:w="952"/>
              <w:gridCol w:w="1637"/>
            </w:tblGrid>
            <w:tr w14:paraId="636EC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0832E068">
                  <w:pPr>
                    <w:pStyle w:val="52"/>
                    <w:rPr>
                      <w:color w:val="auto"/>
                    </w:rPr>
                  </w:pPr>
                  <w:r>
                    <w:rPr>
                      <w:color w:val="auto"/>
                    </w:rPr>
                    <w:t>粒径，μm</w:t>
                  </w:r>
                </w:p>
              </w:tc>
              <w:tc>
                <w:tcPr>
                  <w:tcW w:w="1093" w:type="dxa"/>
                  <w:vAlign w:val="center"/>
                </w:tcPr>
                <w:p w14:paraId="1A6D6FCF">
                  <w:pPr>
                    <w:pStyle w:val="52"/>
                    <w:rPr>
                      <w:color w:val="auto"/>
                    </w:rPr>
                  </w:pPr>
                  <w:r>
                    <w:rPr>
                      <w:color w:val="auto"/>
                    </w:rPr>
                    <w:t>10</w:t>
                  </w:r>
                </w:p>
              </w:tc>
              <w:tc>
                <w:tcPr>
                  <w:tcW w:w="956" w:type="dxa"/>
                  <w:vAlign w:val="center"/>
                </w:tcPr>
                <w:p w14:paraId="0037B860">
                  <w:pPr>
                    <w:pStyle w:val="52"/>
                    <w:rPr>
                      <w:color w:val="auto"/>
                    </w:rPr>
                  </w:pPr>
                  <w:r>
                    <w:rPr>
                      <w:color w:val="auto"/>
                    </w:rPr>
                    <w:t>20</w:t>
                  </w:r>
                </w:p>
              </w:tc>
              <w:tc>
                <w:tcPr>
                  <w:tcW w:w="1093" w:type="dxa"/>
                  <w:vAlign w:val="center"/>
                </w:tcPr>
                <w:p w14:paraId="140165CB">
                  <w:pPr>
                    <w:pStyle w:val="52"/>
                    <w:rPr>
                      <w:color w:val="auto"/>
                    </w:rPr>
                  </w:pPr>
                  <w:r>
                    <w:rPr>
                      <w:color w:val="auto"/>
                    </w:rPr>
                    <w:t>30</w:t>
                  </w:r>
                </w:p>
              </w:tc>
              <w:tc>
                <w:tcPr>
                  <w:tcW w:w="1093" w:type="dxa"/>
                  <w:vAlign w:val="center"/>
                </w:tcPr>
                <w:p w14:paraId="6C63C6D0">
                  <w:pPr>
                    <w:pStyle w:val="52"/>
                    <w:rPr>
                      <w:color w:val="auto"/>
                    </w:rPr>
                  </w:pPr>
                  <w:r>
                    <w:rPr>
                      <w:color w:val="auto"/>
                    </w:rPr>
                    <w:t>40</w:t>
                  </w:r>
                </w:p>
              </w:tc>
              <w:tc>
                <w:tcPr>
                  <w:tcW w:w="1091" w:type="dxa"/>
                  <w:vAlign w:val="center"/>
                </w:tcPr>
                <w:p w14:paraId="619C0ED6">
                  <w:pPr>
                    <w:pStyle w:val="52"/>
                    <w:rPr>
                      <w:color w:val="auto"/>
                    </w:rPr>
                  </w:pPr>
                  <w:r>
                    <w:rPr>
                      <w:color w:val="auto"/>
                    </w:rPr>
                    <w:t>50</w:t>
                  </w:r>
                </w:p>
              </w:tc>
              <w:tc>
                <w:tcPr>
                  <w:tcW w:w="952" w:type="dxa"/>
                  <w:vAlign w:val="center"/>
                </w:tcPr>
                <w:p w14:paraId="4A3FA048">
                  <w:pPr>
                    <w:pStyle w:val="52"/>
                    <w:rPr>
                      <w:color w:val="auto"/>
                    </w:rPr>
                  </w:pPr>
                  <w:r>
                    <w:rPr>
                      <w:color w:val="auto"/>
                    </w:rPr>
                    <w:t>60</w:t>
                  </w:r>
                </w:p>
              </w:tc>
              <w:tc>
                <w:tcPr>
                  <w:tcW w:w="1637" w:type="dxa"/>
                  <w:vAlign w:val="center"/>
                </w:tcPr>
                <w:p w14:paraId="19A50694">
                  <w:pPr>
                    <w:pStyle w:val="52"/>
                    <w:rPr>
                      <w:color w:val="auto"/>
                    </w:rPr>
                  </w:pPr>
                  <w:r>
                    <w:rPr>
                      <w:color w:val="auto"/>
                    </w:rPr>
                    <w:t>70</w:t>
                  </w:r>
                </w:p>
              </w:tc>
            </w:tr>
            <w:tr w14:paraId="6B4AE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2D156F97">
                  <w:pPr>
                    <w:pStyle w:val="52"/>
                    <w:rPr>
                      <w:color w:val="auto"/>
                    </w:rPr>
                  </w:pPr>
                  <w:r>
                    <w:rPr>
                      <w:color w:val="auto"/>
                    </w:rPr>
                    <w:t>沉降速度，m/s</w:t>
                  </w:r>
                </w:p>
              </w:tc>
              <w:tc>
                <w:tcPr>
                  <w:tcW w:w="1093" w:type="dxa"/>
                  <w:vAlign w:val="center"/>
                </w:tcPr>
                <w:p w14:paraId="6F3801C1">
                  <w:pPr>
                    <w:pStyle w:val="52"/>
                    <w:rPr>
                      <w:color w:val="auto"/>
                    </w:rPr>
                  </w:pPr>
                  <w:r>
                    <w:rPr>
                      <w:color w:val="auto"/>
                    </w:rPr>
                    <w:t>0.003</w:t>
                  </w:r>
                </w:p>
              </w:tc>
              <w:tc>
                <w:tcPr>
                  <w:tcW w:w="956" w:type="dxa"/>
                  <w:vAlign w:val="center"/>
                </w:tcPr>
                <w:p w14:paraId="33E04D78">
                  <w:pPr>
                    <w:pStyle w:val="52"/>
                    <w:rPr>
                      <w:color w:val="auto"/>
                    </w:rPr>
                  </w:pPr>
                  <w:r>
                    <w:rPr>
                      <w:color w:val="auto"/>
                    </w:rPr>
                    <w:t>0.012</w:t>
                  </w:r>
                </w:p>
              </w:tc>
              <w:tc>
                <w:tcPr>
                  <w:tcW w:w="1093" w:type="dxa"/>
                  <w:vAlign w:val="center"/>
                </w:tcPr>
                <w:p w14:paraId="68295834">
                  <w:pPr>
                    <w:pStyle w:val="52"/>
                    <w:rPr>
                      <w:color w:val="auto"/>
                    </w:rPr>
                  </w:pPr>
                  <w:r>
                    <w:rPr>
                      <w:color w:val="auto"/>
                    </w:rPr>
                    <w:t>0.027</w:t>
                  </w:r>
                </w:p>
              </w:tc>
              <w:tc>
                <w:tcPr>
                  <w:tcW w:w="1093" w:type="dxa"/>
                  <w:vAlign w:val="center"/>
                </w:tcPr>
                <w:p w14:paraId="339EC46C">
                  <w:pPr>
                    <w:pStyle w:val="52"/>
                    <w:rPr>
                      <w:color w:val="auto"/>
                    </w:rPr>
                  </w:pPr>
                  <w:r>
                    <w:rPr>
                      <w:color w:val="auto"/>
                    </w:rPr>
                    <w:t>0.048</w:t>
                  </w:r>
                </w:p>
              </w:tc>
              <w:tc>
                <w:tcPr>
                  <w:tcW w:w="1091" w:type="dxa"/>
                  <w:vAlign w:val="center"/>
                </w:tcPr>
                <w:p w14:paraId="72721726">
                  <w:pPr>
                    <w:pStyle w:val="52"/>
                    <w:rPr>
                      <w:color w:val="auto"/>
                    </w:rPr>
                  </w:pPr>
                  <w:r>
                    <w:rPr>
                      <w:color w:val="auto"/>
                    </w:rPr>
                    <w:t>0.075</w:t>
                  </w:r>
                </w:p>
              </w:tc>
              <w:tc>
                <w:tcPr>
                  <w:tcW w:w="952" w:type="dxa"/>
                  <w:vAlign w:val="center"/>
                </w:tcPr>
                <w:p w14:paraId="41B6A677">
                  <w:pPr>
                    <w:pStyle w:val="52"/>
                    <w:rPr>
                      <w:color w:val="auto"/>
                    </w:rPr>
                  </w:pPr>
                  <w:r>
                    <w:rPr>
                      <w:color w:val="auto"/>
                    </w:rPr>
                    <w:t>0.108</w:t>
                  </w:r>
                </w:p>
              </w:tc>
              <w:tc>
                <w:tcPr>
                  <w:tcW w:w="1637" w:type="dxa"/>
                  <w:vAlign w:val="center"/>
                </w:tcPr>
                <w:p w14:paraId="296B9D26">
                  <w:pPr>
                    <w:pStyle w:val="52"/>
                    <w:rPr>
                      <w:color w:val="auto"/>
                    </w:rPr>
                  </w:pPr>
                  <w:r>
                    <w:rPr>
                      <w:color w:val="auto"/>
                    </w:rPr>
                    <w:t>0.147</w:t>
                  </w:r>
                </w:p>
              </w:tc>
            </w:tr>
            <w:tr w14:paraId="2786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509EFF78">
                  <w:pPr>
                    <w:pStyle w:val="52"/>
                    <w:rPr>
                      <w:color w:val="auto"/>
                    </w:rPr>
                  </w:pPr>
                  <w:r>
                    <w:rPr>
                      <w:color w:val="auto"/>
                    </w:rPr>
                    <w:t>粒径，μm</w:t>
                  </w:r>
                </w:p>
              </w:tc>
              <w:tc>
                <w:tcPr>
                  <w:tcW w:w="1093" w:type="dxa"/>
                  <w:vAlign w:val="center"/>
                </w:tcPr>
                <w:p w14:paraId="67FCE247">
                  <w:pPr>
                    <w:pStyle w:val="52"/>
                    <w:rPr>
                      <w:color w:val="auto"/>
                    </w:rPr>
                  </w:pPr>
                  <w:r>
                    <w:rPr>
                      <w:color w:val="auto"/>
                    </w:rPr>
                    <w:t>80</w:t>
                  </w:r>
                </w:p>
              </w:tc>
              <w:tc>
                <w:tcPr>
                  <w:tcW w:w="956" w:type="dxa"/>
                  <w:vAlign w:val="center"/>
                </w:tcPr>
                <w:p w14:paraId="2279F463">
                  <w:pPr>
                    <w:pStyle w:val="52"/>
                    <w:rPr>
                      <w:color w:val="auto"/>
                    </w:rPr>
                  </w:pPr>
                  <w:r>
                    <w:rPr>
                      <w:color w:val="auto"/>
                    </w:rPr>
                    <w:t>90</w:t>
                  </w:r>
                </w:p>
              </w:tc>
              <w:tc>
                <w:tcPr>
                  <w:tcW w:w="1093" w:type="dxa"/>
                  <w:vAlign w:val="center"/>
                </w:tcPr>
                <w:p w14:paraId="137CA3E4">
                  <w:pPr>
                    <w:pStyle w:val="52"/>
                    <w:rPr>
                      <w:color w:val="auto"/>
                    </w:rPr>
                  </w:pPr>
                  <w:r>
                    <w:rPr>
                      <w:color w:val="auto"/>
                    </w:rPr>
                    <w:t>100</w:t>
                  </w:r>
                </w:p>
              </w:tc>
              <w:tc>
                <w:tcPr>
                  <w:tcW w:w="1093" w:type="dxa"/>
                  <w:vAlign w:val="center"/>
                </w:tcPr>
                <w:p w14:paraId="194F6955">
                  <w:pPr>
                    <w:pStyle w:val="52"/>
                    <w:rPr>
                      <w:color w:val="auto"/>
                    </w:rPr>
                  </w:pPr>
                  <w:r>
                    <w:rPr>
                      <w:color w:val="auto"/>
                    </w:rPr>
                    <w:t>156.06</w:t>
                  </w:r>
                </w:p>
              </w:tc>
              <w:tc>
                <w:tcPr>
                  <w:tcW w:w="1091" w:type="dxa"/>
                  <w:vAlign w:val="center"/>
                </w:tcPr>
                <w:p w14:paraId="5E62D367">
                  <w:pPr>
                    <w:pStyle w:val="52"/>
                    <w:rPr>
                      <w:color w:val="auto"/>
                    </w:rPr>
                  </w:pPr>
                  <w:r>
                    <w:rPr>
                      <w:color w:val="auto"/>
                    </w:rPr>
                    <w:t>200</w:t>
                  </w:r>
                </w:p>
              </w:tc>
              <w:tc>
                <w:tcPr>
                  <w:tcW w:w="952" w:type="dxa"/>
                  <w:vAlign w:val="center"/>
                </w:tcPr>
                <w:p w14:paraId="4EFC2F23">
                  <w:pPr>
                    <w:pStyle w:val="52"/>
                    <w:rPr>
                      <w:color w:val="auto"/>
                    </w:rPr>
                  </w:pPr>
                  <w:r>
                    <w:rPr>
                      <w:color w:val="auto"/>
                    </w:rPr>
                    <w:t>250</w:t>
                  </w:r>
                </w:p>
              </w:tc>
              <w:tc>
                <w:tcPr>
                  <w:tcW w:w="1637" w:type="dxa"/>
                  <w:vAlign w:val="center"/>
                </w:tcPr>
                <w:p w14:paraId="76D52887">
                  <w:pPr>
                    <w:pStyle w:val="52"/>
                    <w:rPr>
                      <w:color w:val="auto"/>
                    </w:rPr>
                  </w:pPr>
                  <w:r>
                    <w:rPr>
                      <w:color w:val="auto"/>
                    </w:rPr>
                    <w:t>350</w:t>
                  </w:r>
                </w:p>
              </w:tc>
            </w:tr>
            <w:tr w14:paraId="57B4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5C78247E">
                  <w:pPr>
                    <w:pStyle w:val="52"/>
                    <w:rPr>
                      <w:color w:val="auto"/>
                    </w:rPr>
                  </w:pPr>
                  <w:r>
                    <w:rPr>
                      <w:color w:val="auto"/>
                    </w:rPr>
                    <w:t>沉降速度，m/s</w:t>
                  </w:r>
                </w:p>
              </w:tc>
              <w:tc>
                <w:tcPr>
                  <w:tcW w:w="1093" w:type="dxa"/>
                  <w:vAlign w:val="center"/>
                </w:tcPr>
                <w:p w14:paraId="3A913923">
                  <w:pPr>
                    <w:pStyle w:val="52"/>
                    <w:rPr>
                      <w:color w:val="auto"/>
                    </w:rPr>
                  </w:pPr>
                  <w:r>
                    <w:rPr>
                      <w:color w:val="auto"/>
                    </w:rPr>
                    <w:t>0.158</w:t>
                  </w:r>
                </w:p>
              </w:tc>
              <w:tc>
                <w:tcPr>
                  <w:tcW w:w="956" w:type="dxa"/>
                  <w:vAlign w:val="center"/>
                </w:tcPr>
                <w:p w14:paraId="0C6AF2DF">
                  <w:pPr>
                    <w:pStyle w:val="52"/>
                    <w:rPr>
                      <w:color w:val="auto"/>
                    </w:rPr>
                  </w:pPr>
                  <w:r>
                    <w:rPr>
                      <w:color w:val="auto"/>
                    </w:rPr>
                    <w:t>0.170</w:t>
                  </w:r>
                </w:p>
              </w:tc>
              <w:tc>
                <w:tcPr>
                  <w:tcW w:w="1093" w:type="dxa"/>
                  <w:vAlign w:val="center"/>
                </w:tcPr>
                <w:p w14:paraId="059D392B">
                  <w:pPr>
                    <w:pStyle w:val="52"/>
                    <w:rPr>
                      <w:color w:val="auto"/>
                    </w:rPr>
                  </w:pPr>
                  <w:r>
                    <w:rPr>
                      <w:color w:val="auto"/>
                    </w:rPr>
                    <w:t>0.182</w:t>
                  </w:r>
                </w:p>
              </w:tc>
              <w:tc>
                <w:tcPr>
                  <w:tcW w:w="1093" w:type="dxa"/>
                  <w:vAlign w:val="center"/>
                </w:tcPr>
                <w:p w14:paraId="7F4675D7">
                  <w:pPr>
                    <w:pStyle w:val="52"/>
                    <w:rPr>
                      <w:color w:val="auto"/>
                    </w:rPr>
                  </w:pPr>
                  <w:r>
                    <w:rPr>
                      <w:color w:val="auto"/>
                    </w:rPr>
                    <w:t>0.239</w:t>
                  </w:r>
                </w:p>
              </w:tc>
              <w:tc>
                <w:tcPr>
                  <w:tcW w:w="1091" w:type="dxa"/>
                  <w:vAlign w:val="center"/>
                </w:tcPr>
                <w:p w14:paraId="4FD320E9">
                  <w:pPr>
                    <w:pStyle w:val="52"/>
                    <w:rPr>
                      <w:color w:val="auto"/>
                    </w:rPr>
                  </w:pPr>
                  <w:r>
                    <w:rPr>
                      <w:color w:val="auto"/>
                    </w:rPr>
                    <w:t>0.804</w:t>
                  </w:r>
                </w:p>
              </w:tc>
              <w:tc>
                <w:tcPr>
                  <w:tcW w:w="952" w:type="dxa"/>
                  <w:vAlign w:val="center"/>
                </w:tcPr>
                <w:p w14:paraId="3FA82B98">
                  <w:pPr>
                    <w:pStyle w:val="52"/>
                    <w:rPr>
                      <w:color w:val="auto"/>
                    </w:rPr>
                  </w:pPr>
                  <w:r>
                    <w:rPr>
                      <w:color w:val="auto"/>
                    </w:rPr>
                    <w:t>1.005</w:t>
                  </w:r>
                </w:p>
              </w:tc>
              <w:tc>
                <w:tcPr>
                  <w:tcW w:w="1637" w:type="dxa"/>
                  <w:vAlign w:val="center"/>
                </w:tcPr>
                <w:p w14:paraId="5DC3AB0A">
                  <w:pPr>
                    <w:pStyle w:val="52"/>
                    <w:rPr>
                      <w:color w:val="auto"/>
                    </w:rPr>
                  </w:pPr>
                  <w:r>
                    <w:rPr>
                      <w:color w:val="auto"/>
                    </w:rPr>
                    <w:t>1.829</w:t>
                  </w:r>
                </w:p>
              </w:tc>
            </w:tr>
            <w:tr w14:paraId="1BCF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5B25FC8A">
                  <w:pPr>
                    <w:pStyle w:val="52"/>
                    <w:rPr>
                      <w:color w:val="auto"/>
                    </w:rPr>
                  </w:pPr>
                  <w:r>
                    <w:rPr>
                      <w:color w:val="auto"/>
                    </w:rPr>
                    <w:t>粒径，μm</w:t>
                  </w:r>
                </w:p>
              </w:tc>
              <w:tc>
                <w:tcPr>
                  <w:tcW w:w="1093" w:type="dxa"/>
                  <w:vAlign w:val="center"/>
                </w:tcPr>
                <w:p w14:paraId="2B21B559">
                  <w:pPr>
                    <w:pStyle w:val="52"/>
                    <w:rPr>
                      <w:color w:val="auto"/>
                    </w:rPr>
                  </w:pPr>
                  <w:r>
                    <w:rPr>
                      <w:color w:val="auto"/>
                    </w:rPr>
                    <w:t>450</w:t>
                  </w:r>
                </w:p>
              </w:tc>
              <w:tc>
                <w:tcPr>
                  <w:tcW w:w="956" w:type="dxa"/>
                  <w:vAlign w:val="center"/>
                </w:tcPr>
                <w:p w14:paraId="4312B9B3">
                  <w:pPr>
                    <w:pStyle w:val="52"/>
                    <w:rPr>
                      <w:color w:val="auto"/>
                    </w:rPr>
                  </w:pPr>
                  <w:r>
                    <w:rPr>
                      <w:color w:val="auto"/>
                    </w:rPr>
                    <w:t>550</w:t>
                  </w:r>
                </w:p>
              </w:tc>
              <w:tc>
                <w:tcPr>
                  <w:tcW w:w="1093" w:type="dxa"/>
                  <w:vAlign w:val="center"/>
                </w:tcPr>
                <w:p w14:paraId="04213A53">
                  <w:pPr>
                    <w:pStyle w:val="52"/>
                    <w:rPr>
                      <w:color w:val="auto"/>
                    </w:rPr>
                  </w:pPr>
                  <w:r>
                    <w:rPr>
                      <w:color w:val="auto"/>
                    </w:rPr>
                    <w:t>650</w:t>
                  </w:r>
                </w:p>
              </w:tc>
              <w:tc>
                <w:tcPr>
                  <w:tcW w:w="1093" w:type="dxa"/>
                  <w:vAlign w:val="center"/>
                </w:tcPr>
                <w:p w14:paraId="2506A9A9">
                  <w:pPr>
                    <w:pStyle w:val="52"/>
                    <w:rPr>
                      <w:color w:val="auto"/>
                    </w:rPr>
                  </w:pPr>
                  <w:r>
                    <w:rPr>
                      <w:color w:val="auto"/>
                    </w:rPr>
                    <w:t>750</w:t>
                  </w:r>
                </w:p>
              </w:tc>
              <w:tc>
                <w:tcPr>
                  <w:tcW w:w="1091" w:type="dxa"/>
                  <w:vAlign w:val="center"/>
                </w:tcPr>
                <w:p w14:paraId="1EEBC0B5">
                  <w:pPr>
                    <w:pStyle w:val="52"/>
                    <w:rPr>
                      <w:color w:val="auto"/>
                    </w:rPr>
                  </w:pPr>
                  <w:r>
                    <w:rPr>
                      <w:color w:val="auto"/>
                    </w:rPr>
                    <w:t>850</w:t>
                  </w:r>
                </w:p>
              </w:tc>
              <w:tc>
                <w:tcPr>
                  <w:tcW w:w="952" w:type="dxa"/>
                  <w:vAlign w:val="center"/>
                </w:tcPr>
                <w:p w14:paraId="74EE5323">
                  <w:pPr>
                    <w:pStyle w:val="52"/>
                    <w:rPr>
                      <w:color w:val="auto"/>
                    </w:rPr>
                  </w:pPr>
                  <w:r>
                    <w:rPr>
                      <w:color w:val="auto"/>
                    </w:rPr>
                    <w:t>950</w:t>
                  </w:r>
                </w:p>
              </w:tc>
              <w:tc>
                <w:tcPr>
                  <w:tcW w:w="1637" w:type="dxa"/>
                  <w:vAlign w:val="center"/>
                </w:tcPr>
                <w:p w14:paraId="1771492A">
                  <w:pPr>
                    <w:pStyle w:val="52"/>
                    <w:rPr>
                      <w:color w:val="auto"/>
                    </w:rPr>
                  </w:pPr>
                  <w:r>
                    <w:rPr>
                      <w:color w:val="auto"/>
                    </w:rPr>
                    <w:t>1050</w:t>
                  </w:r>
                </w:p>
              </w:tc>
            </w:tr>
            <w:tr w14:paraId="71561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6B7B4029">
                  <w:pPr>
                    <w:pStyle w:val="52"/>
                    <w:rPr>
                      <w:color w:val="auto"/>
                    </w:rPr>
                  </w:pPr>
                  <w:r>
                    <w:rPr>
                      <w:color w:val="auto"/>
                    </w:rPr>
                    <w:t>沉降速度，m/s</w:t>
                  </w:r>
                </w:p>
              </w:tc>
              <w:tc>
                <w:tcPr>
                  <w:tcW w:w="1093" w:type="dxa"/>
                  <w:vAlign w:val="center"/>
                </w:tcPr>
                <w:p w14:paraId="7190AFD9">
                  <w:pPr>
                    <w:pStyle w:val="52"/>
                    <w:rPr>
                      <w:color w:val="auto"/>
                    </w:rPr>
                  </w:pPr>
                  <w:r>
                    <w:rPr>
                      <w:color w:val="auto"/>
                    </w:rPr>
                    <w:t>2.211</w:t>
                  </w:r>
                </w:p>
              </w:tc>
              <w:tc>
                <w:tcPr>
                  <w:tcW w:w="956" w:type="dxa"/>
                  <w:vAlign w:val="center"/>
                </w:tcPr>
                <w:p w14:paraId="25AC40E5">
                  <w:pPr>
                    <w:pStyle w:val="52"/>
                    <w:rPr>
                      <w:color w:val="auto"/>
                    </w:rPr>
                  </w:pPr>
                  <w:r>
                    <w:rPr>
                      <w:color w:val="auto"/>
                    </w:rPr>
                    <w:t>2.614</w:t>
                  </w:r>
                </w:p>
              </w:tc>
              <w:tc>
                <w:tcPr>
                  <w:tcW w:w="1093" w:type="dxa"/>
                  <w:vAlign w:val="center"/>
                </w:tcPr>
                <w:p w14:paraId="0E572562">
                  <w:pPr>
                    <w:pStyle w:val="52"/>
                    <w:rPr>
                      <w:color w:val="auto"/>
                    </w:rPr>
                  </w:pPr>
                  <w:r>
                    <w:rPr>
                      <w:color w:val="auto"/>
                    </w:rPr>
                    <w:t>3.016</w:t>
                  </w:r>
                </w:p>
              </w:tc>
              <w:tc>
                <w:tcPr>
                  <w:tcW w:w="1093" w:type="dxa"/>
                  <w:vAlign w:val="center"/>
                </w:tcPr>
                <w:p w14:paraId="39FF5F63">
                  <w:pPr>
                    <w:pStyle w:val="52"/>
                    <w:rPr>
                      <w:color w:val="auto"/>
                    </w:rPr>
                  </w:pPr>
                  <w:r>
                    <w:rPr>
                      <w:color w:val="auto"/>
                    </w:rPr>
                    <w:t>3.418</w:t>
                  </w:r>
                </w:p>
              </w:tc>
              <w:tc>
                <w:tcPr>
                  <w:tcW w:w="1091" w:type="dxa"/>
                  <w:vAlign w:val="center"/>
                </w:tcPr>
                <w:p w14:paraId="548C6BB8">
                  <w:pPr>
                    <w:pStyle w:val="52"/>
                    <w:rPr>
                      <w:color w:val="auto"/>
                    </w:rPr>
                  </w:pPr>
                  <w:r>
                    <w:rPr>
                      <w:color w:val="auto"/>
                    </w:rPr>
                    <w:t>3.820</w:t>
                  </w:r>
                </w:p>
              </w:tc>
              <w:tc>
                <w:tcPr>
                  <w:tcW w:w="952" w:type="dxa"/>
                  <w:vAlign w:val="center"/>
                </w:tcPr>
                <w:p w14:paraId="780782EB">
                  <w:pPr>
                    <w:pStyle w:val="52"/>
                    <w:rPr>
                      <w:color w:val="auto"/>
                    </w:rPr>
                  </w:pPr>
                  <w:r>
                    <w:rPr>
                      <w:color w:val="auto"/>
                    </w:rPr>
                    <w:t>4.222</w:t>
                  </w:r>
                </w:p>
              </w:tc>
              <w:tc>
                <w:tcPr>
                  <w:tcW w:w="1637" w:type="dxa"/>
                  <w:vAlign w:val="center"/>
                </w:tcPr>
                <w:p w14:paraId="0DEEB9D8">
                  <w:pPr>
                    <w:pStyle w:val="52"/>
                    <w:rPr>
                      <w:color w:val="auto"/>
                    </w:rPr>
                  </w:pPr>
                  <w:r>
                    <w:rPr>
                      <w:color w:val="auto"/>
                    </w:rPr>
                    <w:t>4.624</w:t>
                  </w:r>
                </w:p>
              </w:tc>
            </w:tr>
          </w:tbl>
          <w:p w14:paraId="75ADA4F5">
            <w:pPr>
              <w:ind w:firstLine="480"/>
              <w:rPr>
                <w:rFonts w:cs="Times New Roman"/>
              </w:rPr>
            </w:pPr>
            <w:r>
              <w:rPr>
                <w:rFonts w:cs="Times New Roman"/>
              </w:rPr>
              <w:t>从表7-3可以看出，尘粒的沉降速度随粒径的增大而迅速增大。当粒径为250μm时，沉降速度为1.005m/s，因此可以认为当尘粒大于250μm时，主要影响范围在扬尘点下风向近距离范围内，而真正对外环境产生影响的是一些微小尘粒，在有风的情况下，施工扬尘会对该区域造成一定的影响。项目区内多年平均风速0.9m/s，非雨期间、气候干燥，易产生扬尘污染。</w:t>
            </w:r>
          </w:p>
          <w:p w14:paraId="4F774522">
            <w:pPr>
              <w:ind w:firstLine="480"/>
              <w:rPr>
                <w:rFonts w:cs="Times New Roman"/>
                <w:kern w:val="0"/>
              </w:rPr>
            </w:pPr>
            <w:r>
              <w:rPr>
                <w:rFonts w:cs="Times New Roman"/>
                <w:kern w:val="0"/>
                <w:szCs w:val="24"/>
              </w:rPr>
              <w:t>根据类比同类项目，场区作业面20~30m内TSP浓度可高达200~300mg/m</w:t>
            </w:r>
            <w:r>
              <w:rPr>
                <w:rFonts w:cs="Times New Roman"/>
                <w:kern w:val="0"/>
                <w:szCs w:val="24"/>
                <w:vertAlign w:val="superscript"/>
              </w:rPr>
              <w:t>3</w:t>
            </w:r>
            <w:r>
              <w:rPr>
                <w:rFonts w:cs="Times New Roman"/>
                <w:kern w:val="0"/>
                <w:szCs w:val="24"/>
              </w:rPr>
              <w:t>，主要对施工人员影响较大；50m外TSP浓度为1.5~3.0mg/m</w:t>
            </w:r>
            <w:r>
              <w:rPr>
                <w:rFonts w:cs="Times New Roman"/>
                <w:kern w:val="0"/>
                <w:szCs w:val="24"/>
                <w:vertAlign w:val="superscript"/>
              </w:rPr>
              <w:t>3</w:t>
            </w:r>
            <w:r>
              <w:rPr>
                <w:rFonts w:cs="Times New Roman"/>
                <w:kern w:val="0"/>
                <w:szCs w:val="24"/>
              </w:rPr>
              <w:t>，主要影响范围在下风向，一般在下风向150m处方可达到GB16297-1996《大气污染物综合排放标准》表2无组织排放监控浓度限值，即1.0mg/m</w:t>
            </w:r>
            <w:r>
              <w:rPr>
                <w:rFonts w:cs="Times New Roman"/>
                <w:kern w:val="0"/>
                <w:szCs w:val="24"/>
                <w:vertAlign w:val="superscript"/>
              </w:rPr>
              <w:t>3</w:t>
            </w:r>
            <w:r>
              <w:rPr>
                <w:rFonts w:cs="Times New Roman"/>
                <w:kern w:val="0"/>
                <w:szCs w:val="24"/>
              </w:rPr>
              <w:t>。</w:t>
            </w:r>
          </w:p>
          <w:p w14:paraId="2E065358">
            <w:pPr>
              <w:pStyle w:val="50"/>
              <w:ind w:firstLine="480"/>
              <w:rPr>
                <w:kern w:val="0"/>
              </w:rPr>
            </w:pPr>
            <w:r>
              <w:rPr>
                <w:kern w:val="0"/>
              </w:rPr>
              <w:t>本项目区域主导风向为西南风，项目区最近的大气环境保护目标为</w:t>
            </w:r>
            <w:r>
              <w:t>采区</w:t>
            </w:r>
            <w:r>
              <w:rPr>
                <w:spacing w:val="-10"/>
              </w:rPr>
              <w:t>西南侧</w:t>
            </w:r>
            <w:r>
              <w:t>300m处的</w:t>
            </w:r>
            <w:r>
              <w:rPr>
                <w:snapToGrid w:val="0"/>
              </w:rPr>
              <w:t>芦姐萨</w:t>
            </w:r>
            <w:r>
              <w:t>村</w:t>
            </w:r>
            <w:r>
              <w:rPr>
                <w:kern w:val="0"/>
              </w:rPr>
              <w:t>，距离较远，项目施工产生扬尘对其影响不大。</w:t>
            </w:r>
          </w:p>
          <w:p w14:paraId="3982E16B">
            <w:pPr>
              <w:ind w:firstLine="480"/>
              <w:rPr>
                <w:rFonts w:cs="Times New Roman"/>
              </w:rPr>
            </w:pPr>
            <w:r>
              <w:rPr>
                <w:rFonts w:cs="Times New Roman"/>
              </w:rPr>
              <w:t>综上，施工期产生的扬尘对环境空气的影响是暂时的，随着施工活动的结束，施工扬尘对环境空气的影响将随之消除。</w:t>
            </w:r>
          </w:p>
          <w:p w14:paraId="08248323">
            <w:pPr>
              <w:ind w:firstLine="480"/>
              <w:rPr>
                <w:rFonts w:cs="Times New Roman"/>
              </w:rPr>
            </w:pPr>
            <w:r>
              <w:rPr>
                <w:rFonts w:cs="Times New Roman"/>
              </w:rPr>
              <w:t>（2）施工燃油废气</w:t>
            </w:r>
          </w:p>
          <w:p w14:paraId="33D3F8C6">
            <w:pPr>
              <w:pStyle w:val="53"/>
              <w:ind w:firstLine="480"/>
            </w:pPr>
            <w:r>
              <w:t>施工机械废气主要是CO、碳氢化合物等，其产生量及废气中污染物浓度视其使用频率及发动机对燃料的燃烧情况而异。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项目所在区域的空气环境质量影响不大。</w:t>
            </w:r>
          </w:p>
          <w:p w14:paraId="00D5D17C">
            <w:pPr>
              <w:pStyle w:val="53"/>
              <w:ind w:firstLine="480"/>
            </w:pPr>
            <w:r>
              <w:t>综上，施工期产生施工扬尘及燃油废气对大气环境及其环境保护目标影响不大。</w:t>
            </w:r>
          </w:p>
          <w:p w14:paraId="55A17CB8">
            <w:pPr>
              <w:ind w:firstLine="482"/>
              <w:rPr>
                <w:rFonts w:cs="Times New Roman"/>
                <w:b/>
              </w:rPr>
            </w:pPr>
            <w:r>
              <w:rPr>
                <w:rFonts w:cs="Times New Roman"/>
                <w:b/>
              </w:rPr>
              <w:t>2、施工期地表水环境影响分析</w:t>
            </w:r>
          </w:p>
          <w:p w14:paraId="6E1F17F1">
            <w:pPr>
              <w:ind w:firstLine="480"/>
              <w:rPr>
                <w:rFonts w:cs="Times New Roman"/>
              </w:rPr>
            </w:pPr>
            <w:r>
              <w:rPr>
                <w:rFonts w:cs="Times New Roman"/>
              </w:rPr>
              <w:t>施工人员住宿于原有生活区，施工期废水主要为混凝土搅拌机冲洗废水、工具清洗废水及场地</w:t>
            </w:r>
            <w:r>
              <w:rPr>
                <w:rFonts w:hint="eastAsia" w:cs="Times New Roman"/>
                <w:bCs/>
                <w:color w:val="FF0000"/>
              </w:rPr>
              <w:t>初期雨水</w:t>
            </w:r>
            <w:r>
              <w:rPr>
                <w:rFonts w:cs="Times New Roman"/>
              </w:rPr>
              <w:t>、施工人员生活污水。</w:t>
            </w:r>
          </w:p>
          <w:p w14:paraId="6A8BA4EF">
            <w:pPr>
              <w:ind w:firstLine="480"/>
              <w:rPr>
                <w:rFonts w:cs="Times New Roman"/>
              </w:rPr>
            </w:pPr>
            <w:r>
              <w:rPr>
                <w:rFonts w:cs="Times New Roman"/>
              </w:rPr>
              <w:t>（1）施工生产废水</w:t>
            </w:r>
          </w:p>
          <w:p w14:paraId="60ACC23A">
            <w:pPr>
              <w:ind w:firstLine="480"/>
              <w:rPr>
                <w:rFonts w:cs="Times New Roman"/>
              </w:rPr>
            </w:pPr>
            <w:r>
              <w:rPr>
                <w:rFonts w:hint="eastAsia" w:ascii="宋体" w:hAnsi="宋体" w:cs="宋体"/>
              </w:rPr>
              <w:t>①</w:t>
            </w:r>
            <w:r>
              <w:rPr>
                <w:rFonts w:hint="eastAsia" w:cs="Times New Roman"/>
                <w:lang w:eastAsia="zh-CN"/>
              </w:rPr>
              <w:t>混凝土</w:t>
            </w:r>
            <w:r>
              <w:rPr>
                <w:rFonts w:cs="Times New Roman"/>
              </w:rPr>
              <w:t>拌和废水</w:t>
            </w:r>
          </w:p>
          <w:p w14:paraId="5ECFA9E1">
            <w:pPr>
              <w:ind w:firstLine="480"/>
              <w:jc w:val="both"/>
              <w:rPr>
                <w:rFonts w:cs="Times New Roman"/>
              </w:rPr>
            </w:pPr>
            <w:r>
              <w:rPr>
                <w:rFonts w:cs="Times New Roman"/>
              </w:rPr>
              <w:t>根据工程分析，项目施工期混凝土搅拌机冲洗废水产生量为0.9m</w:t>
            </w:r>
            <w:r>
              <w:rPr>
                <w:rFonts w:cs="Times New Roman"/>
                <w:vertAlign w:val="superscript"/>
              </w:rPr>
              <w:t>3</w:t>
            </w:r>
            <w:r>
              <w:rPr>
                <w:rFonts w:cs="Times New Roman"/>
              </w:rPr>
              <w:t>/d，经沉淀池处理后回收作施工或洒水抑尘，不外排。</w:t>
            </w:r>
          </w:p>
          <w:p w14:paraId="797B1CC4">
            <w:pPr>
              <w:ind w:firstLine="480"/>
              <w:rPr>
                <w:rFonts w:cs="Times New Roman"/>
              </w:rPr>
            </w:pPr>
            <w:r>
              <w:rPr>
                <w:rFonts w:cs="Times New Roman"/>
              </w:rPr>
              <w:t>本环评要求于混凝土拌和系统设置1个沉淀池，容积为2m</w:t>
            </w:r>
            <w:r>
              <w:rPr>
                <w:rFonts w:cs="Times New Roman"/>
                <w:vertAlign w:val="superscript"/>
              </w:rPr>
              <w:t>3</w:t>
            </w:r>
            <w:r>
              <w:rPr>
                <w:rFonts w:cs="Times New Roman"/>
              </w:rPr>
              <w:t>。</w:t>
            </w:r>
          </w:p>
          <w:p w14:paraId="26D6E735">
            <w:pPr>
              <w:pStyle w:val="90"/>
              <w:numPr>
                <w:ilvl w:val="0"/>
                <w:numId w:val="3"/>
              </w:numPr>
              <w:ind w:firstLineChars="0"/>
              <w:rPr>
                <w:rFonts w:cs="Times New Roman"/>
              </w:rPr>
            </w:pPr>
            <w:r>
              <w:rPr>
                <w:rFonts w:cs="Times New Roman"/>
              </w:rPr>
              <w:t>具清洗废水</w:t>
            </w:r>
          </w:p>
          <w:p w14:paraId="73665223">
            <w:pPr>
              <w:ind w:firstLine="480"/>
              <w:rPr>
                <w:rFonts w:cs="Times New Roman"/>
              </w:rPr>
            </w:pPr>
            <w:r>
              <w:rPr>
                <w:rFonts w:cs="Times New Roman"/>
              </w:rPr>
              <w:t>根据工程分析，项目施工期工具清洗废水产生量为</w:t>
            </w:r>
            <w:r>
              <w:rPr>
                <w:rFonts w:cs="Times New Roman"/>
                <w:szCs w:val="23"/>
              </w:rPr>
              <w:t>0.144m</w:t>
            </w:r>
            <w:r>
              <w:rPr>
                <w:rFonts w:cs="Times New Roman"/>
                <w:szCs w:val="16"/>
                <w:vertAlign w:val="superscript"/>
              </w:rPr>
              <w:t>3</w:t>
            </w:r>
            <w:r>
              <w:rPr>
                <w:rFonts w:cs="Times New Roman"/>
                <w:szCs w:val="23"/>
              </w:rPr>
              <w:t>/d，</w:t>
            </w:r>
            <w:r>
              <w:rPr>
                <w:rFonts w:cs="Times New Roman"/>
              </w:rPr>
              <w:t>经沉淀池沉淀后回用于施工或洒水降尘，不外排。</w:t>
            </w:r>
          </w:p>
          <w:p w14:paraId="48FB7D6C">
            <w:pPr>
              <w:ind w:firstLine="480"/>
              <w:rPr>
                <w:rFonts w:cs="Times New Roman"/>
              </w:rPr>
            </w:pPr>
            <w:r>
              <w:rPr>
                <w:rFonts w:cs="Times New Roman"/>
              </w:rPr>
              <w:t>本环评要求于施工区设置1个沉淀池用于处理工具清洗废水，容积为1m</w:t>
            </w:r>
            <w:r>
              <w:rPr>
                <w:rFonts w:cs="Times New Roman"/>
                <w:vertAlign w:val="superscript"/>
              </w:rPr>
              <w:t>3</w:t>
            </w:r>
            <w:r>
              <w:rPr>
                <w:rFonts w:cs="Times New Roman"/>
              </w:rPr>
              <w:t>。</w:t>
            </w:r>
          </w:p>
          <w:p w14:paraId="66510132">
            <w:pPr>
              <w:ind w:firstLine="480"/>
              <w:rPr>
                <w:rFonts w:cs="Times New Roman"/>
              </w:rPr>
            </w:pPr>
            <w:r>
              <w:rPr>
                <w:rFonts w:cs="Times New Roman"/>
              </w:rPr>
              <w:t>（2）施工生活污水</w:t>
            </w:r>
          </w:p>
          <w:p w14:paraId="0E8F0CF4">
            <w:pPr>
              <w:ind w:firstLine="480"/>
              <w:rPr>
                <w:rFonts w:cs="Times New Roman"/>
              </w:rPr>
            </w:pPr>
            <w:r>
              <w:rPr>
                <w:rFonts w:cs="Times New Roman"/>
              </w:rPr>
              <w:t>根据工程分析，施工期生活废水排放量为0.864m</w:t>
            </w:r>
            <w:r>
              <w:rPr>
                <w:rFonts w:cs="Times New Roman"/>
                <w:vertAlign w:val="superscript"/>
              </w:rPr>
              <w:t>3</w:t>
            </w:r>
            <w:r>
              <w:rPr>
                <w:rFonts w:cs="Times New Roman"/>
              </w:rPr>
              <w:t>/d，生活污水经沉淀池沉淀处理后回用于施工及洒水降尘，不外排。</w:t>
            </w:r>
          </w:p>
          <w:p w14:paraId="4B5FA691">
            <w:pPr>
              <w:ind w:firstLine="480"/>
              <w:rPr>
                <w:rFonts w:cs="Times New Roman"/>
              </w:rPr>
            </w:pPr>
            <w:r>
              <w:rPr>
                <w:rFonts w:cs="Times New Roman"/>
              </w:rPr>
              <w:t>本环评要求于原生活区设置1个沉淀池用于处理施工人员生活污水，容积为2m</w:t>
            </w:r>
            <w:r>
              <w:rPr>
                <w:rFonts w:cs="Times New Roman"/>
                <w:vertAlign w:val="superscript"/>
              </w:rPr>
              <w:t>3</w:t>
            </w:r>
            <w:r>
              <w:rPr>
                <w:rFonts w:cs="Times New Roman"/>
              </w:rPr>
              <w:t>。</w:t>
            </w:r>
          </w:p>
          <w:p w14:paraId="127EC493">
            <w:pPr>
              <w:ind w:firstLine="480"/>
              <w:rPr>
                <w:rFonts w:cs="Times New Roman"/>
              </w:rPr>
            </w:pPr>
            <w:r>
              <w:rPr>
                <w:rFonts w:cs="Times New Roman"/>
              </w:rPr>
              <w:t>（3）场地</w:t>
            </w:r>
            <w:r>
              <w:rPr>
                <w:rFonts w:hint="eastAsia" w:cs="Times New Roman"/>
                <w:bCs/>
                <w:color w:val="FF0000"/>
              </w:rPr>
              <w:t>初期雨水</w:t>
            </w:r>
          </w:p>
          <w:p w14:paraId="16DF1400">
            <w:pPr>
              <w:ind w:firstLine="480"/>
              <w:rPr>
                <w:rFonts w:cs="Times New Roman"/>
              </w:rPr>
            </w:pPr>
            <w:r>
              <w:rPr>
                <w:rFonts w:cs="Times New Roman"/>
              </w:rPr>
              <w:t>施工区域表土剥离造成占地范围内地表裸露。在雨季，雨水冲刷容易造成施工范围水土流失，地表径流夹带大量泥沙，影响下游地表水体，造成下游水质变差。在施工区设置截排水沟，并在截排水沟末端设置沉砂池，尽可能的避免雨水冲刷引起水土流失。</w:t>
            </w:r>
          </w:p>
          <w:p w14:paraId="24E48D43">
            <w:pPr>
              <w:ind w:firstLine="482"/>
              <w:rPr>
                <w:rFonts w:cs="Times New Roman"/>
                <w:b/>
              </w:rPr>
            </w:pPr>
            <w:r>
              <w:rPr>
                <w:rFonts w:cs="Times New Roman"/>
                <w:b/>
              </w:rPr>
              <w:t>3、施工期噪声环境影响分析</w:t>
            </w:r>
          </w:p>
          <w:p w14:paraId="004159F2">
            <w:pPr>
              <w:ind w:firstLine="480"/>
              <w:rPr>
                <w:rFonts w:cs="Times New Roman"/>
              </w:rPr>
            </w:pPr>
            <w:r>
              <w:rPr>
                <w:rFonts w:cs="Times New Roman"/>
              </w:rPr>
              <w:t>施工期噪声主要来源于施工机械噪声、运输车辆噪声等。</w:t>
            </w:r>
          </w:p>
          <w:p w14:paraId="4C8EF037">
            <w:pPr>
              <w:ind w:firstLine="480"/>
              <w:rPr>
                <w:rFonts w:cs="Times New Roman"/>
              </w:rPr>
            </w:pPr>
            <w:r>
              <w:rPr>
                <w:rFonts w:cs="Times New Roman"/>
              </w:rPr>
              <w:t>（1）施工机械噪声影响分析</w:t>
            </w:r>
          </w:p>
          <w:p w14:paraId="0978D354">
            <w:pPr>
              <w:pStyle w:val="53"/>
              <w:ind w:firstLine="480"/>
            </w:pPr>
            <w:r>
              <w:t>工程施工期机械噪声主要来自开挖、混凝土拌合系统等，机械源强详见表5-1，在工程施工中，机械噪声具有分散、间断的特点，不同机械噪声源相互叠加的影响并不明显，因此，可以按点声源处理施工噪声，使用点声源的几何发散衰减模式进行噪声预测，点噪声源影响预测方程为：</w:t>
            </w:r>
          </w:p>
          <w:p w14:paraId="15829964">
            <w:pPr>
              <w:pStyle w:val="53"/>
              <w:ind w:firstLine="480"/>
            </w:pPr>
            <w:r>
              <w:t>L（r）=L（r</w:t>
            </w:r>
            <w:r>
              <w:rPr>
                <w:vertAlign w:val="subscript"/>
              </w:rPr>
              <w:t>0</w:t>
            </w:r>
            <w:r>
              <w:t>）-20lg（r/r</w:t>
            </w:r>
            <w:r>
              <w:rPr>
                <w:vertAlign w:val="subscript"/>
              </w:rPr>
              <w:t>0</w:t>
            </w:r>
            <w:r>
              <w:t>）-Aexc</w:t>
            </w:r>
          </w:p>
          <w:p w14:paraId="7D082732">
            <w:pPr>
              <w:pStyle w:val="53"/>
              <w:ind w:firstLine="480"/>
            </w:pPr>
            <w:r>
              <w:t>式中：L（r）为距离声源r距离处的A声级，单位dB（A）</w:t>
            </w:r>
          </w:p>
          <w:p w14:paraId="1F461027">
            <w:pPr>
              <w:pStyle w:val="53"/>
              <w:ind w:firstLine="1166" w:firstLineChars="486"/>
            </w:pPr>
            <w:r>
              <w:t>L（r0）为参考位置r0处的A声级；</w:t>
            </w:r>
          </w:p>
          <w:p w14:paraId="69398646">
            <w:pPr>
              <w:pStyle w:val="53"/>
              <w:ind w:firstLine="1166" w:firstLineChars="486"/>
            </w:pPr>
            <w:r>
              <w:t>Aexc为附加衰减，Aexc=5lg（r/ro），其上限值为10dB（A），可不考虑；</w:t>
            </w:r>
          </w:p>
          <w:p w14:paraId="25C53118">
            <w:pPr>
              <w:pStyle w:val="53"/>
              <w:ind w:firstLine="1166" w:firstLineChars="486"/>
            </w:pPr>
            <w:r>
              <w:t>r0为参考位置距声源中心的距离；</w:t>
            </w:r>
          </w:p>
          <w:p w14:paraId="78CAF3DC">
            <w:pPr>
              <w:pStyle w:val="53"/>
              <w:ind w:firstLine="1166" w:firstLineChars="486"/>
            </w:pPr>
            <w:r>
              <w:t>r为受声点距点源中心点的距离，单位m。</w:t>
            </w:r>
          </w:p>
          <w:p w14:paraId="1986992A">
            <w:pPr>
              <w:pStyle w:val="53"/>
              <w:ind w:firstLine="480"/>
            </w:pPr>
            <w:r>
              <w:t>对于不同的机械噪声源，噪声随传播距离的增加引起的衰减值是相同的，仅是由于噪声源强的大小不同，不同机械的噪声值有所区别，见下表：</w:t>
            </w:r>
          </w:p>
          <w:p w14:paraId="1668234A">
            <w:pPr>
              <w:pStyle w:val="31"/>
              <w:rPr>
                <w:rFonts w:cs="Times New Roman"/>
              </w:rPr>
            </w:pPr>
            <w:r>
              <w:rPr>
                <w:rFonts w:cs="Times New Roman"/>
              </w:rPr>
              <w:t>表7-5 施工噪声影响范围预测结果</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1385"/>
              <w:gridCol w:w="791"/>
              <w:gridCol w:w="791"/>
              <w:gridCol w:w="933"/>
              <w:gridCol w:w="933"/>
              <w:gridCol w:w="933"/>
              <w:gridCol w:w="933"/>
              <w:gridCol w:w="933"/>
              <w:gridCol w:w="931"/>
            </w:tblGrid>
            <w:tr w14:paraId="3A0D01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Merge w:val="restart"/>
                  <w:vAlign w:val="center"/>
                </w:tcPr>
                <w:p w14:paraId="15DA2D03">
                  <w:pPr>
                    <w:pStyle w:val="52"/>
                    <w:rPr>
                      <w:color w:val="auto"/>
                    </w:rPr>
                  </w:pPr>
                  <w:r>
                    <w:rPr>
                      <w:color w:val="auto"/>
                    </w:rPr>
                    <w:t>声源</w:t>
                  </w:r>
                </w:p>
              </w:tc>
              <w:tc>
                <w:tcPr>
                  <w:tcW w:w="1385" w:type="dxa"/>
                  <w:vMerge w:val="restart"/>
                  <w:vAlign w:val="center"/>
                </w:tcPr>
                <w:p w14:paraId="4B747EDF">
                  <w:pPr>
                    <w:pStyle w:val="52"/>
                    <w:rPr>
                      <w:color w:val="auto"/>
                    </w:rPr>
                  </w:pPr>
                  <w:r>
                    <w:rPr>
                      <w:color w:val="auto"/>
                    </w:rPr>
                    <w:t>源强</w:t>
                  </w:r>
                </w:p>
                <w:p w14:paraId="2BE704B0">
                  <w:pPr>
                    <w:pStyle w:val="52"/>
                    <w:rPr>
                      <w:color w:val="auto"/>
                    </w:rPr>
                  </w:pPr>
                  <w:r>
                    <w:rPr>
                      <w:color w:val="auto"/>
                    </w:rPr>
                    <w:t>dB（A）</w:t>
                  </w:r>
                </w:p>
              </w:tc>
              <w:tc>
                <w:tcPr>
                  <w:tcW w:w="7178" w:type="dxa"/>
                  <w:gridSpan w:val="8"/>
                  <w:vAlign w:val="center"/>
                </w:tcPr>
                <w:p w14:paraId="40424154">
                  <w:pPr>
                    <w:pStyle w:val="52"/>
                    <w:rPr>
                      <w:color w:val="auto"/>
                    </w:rPr>
                  </w:pPr>
                  <w:r>
                    <w:rPr>
                      <w:color w:val="auto"/>
                    </w:rPr>
                    <w:t>与声源处距离的噪声预测值dB（A）</w:t>
                  </w:r>
                </w:p>
              </w:tc>
            </w:tr>
            <w:tr w14:paraId="70FAB0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Merge w:val="continue"/>
                  <w:vAlign w:val="center"/>
                </w:tcPr>
                <w:p w14:paraId="0DCA5061">
                  <w:pPr>
                    <w:pStyle w:val="52"/>
                    <w:rPr>
                      <w:color w:val="auto"/>
                    </w:rPr>
                  </w:pPr>
                </w:p>
              </w:tc>
              <w:tc>
                <w:tcPr>
                  <w:tcW w:w="1385" w:type="dxa"/>
                  <w:vMerge w:val="continue"/>
                  <w:vAlign w:val="center"/>
                </w:tcPr>
                <w:p w14:paraId="597EF9F0">
                  <w:pPr>
                    <w:pStyle w:val="52"/>
                    <w:rPr>
                      <w:color w:val="auto"/>
                    </w:rPr>
                  </w:pPr>
                </w:p>
              </w:tc>
              <w:tc>
                <w:tcPr>
                  <w:tcW w:w="791" w:type="dxa"/>
                  <w:vAlign w:val="center"/>
                </w:tcPr>
                <w:p w14:paraId="68FB8894">
                  <w:pPr>
                    <w:pStyle w:val="52"/>
                    <w:rPr>
                      <w:color w:val="auto"/>
                    </w:rPr>
                  </w:pPr>
                  <w:r>
                    <w:rPr>
                      <w:color w:val="auto"/>
                    </w:rPr>
                    <w:t>20m</w:t>
                  </w:r>
                </w:p>
              </w:tc>
              <w:tc>
                <w:tcPr>
                  <w:tcW w:w="791" w:type="dxa"/>
                  <w:vAlign w:val="center"/>
                </w:tcPr>
                <w:p w14:paraId="387689EB">
                  <w:pPr>
                    <w:pStyle w:val="52"/>
                    <w:rPr>
                      <w:color w:val="auto"/>
                    </w:rPr>
                  </w:pPr>
                  <w:r>
                    <w:rPr>
                      <w:color w:val="auto"/>
                    </w:rPr>
                    <w:t>50m</w:t>
                  </w:r>
                </w:p>
              </w:tc>
              <w:tc>
                <w:tcPr>
                  <w:tcW w:w="933" w:type="dxa"/>
                  <w:vAlign w:val="center"/>
                </w:tcPr>
                <w:p w14:paraId="371C35AC">
                  <w:pPr>
                    <w:pStyle w:val="52"/>
                    <w:rPr>
                      <w:color w:val="auto"/>
                    </w:rPr>
                  </w:pPr>
                  <w:r>
                    <w:rPr>
                      <w:color w:val="auto"/>
                    </w:rPr>
                    <w:t>100m</w:t>
                  </w:r>
                </w:p>
              </w:tc>
              <w:tc>
                <w:tcPr>
                  <w:tcW w:w="933" w:type="dxa"/>
                  <w:vAlign w:val="center"/>
                </w:tcPr>
                <w:p w14:paraId="449A9C27">
                  <w:pPr>
                    <w:pStyle w:val="52"/>
                    <w:rPr>
                      <w:color w:val="auto"/>
                    </w:rPr>
                  </w:pPr>
                  <w:r>
                    <w:rPr>
                      <w:color w:val="auto"/>
                    </w:rPr>
                    <w:t>150m</w:t>
                  </w:r>
                </w:p>
              </w:tc>
              <w:tc>
                <w:tcPr>
                  <w:tcW w:w="933" w:type="dxa"/>
                  <w:vAlign w:val="center"/>
                </w:tcPr>
                <w:p w14:paraId="1144A762">
                  <w:pPr>
                    <w:pStyle w:val="52"/>
                    <w:rPr>
                      <w:color w:val="auto"/>
                    </w:rPr>
                  </w:pPr>
                  <w:r>
                    <w:rPr>
                      <w:color w:val="auto"/>
                    </w:rPr>
                    <w:t>200m</w:t>
                  </w:r>
                </w:p>
              </w:tc>
              <w:tc>
                <w:tcPr>
                  <w:tcW w:w="933" w:type="dxa"/>
                  <w:vAlign w:val="center"/>
                </w:tcPr>
                <w:p w14:paraId="3E0851EC">
                  <w:pPr>
                    <w:pStyle w:val="52"/>
                    <w:rPr>
                      <w:color w:val="auto"/>
                    </w:rPr>
                  </w:pPr>
                  <w:r>
                    <w:rPr>
                      <w:color w:val="auto"/>
                    </w:rPr>
                    <w:t>250m</w:t>
                  </w:r>
                </w:p>
              </w:tc>
              <w:tc>
                <w:tcPr>
                  <w:tcW w:w="933" w:type="dxa"/>
                  <w:vAlign w:val="center"/>
                </w:tcPr>
                <w:p w14:paraId="0CD6B3B5">
                  <w:pPr>
                    <w:pStyle w:val="52"/>
                    <w:rPr>
                      <w:color w:val="auto"/>
                    </w:rPr>
                  </w:pPr>
                  <w:r>
                    <w:rPr>
                      <w:color w:val="auto"/>
                    </w:rPr>
                    <w:t>300m</w:t>
                  </w:r>
                </w:p>
              </w:tc>
              <w:tc>
                <w:tcPr>
                  <w:tcW w:w="931" w:type="dxa"/>
                  <w:vAlign w:val="center"/>
                </w:tcPr>
                <w:p w14:paraId="4CF5A6CC">
                  <w:pPr>
                    <w:pStyle w:val="52"/>
                    <w:rPr>
                      <w:color w:val="auto"/>
                    </w:rPr>
                  </w:pPr>
                  <w:r>
                    <w:rPr>
                      <w:color w:val="auto"/>
                    </w:rPr>
                    <w:t>350m</w:t>
                  </w:r>
                </w:p>
              </w:tc>
            </w:tr>
            <w:tr w14:paraId="1FE67D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54B20428">
                  <w:pPr>
                    <w:pStyle w:val="52"/>
                    <w:rPr>
                      <w:color w:val="auto"/>
                    </w:rPr>
                  </w:pPr>
                  <w:r>
                    <w:rPr>
                      <w:color w:val="auto"/>
                    </w:rPr>
                    <w:t>推土机</w:t>
                  </w:r>
                </w:p>
              </w:tc>
              <w:tc>
                <w:tcPr>
                  <w:tcW w:w="1385" w:type="dxa"/>
                  <w:vAlign w:val="center"/>
                </w:tcPr>
                <w:p w14:paraId="23AC1E60">
                  <w:pPr>
                    <w:pStyle w:val="52"/>
                    <w:rPr>
                      <w:color w:val="auto"/>
                    </w:rPr>
                  </w:pPr>
                  <w:r>
                    <w:rPr>
                      <w:color w:val="auto"/>
                    </w:rPr>
                    <w:t>86</w:t>
                  </w:r>
                </w:p>
              </w:tc>
              <w:tc>
                <w:tcPr>
                  <w:tcW w:w="791" w:type="dxa"/>
                  <w:vAlign w:val="center"/>
                </w:tcPr>
                <w:p w14:paraId="3DA67CC5">
                  <w:pPr>
                    <w:pStyle w:val="52"/>
                    <w:rPr>
                      <w:color w:val="auto"/>
                    </w:rPr>
                  </w:pPr>
                  <w:r>
                    <w:rPr>
                      <w:color w:val="auto"/>
                    </w:rPr>
                    <w:t>60</w:t>
                  </w:r>
                </w:p>
              </w:tc>
              <w:tc>
                <w:tcPr>
                  <w:tcW w:w="791" w:type="dxa"/>
                  <w:vAlign w:val="center"/>
                </w:tcPr>
                <w:p w14:paraId="47145F52">
                  <w:pPr>
                    <w:pStyle w:val="52"/>
                    <w:rPr>
                      <w:color w:val="auto"/>
                    </w:rPr>
                  </w:pPr>
                  <w:r>
                    <w:rPr>
                      <w:color w:val="auto"/>
                    </w:rPr>
                    <w:t>52</w:t>
                  </w:r>
                </w:p>
              </w:tc>
              <w:tc>
                <w:tcPr>
                  <w:tcW w:w="933" w:type="dxa"/>
                  <w:vAlign w:val="center"/>
                </w:tcPr>
                <w:p w14:paraId="5F836A0C">
                  <w:pPr>
                    <w:pStyle w:val="52"/>
                    <w:rPr>
                      <w:color w:val="auto"/>
                    </w:rPr>
                  </w:pPr>
                  <w:r>
                    <w:rPr>
                      <w:color w:val="auto"/>
                    </w:rPr>
                    <w:t>55</w:t>
                  </w:r>
                </w:p>
              </w:tc>
              <w:tc>
                <w:tcPr>
                  <w:tcW w:w="933" w:type="dxa"/>
                  <w:vAlign w:val="center"/>
                </w:tcPr>
                <w:p w14:paraId="7B3141BC">
                  <w:pPr>
                    <w:pStyle w:val="52"/>
                    <w:rPr>
                      <w:color w:val="auto"/>
                    </w:rPr>
                  </w:pPr>
                  <w:r>
                    <w:rPr>
                      <w:color w:val="auto"/>
                    </w:rPr>
                    <w:t>46</w:t>
                  </w:r>
                </w:p>
              </w:tc>
              <w:tc>
                <w:tcPr>
                  <w:tcW w:w="933" w:type="dxa"/>
                  <w:vAlign w:val="center"/>
                </w:tcPr>
                <w:p w14:paraId="08616287">
                  <w:pPr>
                    <w:pStyle w:val="52"/>
                    <w:rPr>
                      <w:color w:val="auto"/>
                    </w:rPr>
                  </w:pPr>
                  <w:r>
                    <w:rPr>
                      <w:color w:val="auto"/>
                    </w:rPr>
                    <w:t>40</w:t>
                  </w:r>
                </w:p>
              </w:tc>
              <w:tc>
                <w:tcPr>
                  <w:tcW w:w="933" w:type="dxa"/>
                  <w:vAlign w:val="center"/>
                </w:tcPr>
                <w:p w14:paraId="6703E5CA">
                  <w:pPr>
                    <w:pStyle w:val="52"/>
                    <w:rPr>
                      <w:color w:val="auto"/>
                    </w:rPr>
                  </w:pPr>
                  <w:r>
                    <w:rPr>
                      <w:color w:val="auto"/>
                    </w:rPr>
                    <w:t>38</w:t>
                  </w:r>
                </w:p>
              </w:tc>
              <w:tc>
                <w:tcPr>
                  <w:tcW w:w="933" w:type="dxa"/>
                  <w:vAlign w:val="center"/>
                </w:tcPr>
                <w:p w14:paraId="12CA4455">
                  <w:pPr>
                    <w:pStyle w:val="52"/>
                    <w:rPr>
                      <w:color w:val="auto"/>
                    </w:rPr>
                  </w:pPr>
                  <w:r>
                    <w:rPr>
                      <w:color w:val="auto"/>
                    </w:rPr>
                    <w:t>36</w:t>
                  </w:r>
                </w:p>
              </w:tc>
              <w:tc>
                <w:tcPr>
                  <w:tcW w:w="931" w:type="dxa"/>
                  <w:vAlign w:val="center"/>
                </w:tcPr>
                <w:p w14:paraId="5DE0F85C">
                  <w:pPr>
                    <w:pStyle w:val="52"/>
                    <w:rPr>
                      <w:color w:val="auto"/>
                    </w:rPr>
                  </w:pPr>
                  <w:r>
                    <w:rPr>
                      <w:color w:val="auto"/>
                    </w:rPr>
                    <w:t>34</w:t>
                  </w:r>
                </w:p>
              </w:tc>
            </w:tr>
            <w:tr w14:paraId="3A4EDD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28DDF05A">
                  <w:pPr>
                    <w:pStyle w:val="52"/>
                    <w:rPr>
                      <w:color w:val="auto"/>
                    </w:rPr>
                  </w:pPr>
                  <w:r>
                    <w:rPr>
                      <w:color w:val="auto"/>
                    </w:rPr>
                    <w:t>挖掘机</w:t>
                  </w:r>
                </w:p>
              </w:tc>
              <w:tc>
                <w:tcPr>
                  <w:tcW w:w="1385" w:type="dxa"/>
                  <w:vAlign w:val="center"/>
                </w:tcPr>
                <w:p w14:paraId="6FF4AB18">
                  <w:pPr>
                    <w:pStyle w:val="52"/>
                    <w:rPr>
                      <w:color w:val="auto"/>
                    </w:rPr>
                  </w:pPr>
                  <w:r>
                    <w:rPr>
                      <w:color w:val="auto"/>
                    </w:rPr>
                    <w:t>86</w:t>
                  </w:r>
                </w:p>
              </w:tc>
              <w:tc>
                <w:tcPr>
                  <w:tcW w:w="791" w:type="dxa"/>
                  <w:vAlign w:val="center"/>
                </w:tcPr>
                <w:p w14:paraId="6BC3700F">
                  <w:pPr>
                    <w:pStyle w:val="52"/>
                    <w:rPr>
                      <w:color w:val="auto"/>
                    </w:rPr>
                  </w:pPr>
                  <w:r>
                    <w:rPr>
                      <w:color w:val="auto"/>
                    </w:rPr>
                    <w:t>66</w:t>
                  </w:r>
                </w:p>
              </w:tc>
              <w:tc>
                <w:tcPr>
                  <w:tcW w:w="791" w:type="dxa"/>
                  <w:vAlign w:val="center"/>
                </w:tcPr>
                <w:p w14:paraId="3F620D5E">
                  <w:pPr>
                    <w:pStyle w:val="52"/>
                    <w:rPr>
                      <w:color w:val="auto"/>
                    </w:rPr>
                  </w:pPr>
                  <w:r>
                    <w:rPr>
                      <w:color w:val="auto"/>
                    </w:rPr>
                    <w:t>58</w:t>
                  </w:r>
                </w:p>
              </w:tc>
              <w:tc>
                <w:tcPr>
                  <w:tcW w:w="933" w:type="dxa"/>
                  <w:vAlign w:val="center"/>
                </w:tcPr>
                <w:p w14:paraId="010944E2">
                  <w:pPr>
                    <w:pStyle w:val="52"/>
                    <w:rPr>
                      <w:color w:val="auto"/>
                    </w:rPr>
                  </w:pPr>
                  <w:r>
                    <w:rPr>
                      <w:color w:val="auto"/>
                    </w:rPr>
                    <w:t>52</w:t>
                  </w:r>
                </w:p>
              </w:tc>
              <w:tc>
                <w:tcPr>
                  <w:tcW w:w="933" w:type="dxa"/>
                  <w:vAlign w:val="center"/>
                </w:tcPr>
                <w:p w14:paraId="2DB9949B">
                  <w:pPr>
                    <w:pStyle w:val="52"/>
                    <w:rPr>
                      <w:color w:val="auto"/>
                    </w:rPr>
                  </w:pPr>
                  <w:r>
                    <w:rPr>
                      <w:color w:val="auto"/>
                    </w:rPr>
                    <w:t>48</w:t>
                  </w:r>
                </w:p>
              </w:tc>
              <w:tc>
                <w:tcPr>
                  <w:tcW w:w="933" w:type="dxa"/>
                  <w:vAlign w:val="center"/>
                </w:tcPr>
                <w:p w14:paraId="3B52A66D">
                  <w:pPr>
                    <w:pStyle w:val="52"/>
                    <w:rPr>
                      <w:color w:val="auto"/>
                    </w:rPr>
                  </w:pPr>
                  <w:r>
                    <w:rPr>
                      <w:color w:val="auto"/>
                    </w:rPr>
                    <w:t>46</w:t>
                  </w:r>
                </w:p>
              </w:tc>
              <w:tc>
                <w:tcPr>
                  <w:tcW w:w="933" w:type="dxa"/>
                  <w:vAlign w:val="center"/>
                </w:tcPr>
                <w:p w14:paraId="7D409C73">
                  <w:pPr>
                    <w:pStyle w:val="52"/>
                    <w:rPr>
                      <w:color w:val="auto"/>
                    </w:rPr>
                  </w:pPr>
                  <w:r>
                    <w:rPr>
                      <w:color w:val="auto"/>
                    </w:rPr>
                    <w:t>44</w:t>
                  </w:r>
                </w:p>
              </w:tc>
              <w:tc>
                <w:tcPr>
                  <w:tcW w:w="933" w:type="dxa"/>
                  <w:vAlign w:val="center"/>
                </w:tcPr>
                <w:p w14:paraId="34A5DA61">
                  <w:pPr>
                    <w:pStyle w:val="52"/>
                    <w:rPr>
                      <w:color w:val="auto"/>
                    </w:rPr>
                  </w:pPr>
                  <w:r>
                    <w:rPr>
                      <w:color w:val="auto"/>
                    </w:rPr>
                    <w:t>42</w:t>
                  </w:r>
                </w:p>
              </w:tc>
              <w:tc>
                <w:tcPr>
                  <w:tcW w:w="931" w:type="dxa"/>
                  <w:vAlign w:val="center"/>
                </w:tcPr>
                <w:p w14:paraId="7FF80938">
                  <w:pPr>
                    <w:pStyle w:val="52"/>
                    <w:rPr>
                      <w:color w:val="auto"/>
                    </w:rPr>
                  </w:pPr>
                  <w:r>
                    <w:rPr>
                      <w:color w:val="auto"/>
                    </w:rPr>
                    <w:t>41</w:t>
                  </w:r>
                </w:p>
              </w:tc>
            </w:tr>
            <w:tr w14:paraId="55BFC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013B6747">
                  <w:pPr>
                    <w:pStyle w:val="52"/>
                    <w:rPr>
                      <w:color w:val="auto"/>
                    </w:rPr>
                  </w:pPr>
                  <w:r>
                    <w:rPr>
                      <w:color w:val="auto"/>
                    </w:rPr>
                    <w:t>装载机</w:t>
                  </w:r>
                </w:p>
              </w:tc>
              <w:tc>
                <w:tcPr>
                  <w:tcW w:w="1385" w:type="dxa"/>
                  <w:vAlign w:val="center"/>
                </w:tcPr>
                <w:p w14:paraId="36CE002F">
                  <w:pPr>
                    <w:pStyle w:val="52"/>
                    <w:rPr>
                      <w:color w:val="auto"/>
                    </w:rPr>
                  </w:pPr>
                  <w:r>
                    <w:rPr>
                      <w:color w:val="auto"/>
                    </w:rPr>
                    <w:t>90</w:t>
                  </w:r>
                </w:p>
              </w:tc>
              <w:tc>
                <w:tcPr>
                  <w:tcW w:w="791" w:type="dxa"/>
                  <w:vAlign w:val="center"/>
                </w:tcPr>
                <w:p w14:paraId="397F5156">
                  <w:pPr>
                    <w:pStyle w:val="52"/>
                    <w:rPr>
                      <w:color w:val="auto"/>
                    </w:rPr>
                  </w:pPr>
                  <w:r>
                    <w:rPr>
                      <w:color w:val="auto"/>
                    </w:rPr>
                    <w:t>64</w:t>
                  </w:r>
                </w:p>
              </w:tc>
              <w:tc>
                <w:tcPr>
                  <w:tcW w:w="791" w:type="dxa"/>
                  <w:vAlign w:val="center"/>
                </w:tcPr>
                <w:p w14:paraId="13CA8460">
                  <w:pPr>
                    <w:pStyle w:val="52"/>
                    <w:rPr>
                      <w:color w:val="auto"/>
                    </w:rPr>
                  </w:pPr>
                  <w:r>
                    <w:rPr>
                      <w:color w:val="auto"/>
                    </w:rPr>
                    <w:t>56</w:t>
                  </w:r>
                </w:p>
              </w:tc>
              <w:tc>
                <w:tcPr>
                  <w:tcW w:w="933" w:type="dxa"/>
                  <w:vAlign w:val="center"/>
                </w:tcPr>
                <w:p w14:paraId="63C2898D">
                  <w:pPr>
                    <w:pStyle w:val="52"/>
                    <w:rPr>
                      <w:color w:val="auto"/>
                    </w:rPr>
                  </w:pPr>
                  <w:r>
                    <w:rPr>
                      <w:color w:val="auto"/>
                    </w:rPr>
                    <w:t>50</w:t>
                  </w:r>
                </w:p>
              </w:tc>
              <w:tc>
                <w:tcPr>
                  <w:tcW w:w="933" w:type="dxa"/>
                  <w:vAlign w:val="center"/>
                </w:tcPr>
                <w:p w14:paraId="00DF9AD7">
                  <w:pPr>
                    <w:pStyle w:val="52"/>
                    <w:rPr>
                      <w:color w:val="auto"/>
                    </w:rPr>
                  </w:pPr>
                  <w:r>
                    <w:rPr>
                      <w:color w:val="auto"/>
                    </w:rPr>
                    <w:t>46</w:t>
                  </w:r>
                </w:p>
              </w:tc>
              <w:tc>
                <w:tcPr>
                  <w:tcW w:w="933" w:type="dxa"/>
                  <w:vAlign w:val="center"/>
                </w:tcPr>
                <w:p w14:paraId="0462831A">
                  <w:pPr>
                    <w:pStyle w:val="52"/>
                    <w:rPr>
                      <w:color w:val="auto"/>
                    </w:rPr>
                  </w:pPr>
                  <w:r>
                    <w:rPr>
                      <w:color w:val="auto"/>
                    </w:rPr>
                    <w:t>44</w:t>
                  </w:r>
                </w:p>
              </w:tc>
              <w:tc>
                <w:tcPr>
                  <w:tcW w:w="933" w:type="dxa"/>
                  <w:vAlign w:val="center"/>
                </w:tcPr>
                <w:p w14:paraId="6687B5F5">
                  <w:pPr>
                    <w:pStyle w:val="52"/>
                    <w:rPr>
                      <w:color w:val="auto"/>
                    </w:rPr>
                  </w:pPr>
                  <w:r>
                    <w:rPr>
                      <w:color w:val="auto"/>
                    </w:rPr>
                    <w:t>42</w:t>
                  </w:r>
                </w:p>
              </w:tc>
              <w:tc>
                <w:tcPr>
                  <w:tcW w:w="933" w:type="dxa"/>
                  <w:vAlign w:val="center"/>
                </w:tcPr>
                <w:p w14:paraId="0A1A026C">
                  <w:pPr>
                    <w:pStyle w:val="52"/>
                    <w:rPr>
                      <w:color w:val="auto"/>
                    </w:rPr>
                  </w:pPr>
                  <w:r>
                    <w:rPr>
                      <w:color w:val="auto"/>
                    </w:rPr>
                    <w:t>40</w:t>
                  </w:r>
                </w:p>
              </w:tc>
              <w:tc>
                <w:tcPr>
                  <w:tcW w:w="931" w:type="dxa"/>
                  <w:vAlign w:val="center"/>
                </w:tcPr>
                <w:p w14:paraId="65D8C055">
                  <w:pPr>
                    <w:pStyle w:val="52"/>
                    <w:rPr>
                      <w:color w:val="auto"/>
                    </w:rPr>
                  </w:pPr>
                  <w:r>
                    <w:rPr>
                      <w:color w:val="auto"/>
                    </w:rPr>
                    <w:t>39</w:t>
                  </w:r>
                </w:p>
              </w:tc>
            </w:tr>
            <w:tr w14:paraId="7A6556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49114250">
                  <w:pPr>
                    <w:pStyle w:val="52"/>
                    <w:rPr>
                      <w:color w:val="auto"/>
                    </w:rPr>
                  </w:pPr>
                  <w:r>
                    <w:rPr>
                      <w:color w:val="auto"/>
                    </w:rPr>
                    <w:t>电焊机</w:t>
                  </w:r>
                </w:p>
              </w:tc>
              <w:tc>
                <w:tcPr>
                  <w:tcW w:w="1385" w:type="dxa"/>
                  <w:vAlign w:val="center"/>
                </w:tcPr>
                <w:p w14:paraId="6642B2A1">
                  <w:pPr>
                    <w:pStyle w:val="52"/>
                    <w:rPr>
                      <w:color w:val="auto"/>
                    </w:rPr>
                  </w:pPr>
                  <w:r>
                    <w:rPr>
                      <w:color w:val="auto"/>
                    </w:rPr>
                    <w:t>85</w:t>
                  </w:r>
                </w:p>
              </w:tc>
              <w:tc>
                <w:tcPr>
                  <w:tcW w:w="791" w:type="dxa"/>
                  <w:vAlign w:val="center"/>
                </w:tcPr>
                <w:p w14:paraId="565F5831">
                  <w:pPr>
                    <w:pStyle w:val="52"/>
                    <w:rPr>
                      <w:color w:val="auto"/>
                    </w:rPr>
                  </w:pPr>
                  <w:r>
                    <w:rPr>
                      <w:color w:val="auto"/>
                    </w:rPr>
                    <w:t>59</w:t>
                  </w:r>
                </w:p>
              </w:tc>
              <w:tc>
                <w:tcPr>
                  <w:tcW w:w="791" w:type="dxa"/>
                  <w:vAlign w:val="center"/>
                </w:tcPr>
                <w:p w14:paraId="31A338D7">
                  <w:pPr>
                    <w:pStyle w:val="52"/>
                    <w:rPr>
                      <w:color w:val="auto"/>
                    </w:rPr>
                  </w:pPr>
                  <w:r>
                    <w:rPr>
                      <w:color w:val="auto"/>
                    </w:rPr>
                    <w:t>51</w:t>
                  </w:r>
                </w:p>
              </w:tc>
              <w:tc>
                <w:tcPr>
                  <w:tcW w:w="933" w:type="dxa"/>
                  <w:vAlign w:val="center"/>
                </w:tcPr>
                <w:p w14:paraId="2F1C6137">
                  <w:pPr>
                    <w:pStyle w:val="52"/>
                    <w:rPr>
                      <w:color w:val="auto"/>
                    </w:rPr>
                  </w:pPr>
                  <w:r>
                    <w:rPr>
                      <w:color w:val="auto"/>
                    </w:rPr>
                    <w:t>45</w:t>
                  </w:r>
                </w:p>
              </w:tc>
              <w:tc>
                <w:tcPr>
                  <w:tcW w:w="933" w:type="dxa"/>
                  <w:vAlign w:val="center"/>
                </w:tcPr>
                <w:p w14:paraId="31D4B7C6">
                  <w:pPr>
                    <w:pStyle w:val="52"/>
                    <w:rPr>
                      <w:color w:val="auto"/>
                    </w:rPr>
                  </w:pPr>
                  <w:r>
                    <w:rPr>
                      <w:color w:val="auto"/>
                    </w:rPr>
                    <w:t>41</w:t>
                  </w:r>
                </w:p>
              </w:tc>
              <w:tc>
                <w:tcPr>
                  <w:tcW w:w="933" w:type="dxa"/>
                  <w:vAlign w:val="center"/>
                </w:tcPr>
                <w:p w14:paraId="3FFF37B5">
                  <w:pPr>
                    <w:pStyle w:val="52"/>
                    <w:rPr>
                      <w:color w:val="auto"/>
                    </w:rPr>
                  </w:pPr>
                  <w:r>
                    <w:rPr>
                      <w:color w:val="auto"/>
                    </w:rPr>
                    <w:t>39</w:t>
                  </w:r>
                </w:p>
              </w:tc>
              <w:tc>
                <w:tcPr>
                  <w:tcW w:w="933" w:type="dxa"/>
                  <w:vAlign w:val="center"/>
                </w:tcPr>
                <w:p w14:paraId="603ACD52">
                  <w:pPr>
                    <w:pStyle w:val="52"/>
                    <w:rPr>
                      <w:color w:val="auto"/>
                    </w:rPr>
                  </w:pPr>
                  <w:r>
                    <w:rPr>
                      <w:color w:val="auto"/>
                    </w:rPr>
                    <w:t>37</w:t>
                  </w:r>
                </w:p>
              </w:tc>
              <w:tc>
                <w:tcPr>
                  <w:tcW w:w="933" w:type="dxa"/>
                  <w:vAlign w:val="center"/>
                </w:tcPr>
                <w:p w14:paraId="2FF424F2">
                  <w:pPr>
                    <w:pStyle w:val="52"/>
                    <w:rPr>
                      <w:color w:val="auto"/>
                    </w:rPr>
                  </w:pPr>
                  <w:r>
                    <w:rPr>
                      <w:color w:val="auto"/>
                    </w:rPr>
                    <w:t>35</w:t>
                  </w:r>
                </w:p>
              </w:tc>
              <w:tc>
                <w:tcPr>
                  <w:tcW w:w="931" w:type="dxa"/>
                  <w:vAlign w:val="center"/>
                </w:tcPr>
                <w:p w14:paraId="688C94E5">
                  <w:pPr>
                    <w:pStyle w:val="52"/>
                    <w:rPr>
                      <w:color w:val="auto"/>
                    </w:rPr>
                  </w:pPr>
                  <w:r>
                    <w:rPr>
                      <w:color w:val="auto"/>
                    </w:rPr>
                    <w:t>34</w:t>
                  </w:r>
                </w:p>
              </w:tc>
            </w:tr>
            <w:tr w14:paraId="2FAB0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5794F265">
                  <w:pPr>
                    <w:pStyle w:val="52"/>
                    <w:rPr>
                      <w:color w:val="auto"/>
                    </w:rPr>
                  </w:pPr>
                  <w:r>
                    <w:rPr>
                      <w:color w:val="auto"/>
                    </w:rPr>
                    <w:t>卡车</w:t>
                  </w:r>
                </w:p>
              </w:tc>
              <w:tc>
                <w:tcPr>
                  <w:tcW w:w="1385" w:type="dxa"/>
                  <w:vAlign w:val="center"/>
                </w:tcPr>
                <w:p w14:paraId="6DCA3B59">
                  <w:pPr>
                    <w:pStyle w:val="52"/>
                    <w:rPr>
                      <w:color w:val="auto"/>
                    </w:rPr>
                  </w:pPr>
                  <w:r>
                    <w:rPr>
                      <w:color w:val="auto"/>
                    </w:rPr>
                    <w:t>90</w:t>
                  </w:r>
                </w:p>
              </w:tc>
              <w:tc>
                <w:tcPr>
                  <w:tcW w:w="791" w:type="dxa"/>
                  <w:vAlign w:val="center"/>
                </w:tcPr>
                <w:p w14:paraId="4ACFB0AD">
                  <w:pPr>
                    <w:pStyle w:val="52"/>
                    <w:rPr>
                      <w:color w:val="auto"/>
                    </w:rPr>
                  </w:pPr>
                  <w:r>
                    <w:rPr>
                      <w:color w:val="auto"/>
                    </w:rPr>
                    <w:t>64</w:t>
                  </w:r>
                </w:p>
              </w:tc>
              <w:tc>
                <w:tcPr>
                  <w:tcW w:w="791" w:type="dxa"/>
                  <w:vAlign w:val="center"/>
                </w:tcPr>
                <w:p w14:paraId="59012C81">
                  <w:pPr>
                    <w:pStyle w:val="52"/>
                    <w:rPr>
                      <w:color w:val="auto"/>
                    </w:rPr>
                  </w:pPr>
                  <w:r>
                    <w:rPr>
                      <w:color w:val="auto"/>
                    </w:rPr>
                    <w:t>56</w:t>
                  </w:r>
                </w:p>
              </w:tc>
              <w:tc>
                <w:tcPr>
                  <w:tcW w:w="933" w:type="dxa"/>
                  <w:vAlign w:val="center"/>
                </w:tcPr>
                <w:p w14:paraId="3994310B">
                  <w:pPr>
                    <w:pStyle w:val="52"/>
                    <w:rPr>
                      <w:color w:val="auto"/>
                    </w:rPr>
                  </w:pPr>
                  <w:r>
                    <w:rPr>
                      <w:color w:val="auto"/>
                    </w:rPr>
                    <w:t>50</w:t>
                  </w:r>
                </w:p>
              </w:tc>
              <w:tc>
                <w:tcPr>
                  <w:tcW w:w="933" w:type="dxa"/>
                  <w:vAlign w:val="center"/>
                </w:tcPr>
                <w:p w14:paraId="4B3CF709">
                  <w:pPr>
                    <w:pStyle w:val="52"/>
                    <w:rPr>
                      <w:color w:val="auto"/>
                    </w:rPr>
                  </w:pPr>
                  <w:r>
                    <w:rPr>
                      <w:color w:val="auto"/>
                    </w:rPr>
                    <w:t>46</w:t>
                  </w:r>
                </w:p>
              </w:tc>
              <w:tc>
                <w:tcPr>
                  <w:tcW w:w="933" w:type="dxa"/>
                  <w:vAlign w:val="center"/>
                </w:tcPr>
                <w:p w14:paraId="40BD14D8">
                  <w:pPr>
                    <w:pStyle w:val="52"/>
                    <w:rPr>
                      <w:color w:val="auto"/>
                    </w:rPr>
                  </w:pPr>
                  <w:r>
                    <w:rPr>
                      <w:color w:val="auto"/>
                    </w:rPr>
                    <w:t>44</w:t>
                  </w:r>
                </w:p>
              </w:tc>
              <w:tc>
                <w:tcPr>
                  <w:tcW w:w="933" w:type="dxa"/>
                  <w:vAlign w:val="center"/>
                </w:tcPr>
                <w:p w14:paraId="5654CE4D">
                  <w:pPr>
                    <w:pStyle w:val="52"/>
                    <w:rPr>
                      <w:color w:val="auto"/>
                    </w:rPr>
                  </w:pPr>
                  <w:r>
                    <w:rPr>
                      <w:color w:val="auto"/>
                    </w:rPr>
                    <w:t>42</w:t>
                  </w:r>
                </w:p>
              </w:tc>
              <w:tc>
                <w:tcPr>
                  <w:tcW w:w="933" w:type="dxa"/>
                  <w:vAlign w:val="center"/>
                </w:tcPr>
                <w:p w14:paraId="1CDC53E2">
                  <w:pPr>
                    <w:pStyle w:val="52"/>
                    <w:rPr>
                      <w:color w:val="auto"/>
                    </w:rPr>
                  </w:pPr>
                  <w:r>
                    <w:rPr>
                      <w:color w:val="auto"/>
                    </w:rPr>
                    <w:t>40</w:t>
                  </w:r>
                </w:p>
              </w:tc>
              <w:tc>
                <w:tcPr>
                  <w:tcW w:w="931" w:type="dxa"/>
                  <w:vAlign w:val="center"/>
                </w:tcPr>
                <w:p w14:paraId="3E7BA75E">
                  <w:pPr>
                    <w:pStyle w:val="52"/>
                    <w:rPr>
                      <w:color w:val="auto"/>
                    </w:rPr>
                  </w:pPr>
                  <w:r>
                    <w:rPr>
                      <w:color w:val="auto"/>
                    </w:rPr>
                    <w:t>39</w:t>
                  </w:r>
                </w:p>
              </w:tc>
            </w:tr>
            <w:tr w14:paraId="10681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31567023">
                  <w:pPr>
                    <w:pStyle w:val="52"/>
                    <w:rPr>
                      <w:color w:val="auto"/>
                    </w:rPr>
                  </w:pPr>
                  <w:r>
                    <w:rPr>
                      <w:color w:val="auto"/>
                    </w:rPr>
                    <w:t>搅拌机</w:t>
                  </w:r>
                </w:p>
              </w:tc>
              <w:tc>
                <w:tcPr>
                  <w:tcW w:w="1385" w:type="dxa"/>
                  <w:vAlign w:val="center"/>
                </w:tcPr>
                <w:p w14:paraId="2AC3D15D">
                  <w:pPr>
                    <w:pStyle w:val="52"/>
                    <w:rPr>
                      <w:color w:val="auto"/>
                    </w:rPr>
                  </w:pPr>
                  <w:r>
                    <w:rPr>
                      <w:color w:val="auto"/>
                    </w:rPr>
                    <w:t>90</w:t>
                  </w:r>
                </w:p>
              </w:tc>
              <w:tc>
                <w:tcPr>
                  <w:tcW w:w="791" w:type="dxa"/>
                  <w:vAlign w:val="center"/>
                </w:tcPr>
                <w:p w14:paraId="59DA384C">
                  <w:pPr>
                    <w:pStyle w:val="52"/>
                    <w:rPr>
                      <w:color w:val="auto"/>
                    </w:rPr>
                  </w:pPr>
                  <w:r>
                    <w:rPr>
                      <w:color w:val="auto"/>
                    </w:rPr>
                    <w:t>64</w:t>
                  </w:r>
                </w:p>
              </w:tc>
              <w:tc>
                <w:tcPr>
                  <w:tcW w:w="791" w:type="dxa"/>
                  <w:vAlign w:val="center"/>
                </w:tcPr>
                <w:p w14:paraId="31CA18C5">
                  <w:pPr>
                    <w:pStyle w:val="52"/>
                    <w:rPr>
                      <w:color w:val="auto"/>
                    </w:rPr>
                  </w:pPr>
                  <w:r>
                    <w:rPr>
                      <w:color w:val="auto"/>
                    </w:rPr>
                    <w:t>56</w:t>
                  </w:r>
                </w:p>
              </w:tc>
              <w:tc>
                <w:tcPr>
                  <w:tcW w:w="933" w:type="dxa"/>
                  <w:vAlign w:val="center"/>
                </w:tcPr>
                <w:p w14:paraId="4B62B5CF">
                  <w:pPr>
                    <w:pStyle w:val="52"/>
                    <w:rPr>
                      <w:color w:val="auto"/>
                    </w:rPr>
                  </w:pPr>
                  <w:r>
                    <w:rPr>
                      <w:color w:val="auto"/>
                    </w:rPr>
                    <w:t>50</w:t>
                  </w:r>
                </w:p>
              </w:tc>
              <w:tc>
                <w:tcPr>
                  <w:tcW w:w="933" w:type="dxa"/>
                  <w:vAlign w:val="center"/>
                </w:tcPr>
                <w:p w14:paraId="15857782">
                  <w:pPr>
                    <w:pStyle w:val="52"/>
                    <w:rPr>
                      <w:color w:val="auto"/>
                    </w:rPr>
                  </w:pPr>
                  <w:r>
                    <w:rPr>
                      <w:color w:val="auto"/>
                    </w:rPr>
                    <w:t>46</w:t>
                  </w:r>
                </w:p>
              </w:tc>
              <w:tc>
                <w:tcPr>
                  <w:tcW w:w="933" w:type="dxa"/>
                  <w:vAlign w:val="center"/>
                </w:tcPr>
                <w:p w14:paraId="04A463EA">
                  <w:pPr>
                    <w:pStyle w:val="52"/>
                    <w:rPr>
                      <w:color w:val="auto"/>
                    </w:rPr>
                  </w:pPr>
                  <w:r>
                    <w:rPr>
                      <w:color w:val="auto"/>
                    </w:rPr>
                    <w:t>44</w:t>
                  </w:r>
                </w:p>
              </w:tc>
              <w:tc>
                <w:tcPr>
                  <w:tcW w:w="933" w:type="dxa"/>
                  <w:vAlign w:val="center"/>
                </w:tcPr>
                <w:p w14:paraId="70CD75ED">
                  <w:pPr>
                    <w:pStyle w:val="52"/>
                    <w:rPr>
                      <w:color w:val="auto"/>
                    </w:rPr>
                  </w:pPr>
                  <w:r>
                    <w:rPr>
                      <w:color w:val="auto"/>
                    </w:rPr>
                    <w:t>42</w:t>
                  </w:r>
                </w:p>
              </w:tc>
              <w:tc>
                <w:tcPr>
                  <w:tcW w:w="933" w:type="dxa"/>
                  <w:vAlign w:val="center"/>
                </w:tcPr>
                <w:p w14:paraId="4B01C0FD">
                  <w:pPr>
                    <w:pStyle w:val="52"/>
                    <w:rPr>
                      <w:color w:val="auto"/>
                    </w:rPr>
                  </w:pPr>
                  <w:r>
                    <w:rPr>
                      <w:color w:val="auto"/>
                    </w:rPr>
                    <w:t>40</w:t>
                  </w:r>
                </w:p>
              </w:tc>
              <w:tc>
                <w:tcPr>
                  <w:tcW w:w="931" w:type="dxa"/>
                  <w:vAlign w:val="center"/>
                </w:tcPr>
                <w:p w14:paraId="264A1DFF">
                  <w:pPr>
                    <w:pStyle w:val="52"/>
                    <w:rPr>
                      <w:color w:val="auto"/>
                    </w:rPr>
                  </w:pPr>
                  <w:r>
                    <w:rPr>
                      <w:color w:val="auto"/>
                    </w:rPr>
                    <w:t>39</w:t>
                  </w:r>
                </w:p>
              </w:tc>
            </w:tr>
            <w:tr w14:paraId="69D678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4D3097F2">
                  <w:pPr>
                    <w:pStyle w:val="52"/>
                    <w:rPr>
                      <w:color w:val="auto"/>
                    </w:rPr>
                  </w:pPr>
                  <w:r>
                    <w:rPr>
                      <w:color w:val="auto"/>
                    </w:rPr>
                    <w:t>手风钻</w:t>
                  </w:r>
                </w:p>
              </w:tc>
              <w:tc>
                <w:tcPr>
                  <w:tcW w:w="1385" w:type="dxa"/>
                  <w:vAlign w:val="center"/>
                </w:tcPr>
                <w:p w14:paraId="2E88F84C">
                  <w:pPr>
                    <w:pStyle w:val="52"/>
                    <w:rPr>
                      <w:color w:val="auto"/>
                    </w:rPr>
                  </w:pPr>
                  <w:r>
                    <w:rPr>
                      <w:color w:val="auto"/>
                    </w:rPr>
                    <w:t>94</w:t>
                  </w:r>
                </w:p>
              </w:tc>
              <w:tc>
                <w:tcPr>
                  <w:tcW w:w="791" w:type="dxa"/>
                  <w:vAlign w:val="center"/>
                </w:tcPr>
                <w:p w14:paraId="4D8B4201">
                  <w:pPr>
                    <w:pStyle w:val="52"/>
                    <w:rPr>
                      <w:color w:val="auto"/>
                    </w:rPr>
                  </w:pPr>
                  <w:r>
                    <w:rPr>
                      <w:color w:val="auto"/>
                    </w:rPr>
                    <w:t>68</w:t>
                  </w:r>
                </w:p>
              </w:tc>
              <w:tc>
                <w:tcPr>
                  <w:tcW w:w="791" w:type="dxa"/>
                  <w:vAlign w:val="center"/>
                </w:tcPr>
                <w:p w14:paraId="417BB109">
                  <w:pPr>
                    <w:pStyle w:val="52"/>
                    <w:rPr>
                      <w:color w:val="auto"/>
                    </w:rPr>
                  </w:pPr>
                  <w:r>
                    <w:rPr>
                      <w:color w:val="auto"/>
                    </w:rPr>
                    <w:t>60</w:t>
                  </w:r>
                </w:p>
              </w:tc>
              <w:tc>
                <w:tcPr>
                  <w:tcW w:w="933" w:type="dxa"/>
                  <w:vAlign w:val="center"/>
                </w:tcPr>
                <w:p w14:paraId="0847DBA6">
                  <w:pPr>
                    <w:pStyle w:val="52"/>
                    <w:rPr>
                      <w:color w:val="auto"/>
                    </w:rPr>
                  </w:pPr>
                  <w:r>
                    <w:rPr>
                      <w:color w:val="auto"/>
                    </w:rPr>
                    <w:t>54</w:t>
                  </w:r>
                </w:p>
              </w:tc>
              <w:tc>
                <w:tcPr>
                  <w:tcW w:w="933" w:type="dxa"/>
                  <w:vAlign w:val="center"/>
                </w:tcPr>
                <w:p w14:paraId="720A8C10">
                  <w:pPr>
                    <w:pStyle w:val="52"/>
                    <w:rPr>
                      <w:color w:val="auto"/>
                    </w:rPr>
                  </w:pPr>
                  <w:r>
                    <w:rPr>
                      <w:color w:val="auto"/>
                    </w:rPr>
                    <w:t>50</w:t>
                  </w:r>
                </w:p>
              </w:tc>
              <w:tc>
                <w:tcPr>
                  <w:tcW w:w="933" w:type="dxa"/>
                  <w:vAlign w:val="center"/>
                </w:tcPr>
                <w:p w14:paraId="02776CE8">
                  <w:pPr>
                    <w:pStyle w:val="52"/>
                    <w:rPr>
                      <w:color w:val="auto"/>
                    </w:rPr>
                  </w:pPr>
                  <w:r>
                    <w:rPr>
                      <w:color w:val="auto"/>
                    </w:rPr>
                    <w:t>48</w:t>
                  </w:r>
                </w:p>
              </w:tc>
              <w:tc>
                <w:tcPr>
                  <w:tcW w:w="933" w:type="dxa"/>
                  <w:vAlign w:val="center"/>
                </w:tcPr>
                <w:p w14:paraId="01194D67">
                  <w:pPr>
                    <w:pStyle w:val="52"/>
                    <w:rPr>
                      <w:color w:val="auto"/>
                    </w:rPr>
                  </w:pPr>
                  <w:r>
                    <w:rPr>
                      <w:color w:val="auto"/>
                    </w:rPr>
                    <w:t>46</w:t>
                  </w:r>
                </w:p>
              </w:tc>
              <w:tc>
                <w:tcPr>
                  <w:tcW w:w="933" w:type="dxa"/>
                  <w:vAlign w:val="center"/>
                </w:tcPr>
                <w:p w14:paraId="65E874CF">
                  <w:pPr>
                    <w:pStyle w:val="52"/>
                    <w:rPr>
                      <w:color w:val="auto"/>
                    </w:rPr>
                  </w:pPr>
                  <w:r>
                    <w:rPr>
                      <w:color w:val="auto"/>
                    </w:rPr>
                    <w:t>44</w:t>
                  </w:r>
                </w:p>
              </w:tc>
              <w:tc>
                <w:tcPr>
                  <w:tcW w:w="931" w:type="dxa"/>
                  <w:vAlign w:val="center"/>
                </w:tcPr>
                <w:p w14:paraId="411DEE31">
                  <w:pPr>
                    <w:pStyle w:val="52"/>
                    <w:rPr>
                      <w:color w:val="auto"/>
                    </w:rPr>
                  </w:pPr>
                  <w:r>
                    <w:rPr>
                      <w:color w:val="auto"/>
                    </w:rPr>
                    <w:t>41</w:t>
                  </w:r>
                </w:p>
              </w:tc>
            </w:tr>
            <w:tr w14:paraId="4C15B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3DF86DC7">
                  <w:pPr>
                    <w:pStyle w:val="52"/>
                    <w:rPr>
                      <w:color w:val="auto"/>
                    </w:rPr>
                  </w:pPr>
                  <w:r>
                    <w:rPr>
                      <w:color w:val="auto"/>
                    </w:rPr>
                    <w:t>振动碾</w:t>
                  </w:r>
                </w:p>
              </w:tc>
              <w:tc>
                <w:tcPr>
                  <w:tcW w:w="1385" w:type="dxa"/>
                  <w:vAlign w:val="center"/>
                </w:tcPr>
                <w:p w14:paraId="0E57F6D3">
                  <w:pPr>
                    <w:pStyle w:val="52"/>
                    <w:rPr>
                      <w:color w:val="auto"/>
                    </w:rPr>
                  </w:pPr>
                  <w:r>
                    <w:rPr>
                      <w:color w:val="auto"/>
                    </w:rPr>
                    <w:t>88</w:t>
                  </w:r>
                </w:p>
              </w:tc>
              <w:tc>
                <w:tcPr>
                  <w:tcW w:w="791" w:type="dxa"/>
                  <w:vAlign w:val="center"/>
                </w:tcPr>
                <w:p w14:paraId="46595A90">
                  <w:pPr>
                    <w:pStyle w:val="52"/>
                    <w:rPr>
                      <w:color w:val="auto"/>
                    </w:rPr>
                  </w:pPr>
                  <w:r>
                    <w:rPr>
                      <w:color w:val="auto"/>
                    </w:rPr>
                    <w:t>61</w:t>
                  </w:r>
                </w:p>
              </w:tc>
              <w:tc>
                <w:tcPr>
                  <w:tcW w:w="791" w:type="dxa"/>
                  <w:vAlign w:val="center"/>
                </w:tcPr>
                <w:p w14:paraId="6D663DAB">
                  <w:pPr>
                    <w:pStyle w:val="52"/>
                    <w:rPr>
                      <w:color w:val="auto"/>
                    </w:rPr>
                  </w:pPr>
                  <w:r>
                    <w:rPr>
                      <w:color w:val="auto"/>
                    </w:rPr>
                    <w:t>54</w:t>
                  </w:r>
                </w:p>
              </w:tc>
              <w:tc>
                <w:tcPr>
                  <w:tcW w:w="933" w:type="dxa"/>
                  <w:vAlign w:val="center"/>
                </w:tcPr>
                <w:p w14:paraId="68688049">
                  <w:pPr>
                    <w:pStyle w:val="52"/>
                    <w:rPr>
                      <w:color w:val="auto"/>
                    </w:rPr>
                  </w:pPr>
                  <w:r>
                    <w:rPr>
                      <w:color w:val="auto"/>
                    </w:rPr>
                    <w:t>48</w:t>
                  </w:r>
                </w:p>
              </w:tc>
              <w:tc>
                <w:tcPr>
                  <w:tcW w:w="933" w:type="dxa"/>
                  <w:vAlign w:val="center"/>
                </w:tcPr>
                <w:p w14:paraId="1ED181B0">
                  <w:pPr>
                    <w:pStyle w:val="52"/>
                    <w:rPr>
                      <w:color w:val="auto"/>
                    </w:rPr>
                  </w:pPr>
                  <w:r>
                    <w:rPr>
                      <w:color w:val="auto"/>
                    </w:rPr>
                    <w:t>44</w:t>
                  </w:r>
                </w:p>
              </w:tc>
              <w:tc>
                <w:tcPr>
                  <w:tcW w:w="933" w:type="dxa"/>
                  <w:vAlign w:val="center"/>
                </w:tcPr>
                <w:p w14:paraId="6D3C4F1F">
                  <w:pPr>
                    <w:pStyle w:val="52"/>
                    <w:rPr>
                      <w:color w:val="auto"/>
                    </w:rPr>
                  </w:pPr>
                  <w:r>
                    <w:rPr>
                      <w:color w:val="auto"/>
                    </w:rPr>
                    <w:t>42</w:t>
                  </w:r>
                </w:p>
              </w:tc>
              <w:tc>
                <w:tcPr>
                  <w:tcW w:w="933" w:type="dxa"/>
                  <w:vAlign w:val="center"/>
                </w:tcPr>
                <w:p w14:paraId="0912DAC9">
                  <w:pPr>
                    <w:pStyle w:val="52"/>
                    <w:rPr>
                      <w:color w:val="auto"/>
                    </w:rPr>
                  </w:pPr>
                  <w:r>
                    <w:rPr>
                      <w:color w:val="auto"/>
                    </w:rPr>
                    <w:t>40</w:t>
                  </w:r>
                </w:p>
              </w:tc>
              <w:tc>
                <w:tcPr>
                  <w:tcW w:w="933" w:type="dxa"/>
                  <w:vAlign w:val="center"/>
                </w:tcPr>
                <w:p w14:paraId="2E86179A">
                  <w:pPr>
                    <w:pStyle w:val="52"/>
                    <w:rPr>
                      <w:color w:val="auto"/>
                    </w:rPr>
                  </w:pPr>
                  <w:r>
                    <w:rPr>
                      <w:color w:val="auto"/>
                    </w:rPr>
                    <w:t>38</w:t>
                  </w:r>
                </w:p>
              </w:tc>
              <w:tc>
                <w:tcPr>
                  <w:tcW w:w="931" w:type="dxa"/>
                  <w:vAlign w:val="center"/>
                </w:tcPr>
                <w:p w14:paraId="291EC499">
                  <w:pPr>
                    <w:pStyle w:val="52"/>
                    <w:rPr>
                      <w:color w:val="auto"/>
                    </w:rPr>
                  </w:pPr>
                  <w:r>
                    <w:rPr>
                      <w:color w:val="auto"/>
                    </w:rPr>
                    <w:t>37</w:t>
                  </w:r>
                </w:p>
              </w:tc>
            </w:tr>
          </w:tbl>
          <w:p w14:paraId="158B8BF5">
            <w:pPr>
              <w:pStyle w:val="53"/>
              <w:ind w:firstLine="480"/>
            </w:pPr>
            <w:r>
              <w:t>从表上可以看出，影响较大的噪声源有手风钻、搅拌机等，这些噪声源夜间最大影响范围为100m，昼间最大影响范围为50m。</w:t>
            </w:r>
          </w:p>
          <w:p w14:paraId="3BA9B5DB">
            <w:pPr>
              <w:pStyle w:val="53"/>
              <w:ind w:firstLine="480"/>
            </w:pPr>
            <w:r>
              <w:t>根据现场踏勘，</w:t>
            </w:r>
            <w:r>
              <w:rPr>
                <w:kern w:val="0"/>
              </w:rPr>
              <w:t>项目区最近的环境保护目标为</w:t>
            </w:r>
            <w:r>
              <w:t>采区</w:t>
            </w:r>
            <w:r>
              <w:rPr>
                <w:spacing w:val="-10"/>
              </w:rPr>
              <w:t>西南侧</w:t>
            </w:r>
            <w:r>
              <w:t>300m处的</w:t>
            </w:r>
            <w:r>
              <w:rPr>
                <w:snapToGrid w:val="0"/>
              </w:rPr>
              <w:t>芦姐萨</w:t>
            </w:r>
            <w:r>
              <w:t>村，本项目施工过程中产生噪声对其影响较小。</w:t>
            </w:r>
          </w:p>
          <w:p w14:paraId="0CB56EB9">
            <w:pPr>
              <w:ind w:firstLine="480"/>
              <w:rPr>
                <w:rFonts w:cs="Times New Roman"/>
              </w:rPr>
            </w:pPr>
            <w:r>
              <w:rPr>
                <w:rFonts w:hint="eastAsia" w:ascii="宋体" w:hAnsi="宋体" w:cs="宋体"/>
              </w:rPr>
              <w:t>②</w:t>
            </w:r>
            <w:r>
              <w:rPr>
                <w:rFonts w:cs="Times New Roman"/>
              </w:rPr>
              <w:t>施工期运输噪声影响分析</w:t>
            </w:r>
          </w:p>
          <w:p w14:paraId="4C7FE2F1">
            <w:pPr>
              <w:ind w:firstLine="480"/>
              <w:rPr>
                <w:rFonts w:cs="Times New Roman"/>
                <w:szCs w:val="24"/>
              </w:rPr>
            </w:pPr>
            <w:r>
              <w:rPr>
                <w:rFonts w:cs="Times New Roman"/>
                <w:szCs w:val="24"/>
              </w:rPr>
              <w:t>交通运输噪声的影响采用以下公式进行预测，施工道路噪声属于线源，其噪声随距离的衰减公式为：</w:t>
            </w:r>
          </w:p>
          <w:p w14:paraId="4713C57D">
            <w:pPr>
              <w:ind w:firstLine="480"/>
              <w:rPr>
                <w:rFonts w:cs="Times New Roman"/>
                <w:szCs w:val="24"/>
              </w:rPr>
            </w:pPr>
            <w:r>
              <w:rPr>
                <w:rFonts w:cs="Times New Roman"/>
                <w:szCs w:val="24"/>
              </w:rPr>
              <w:drawing>
                <wp:inline distT="0" distB="0" distL="0" distR="0">
                  <wp:extent cx="3304540" cy="6064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04540" cy="606425"/>
                          </a:xfrm>
                          <a:prstGeom prst="rect">
                            <a:avLst/>
                          </a:prstGeom>
                          <a:noFill/>
                          <a:ln>
                            <a:noFill/>
                          </a:ln>
                        </pic:spPr>
                      </pic:pic>
                    </a:graphicData>
                  </a:graphic>
                </wp:inline>
              </w:drawing>
            </w:r>
          </w:p>
          <w:p w14:paraId="13B2C0A4">
            <w:pPr>
              <w:ind w:firstLine="480"/>
              <w:rPr>
                <w:rFonts w:cs="Times New Roman"/>
                <w:szCs w:val="24"/>
              </w:rPr>
            </w:pPr>
            <w:r>
              <w:rPr>
                <w:rFonts w:cs="Times New Roman"/>
                <w:szCs w:val="24"/>
              </w:rPr>
              <w:t>式中： Li——第I 类车辆距行驶路面中心7.5m 处的平均辐射噪声级；</w:t>
            </w:r>
          </w:p>
          <w:p w14:paraId="4FA2D2C6">
            <w:pPr>
              <w:ind w:firstLine="1200" w:firstLineChars="500"/>
              <w:rPr>
                <w:rFonts w:cs="Times New Roman"/>
                <w:szCs w:val="24"/>
              </w:rPr>
            </w:pPr>
            <w:r>
              <w:rPr>
                <w:rFonts w:cs="Times New Roman"/>
                <w:szCs w:val="24"/>
              </w:rPr>
              <w:t>Qi——第I 类车辆的车流量，辆/小时；</w:t>
            </w:r>
          </w:p>
          <w:p w14:paraId="73D40F18">
            <w:pPr>
              <w:ind w:firstLine="1200" w:firstLineChars="500"/>
              <w:rPr>
                <w:rFonts w:cs="Times New Roman"/>
                <w:szCs w:val="24"/>
              </w:rPr>
            </w:pPr>
            <w:r>
              <w:rPr>
                <w:rFonts w:cs="Times New Roman"/>
                <w:szCs w:val="24"/>
              </w:rPr>
              <w:t>Vi——第I 类车辆平均行驶速度，km/h；</w:t>
            </w:r>
          </w:p>
          <w:p w14:paraId="57658070">
            <w:pPr>
              <w:ind w:firstLine="1200" w:firstLineChars="500"/>
              <w:rPr>
                <w:rFonts w:cs="Times New Roman"/>
                <w:szCs w:val="24"/>
              </w:rPr>
            </w:pPr>
            <w:r>
              <w:rPr>
                <w:rFonts w:cs="Times New Roman"/>
                <w:szCs w:val="24"/>
              </w:rPr>
              <w:t>T——评价小时数，取1；</w:t>
            </w:r>
          </w:p>
          <w:p w14:paraId="29EA0303">
            <w:pPr>
              <w:ind w:firstLine="1200" w:firstLineChars="500"/>
              <w:rPr>
                <w:rFonts w:cs="Times New Roman"/>
                <w:szCs w:val="24"/>
              </w:rPr>
            </w:pPr>
            <w:r>
              <w:rPr>
                <w:rFonts w:cs="Times New Roman"/>
                <w:szCs w:val="24"/>
              </w:rPr>
              <w:t>r——预测点距路面中心距离，m；</w:t>
            </w:r>
          </w:p>
          <w:p w14:paraId="4ED637B7">
            <w:pPr>
              <w:ind w:firstLine="1200" w:firstLineChars="500"/>
              <w:rPr>
                <w:rFonts w:cs="Times New Roman"/>
                <w:szCs w:val="24"/>
              </w:rPr>
            </w:pPr>
            <w:r>
              <w:rPr>
                <w:rFonts w:cs="Times New Roman"/>
                <w:szCs w:val="24"/>
              </w:rPr>
              <w:t>K——车流密度修正系数，取10～20；</w:t>
            </w:r>
          </w:p>
          <w:p w14:paraId="4D944F8B">
            <w:pPr>
              <w:ind w:firstLine="1200" w:firstLineChars="500"/>
              <w:rPr>
                <w:rFonts w:cs="Times New Roman"/>
                <w:szCs w:val="24"/>
              </w:rPr>
            </w:pPr>
            <w:r>
              <w:rPr>
                <w:rFonts w:cs="Times New Roman"/>
                <w:szCs w:val="24"/>
              </w:rPr>
              <w:t>a——地面吸收衰减因子；</w:t>
            </w:r>
          </w:p>
          <w:p w14:paraId="6D175589">
            <w:pPr>
              <w:ind w:firstLine="480"/>
              <w:rPr>
                <w:rFonts w:cs="Times New Roman"/>
                <w:szCs w:val="24"/>
              </w:rPr>
            </w:pPr>
            <w:r>
              <w:rPr>
                <w:rFonts w:cs="Times New Roman"/>
                <w:szCs w:val="24"/>
              </w:rPr>
              <w:t>本项目运输道路两侧噪声影响范围预测结果详见下表：</w:t>
            </w:r>
          </w:p>
          <w:p w14:paraId="69FB1FAB">
            <w:pPr>
              <w:pStyle w:val="31"/>
              <w:rPr>
                <w:rFonts w:cs="Times New Roman"/>
              </w:rPr>
            </w:pPr>
            <w:r>
              <w:rPr>
                <w:rFonts w:cs="Times New Roman"/>
              </w:rPr>
              <w:t>表7-6  道路两侧噪声影响范围预测结果</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897"/>
              <w:gridCol w:w="1172"/>
              <w:gridCol w:w="1047"/>
              <w:gridCol w:w="1047"/>
              <w:gridCol w:w="1047"/>
              <w:gridCol w:w="1047"/>
              <w:gridCol w:w="1047"/>
            </w:tblGrid>
            <w:tr w14:paraId="4EA6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gridSpan w:val="2"/>
                  <w:vMerge w:val="restart"/>
                  <w:shd w:val="clear" w:color="auto" w:fill="auto"/>
                  <w:vAlign w:val="center"/>
                </w:tcPr>
                <w:p w14:paraId="6FF9D7C5">
                  <w:pPr>
                    <w:pStyle w:val="52"/>
                    <w:rPr>
                      <w:color w:val="auto"/>
                    </w:rPr>
                  </w:pPr>
                  <w:r>
                    <w:rPr>
                      <w:color w:val="auto"/>
                    </w:rPr>
                    <w:t>噪声</w:t>
                  </w:r>
                </w:p>
              </w:tc>
              <w:tc>
                <w:tcPr>
                  <w:tcW w:w="6407" w:type="dxa"/>
                  <w:gridSpan w:val="6"/>
                  <w:shd w:val="clear" w:color="auto" w:fill="auto"/>
                  <w:vAlign w:val="center"/>
                </w:tcPr>
                <w:p w14:paraId="708DF32E">
                  <w:pPr>
                    <w:pStyle w:val="52"/>
                    <w:rPr>
                      <w:color w:val="auto"/>
                    </w:rPr>
                  </w:pPr>
                  <w:r>
                    <w:rPr>
                      <w:color w:val="auto"/>
                    </w:rPr>
                    <w:t>与声源距离（m）</w:t>
                  </w:r>
                </w:p>
              </w:tc>
            </w:tr>
            <w:tr w14:paraId="2A6E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gridSpan w:val="2"/>
                  <w:vMerge w:val="continue"/>
                  <w:shd w:val="clear" w:color="auto" w:fill="auto"/>
                  <w:vAlign w:val="center"/>
                </w:tcPr>
                <w:p w14:paraId="77C4B2B6">
                  <w:pPr>
                    <w:pStyle w:val="52"/>
                    <w:rPr>
                      <w:color w:val="auto"/>
                    </w:rPr>
                  </w:pPr>
                </w:p>
              </w:tc>
              <w:tc>
                <w:tcPr>
                  <w:tcW w:w="1172" w:type="dxa"/>
                  <w:shd w:val="clear" w:color="auto" w:fill="auto"/>
                  <w:vAlign w:val="center"/>
                </w:tcPr>
                <w:p w14:paraId="01CF9673">
                  <w:pPr>
                    <w:pStyle w:val="52"/>
                    <w:rPr>
                      <w:color w:val="auto"/>
                    </w:rPr>
                  </w:pPr>
                  <w:r>
                    <w:rPr>
                      <w:color w:val="auto"/>
                    </w:rPr>
                    <w:t>10</w:t>
                  </w:r>
                </w:p>
              </w:tc>
              <w:tc>
                <w:tcPr>
                  <w:tcW w:w="1047" w:type="dxa"/>
                  <w:shd w:val="clear" w:color="auto" w:fill="auto"/>
                  <w:vAlign w:val="center"/>
                </w:tcPr>
                <w:p w14:paraId="5F0AE4EB">
                  <w:pPr>
                    <w:pStyle w:val="52"/>
                    <w:rPr>
                      <w:color w:val="auto"/>
                    </w:rPr>
                  </w:pPr>
                  <w:r>
                    <w:rPr>
                      <w:color w:val="auto"/>
                    </w:rPr>
                    <w:t>20</w:t>
                  </w:r>
                </w:p>
              </w:tc>
              <w:tc>
                <w:tcPr>
                  <w:tcW w:w="1047" w:type="dxa"/>
                  <w:shd w:val="clear" w:color="auto" w:fill="auto"/>
                  <w:vAlign w:val="center"/>
                </w:tcPr>
                <w:p w14:paraId="68BE7BF9">
                  <w:pPr>
                    <w:pStyle w:val="52"/>
                    <w:rPr>
                      <w:color w:val="auto"/>
                    </w:rPr>
                  </w:pPr>
                  <w:r>
                    <w:rPr>
                      <w:color w:val="auto"/>
                    </w:rPr>
                    <w:t>50</w:t>
                  </w:r>
                </w:p>
              </w:tc>
              <w:tc>
                <w:tcPr>
                  <w:tcW w:w="1047" w:type="dxa"/>
                  <w:shd w:val="clear" w:color="auto" w:fill="auto"/>
                  <w:vAlign w:val="center"/>
                </w:tcPr>
                <w:p w14:paraId="57B333A1">
                  <w:pPr>
                    <w:pStyle w:val="52"/>
                    <w:rPr>
                      <w:color w:val="auto"/>
                    </w:rPr>
                  </w:pPr>
                  <w:r>
                    <w:rPr>
                      <w:color w:val="auto"/>
                    </w:rPr>
                    <w:t>100</w:t>
                  </w:r>
                </w:p>
              </w:tc>
              <w:tc>
                <w:tcPr>
                  <w:tcW w:w="1047" w:type="dxa"/>
                  <w:shd w:val="clear" w:color="auto" w:fill="auto"/>
                  <w:vAlign w:val="center"/>
                </w:tcPr>
                <w:p w14:paraId="6D4A91B7">
                  <w:pPr>
                    <w:pStyle w:val="52"/>
                    <w:rPr>
                      <w:color w:val="auto"/>
                    </w:rPr>
                  </w:pPr>
                  <w:r>
                    <w:rPr>
                      <w:color w:val="auto"/>
                    </w:rPr>
                    <w:t>150</w:t>
                  </w:r>
                </w:p>
              </w:tc>
              <w:tc>
                <w:tcPr>
                  <w:tcW w:w="1047" w:type="dxa"/>
                  <w:shd w:val="clear" w:color="auto" w:fill="auto"/>
                  <w:vAlign w:val="center"/>
                </w:tcPr>
                <w:p w14:paraId="12C5E69D">
                  <w:pPr>
                    <w:pStyle w:val="52"/>
                    <w:rPr>
                      <w:color w:val="auto"/>
                    </w:rPr>
                  </w:pPr>
                  <w:r>
                    <w:rPr>
                      <w:color w:val="auto"/>
                    </w:rPr>
                    <w:t>200</w:t>
                  </w:r>
                </w:p>
              </w:tc>
            </w:tr>
            <w:tr w14:paraId="5AC7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93" w:type="dxa"/>
                  <w:vMerge w:val="restart"/>
                  <w:shd w:val="clear" w:color="auto" w:fill="auto"/>
                  <w:vAlign w:val="center"/>
                </w:tcPr>
                <w:p w14:paraId="2764B8F2">
                  <w:pPr>
                    <w:pStyle w:val="52"/>
                    <w:rPr>
                      <w:color w:val="auto"/>
                    </w:rPr>
                  </w:pPr>
                  <w:r>
                    <w:rPr>
                      <w:color w:val="auto"/>
                    </w:rPr>
                    <w:t>预测值</w:t>
                  </w:r>
                </w:p>
              </w:tc>
              <w:tc>
                <w:tcPr>
                  <w:tcW w:w="1897" w:type="dxa"/>
                  <w:shd w:val="clear" w:color="auto" w:fill="auto"/>
                  <w:vAlign w:val="center"/>
                </w:tcPr>
                <w:p w14:paraId="38BBBBF7">
                  <w:pPr>
                    <w:pStyle w:val="52"/>
                    <w:rPr>
                      <w:color w:val="auto"/>
                    </w:rPr>
                  </w:pPr>
                  <w:r>
                    <w:rPr>
                      <w:color w:val="auto"/>
                    </w:rPr>
                    <w:t>昼间dB（A）</w:t>
                  </w:r>
                </w:p>
              </w:tc>
              <w:tc>
                <w:tcPr>
                  <w:tcW w:w="1172" w:type="dxa"/>
                  <w:shd w:val="clear" w:color="auto" w:fill="auto"/>
                  <w:vAlign w:val="center"/>
                </w:tcPr>
                <w:p w14:paraId="3C0A9411">
                  <w:pPr>
                    <w:pStyle w:val="52"/>
                    <w:rPr>
                      <w:color w:val="auto"/>
                    </w:rPr>
                  </w:pPr>
                  <w:r>
                    <w:rPr>
                      <w:color w:val="auto"/>
                    </w:rPr>
                    <w:t>69</w:t>
                  </w:r>
                </w:p>
              </w:tc>
              <w:tc>
                <w:tcPr>
                  <w:tcW w:w="1047" w:type="dxa"/>
                  <w:shd w:val="clear" w:color="auto" w:fill="auto"/>
                  <w:vAlign w:val="center"/>
                </w:tcPr>
                <w:p w14:paraId="450DB5D6">
                  <w:pPr>
                    <w:pStyle w:val="52"/>
                    <w:rPr>
                      <w:color w:val="auto"/>
                    </w:rPr>
                  </w:pPr>
                  <w:r>
                    <w:rPr>
                      <w:color w:val="auto"/>
                    </w:rPr>
                    <w:t>64</w:t>
                  </w:r>
                </w:p>
              </w:tc>
              <w:tc>
                <w:tcPr>
                  <w:tcW w:w="1047" w:type="dxa"/>
                  <w:shd w:val="clear" w:color="auto" w:fill="auto"/>
                  <w:vAlign w:val="center"/>
                </w:tcPr>
                <w:p w14:paraId="1DAA3F78">
                  <w:pPr>
                    <w:pStyle w:val="52"/>
                    <w:rPr>
                      <w:color w:val="auto"/>
                    </w:rPr>
                  </w:pPr>
                  <w:r>
                    <w:rPr>
                      <w:color w:val="auto"/>
                    </w:rPr>
                    <w:t>58</w:t>
                  </w:r>
                </w:p>
              </w:tc>
              <w:tc>
                <w:tcPr>
                  <w:tcW w:w="1047" w:type="dxa"/>
                  <w:shd w:val="clear" w:color="auto" w:fill="auto"/>
                  <w:vAlign w:val="center"/>
                </w:tcPr>
                <w:p w14:paraId="277723C2">
                  <w:pPr>
                    <w:pStyle w:val="52"/>
                    <w:rPr>
                      <w:color w:val="auto"/>
                    </w:rPr>
                  </w:pPr>
                  <w:r>
                    <w:rPr>
                      <w:color w:val="auto"/>
                    </w:rPr>
                    <w:t>53</w:t>
                  </w:r>
                </w:p>
              </w:tc>
              <w:tc>
                <w:tcPr>
                  <w:tcW w:w="1047" w:type="dxa"/>
                  <w:shd w:val="clear" w:color="auto" w:fill="auto"/>
                  <w:vAlign w:val="center"/>
                </w:tcPr>
                <w:p w14:paraId="474870D6">
                  <w:pPr>
                    <w:pStyle w:val="52"/>
                    <w:rPr>
                      <w:color w:val="auto"/>
                    </w:rPr>
                  </w:pPr>
                  <w:r>
                    <w:rPr>
                      <w:color w:val="auto"/>
                    </w:rPr>
                    <w:t>51</w:t>
                  </w:r>
                </w:p>
              </w:tc>
              <w:tc>
                <w:tcPr>
                  <w:tcW w:w="1047" w:type="dxa"/>
                  <w:shd w:val="clear" w:color="auto" w:fill="auto"/>
                  <w:vAlign w:val="center"/>
                </w:tcPr>
                <w:p w14:paraId="50C569F8">
                  <w:pPr>
                    <w:pStyle w:val="52"/>
                    <w:rPr>
                      <w:color w:val="auto"/>
                    </w:rPr>
                  </w:pPr>
                  <w:r>
                    <w:rPr>
                      <w:color w:val="auto"/>
                    </w:rPr>
                    <w:t>49</w:t>
                  </w:r>
                </w:p>
              </w:tc>
            </w:tr>
            <w:tr w14:paraId="019C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continue"/>
                  <w:shd w:val="clear" w:color="auto" w:fill="auto"/>
                  <w:vAlign w:val="center"/>
                </w:tcPr>
                <w:p w14:paraId="741FA59C">
                  <w:pPr>
                    <w:pStyle w:val="52"/>
                    <w:rPr>
                      <w:color w:val="auto"/>
                    </w:rPr>
                  </w:pPr>
                </w:p>
              </w:tc>
              <w:tc>
                <w:tcPr>
                  <w:tcW w:w="1897" w:type="dxa"/>
                  <w:shd w:val="clear" w:color="auto" w:fill="auto"/>
                  <w:vAlign w:val="center"/>
                </w:tcPr>
                <w:p w14:paraId="54556795">
                  <w:pPr>
                    <w:pStyle w:val="52"/>
                    <w:rPr>
                      <w:color w:val="auto"/>
                    </w:rPr>
                  </w:pPr>
                  <w:r>
                    <w:rPr>
                      <w:color w:val="auto"/>
                    </w:rPr>
                    <w:t>夜间dB（A）</w:t>
                  </w:r>
                </w:p>
              </w:tc>
              <w:tc>
                <w:tcPr>
                  <w:tcW w:w="1172" w:type="dxa"/>
                  <w:shd w:val="clear" w:color="auto" w:fill="auto"/>
                  <w:vAlign w:val="center"/>
                </w:tcPr>
                <w:p w14:paraId="09F2B079">
                  <w:pPr>
                    <w:pStyle w:val="52"/>
                    <w:rPr>
                      <w:color w:val="auto"/>
                    </w:rPr>
                  </w:pPr>
                  <w:r>
                    <w:rPr>
                      <w:color w:val="auto"/>
                    </w:rPr>
                    <w:t>63</w:t>
                  </w:r>
                </w:p>
              </w:tc>
              <w:tc>
                <w:tcPr>
                  <w:tcW w:w="1047" w:type="dxa"/>
                  <w:shd w:val="clear" w:color="auto" w:fill="auto"/>
                  <w:vAlign w:val="center"/>
                </w:tcPr>
                <w:p w14:paraId="5EAB6E42">
                  <w:pPr>
                    <w:pStyle w:val="52"/>
                    <w:rPr>
                      <w:color w:val="auto"/>
                    </w:rPr>
                  </w:pPr>
                  <w:r>
                    <w:rPr>
                      <w:color w:val="auto"/>
                    </w:rPr>
                    <w:t>58</w:t>
                  </w:r>
                </w:p>
              </w:tc>
              <w:tc>
                <w:tcPr>
                  <w:tcW w:w="1047" w:type="dxa"/>
                  <w:shd w:val="clear" w:color="auto" w:fill="auto"/>
                  <w:vAlign w:val="center"/>
                </w:tcPr>
                <w:p w14:paraId="5D4E2461">
                  <w:pPr>
                    <w:pStyle w:val="52"/>
                    <w:rPr>
                      <w:color w:val="auto"/>
                    </w:rPr>
                  </w:pPr>
                  <w:r>
                    <w:rPr>
                      <w:color w:val="auto"/>
                    </w:rPr>
                    <w:t>52</w:t>
                  </w:r>
                </w:p>
              </w:tc>
              <w:tc>
                <w:tcPr>
                  <w:tcW w:w="1047" w:type="dxa"/>
                  <w:shd w:val="clear" w:color="auto" w:fill="auto"/>
                  <w:vAlign w:val="center"/>
                </w:tcPr>
                <w:p w14:paraId="21711123">
                  <w:pPr>
                    <w:pStyle w:val="52"/>
                    <w:rPr>
                      <w:color w:val="auto"/>
                    </w:rPr>
                  </w:pPr>
                  <w:r>
                    <w:rPr>
                      <w:color w:val="auto"/>
                    </w:rPr>
                    <w:t>48</w:t>
                  </w:r>
                </w:p>
              </w:tc>
              <w:tc>
                <w:tcPr>
                  <w:tcW w:w="1047" w:type="dxa"/>
                  <w:shd w:val="clear" w:color="auto" w:fill="auto"/>
                  <w:vAlign w:val="center"/>
                </w:tcPr>
                <w:p w14:paraId="1785DDD7">
                  <w:pPr>
                    <w:pStyle w:val="52"/>
                    <w:rPr>
                      <w:color w:val="auto"/>
                    </w:rPr>
                  </w:pPr>
                  <w:r>
                    <w:rPr>
                      <w:color w:val="auto"/>
                    </w:rPr>
                    <w:t>45</w:t>
                  </w:r>
                </w:p>
              </w:tc>
              <w:tc>
                <w:tcPr>
                  <w:tcW w:w="1047" w:type="dxa"/>
                  <w:shd w:val="clear" w:color="auto" w:fill="auto"/>
                  <w:vAlign w:val="center"/>
                </w:tcPr>
                <w:p w14:paraId="2D0C49FB">
                  <w:pPr>
                    <w:pStyle w:val="52"/>
                    <w:rPr>
                      <w:color w:val="auto"/>
                    </w:rPr>
                  </w:pPr>
                  <w:r>
                    <w:rPr>
                      <w:color w:val="auto"/>
                    </w:rPr>
                    <w:t>43</w:t>
                  </w:r>
                </w:p>
              </w:tc>
            </w:tr>
            <w:tr w14:paraId="5543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restart"/>
                  <w:shd w:val="clear" w:color="auto" w:fill="auto"/>
                  <w:vAlign w:val="center"/>
                </w:tcPr>
                <w:p w14:paraId="5DCF5B95">
                  <w:pPr>
                    <w:pStyle w:val="52"/>
                    <w:rPr>
                      <w:color w:val="auto"/>
                    </w:rPr>
                  </w:pPr>
                  <w:r>
                    <w:rPr>
                      <w:color w:val="auto"/>
                    </w:rPr>
                    <w:t>标准值</w:t>
                  </w:r>
                </w:p>
              </w:tc>
              <w:tc>
                <w:tcPr>
                  <w:tcW w:w="1897" w:type="dxa"/>
                  <w:shd w:val="clear" w:color="auto" w:fill="auto"/>
                  <w:vAlign w:val="center"/>
                </w:tcPr>
                <w:p w14:paraId="1DBF3679">
                  <w:pPr>
                    <w:pStyle w:val="52"/>
                    <w:rPr>
                      <w:color w:val="auto"/>
                    </w:rPr>
                  </w:pPr>
                  <w:r>
                    <w:rPr>
                      <w:color w:val="auto"/>
                    </w:rPr>
                    <w:t>昼间dB（A）</w:t>
                  </w:r>
                </w:p>
              </w:tc>
              <w:tc>
                <w:tcPr>
                  <w:tcW w:w="1172" w:type="dxa"/>
                  <w:shd w:val="clear" w:color="auto" w:fill="auto"/>
                  <w:vAlign w:val="center"/>
                </w:tcPr>
                <w:p w14:paraId="1A217191">
                  <w:pPr>
                    <w:pStyle w:val="52"/>
                    <w:rPr>
                      <w:color w:val="auto"/>
                    </w:rPr>
                  </w:pPr>
                  <w:r>
                    <w:rPr>
                      <w:color w:val="auto"/>
                    </w:rPr>
                    <w:t>70</w:t>
                  </w:r>
                </w:p>
              </w:tc>
              <w:tc>
                <w:tcPr>
                  <w:tcW w:w="1047" w:type="dxa"/>
                  <w:shd w:val="clear" w:color="auto" w:fill="auto"/>
                  <w:vAlign w:val="center"/>
                </w:tcPr>
                <w:p w14:paraId="35FFDFCE">
                  <w:pPr>
                    <w:pStyle w:val="52"/>
                    <w:rPr>
                      <w:color w:val="auto"/>
                    </w:rPr>
                  </w:pPr>
                  <w:r>
                    <w:rPr>
                      <w:color w:val="auto"/>
                    </w:rPr>
                    <w:t>70</w:t>
                  </w:r>
                </w:p>
              </w:tc>
              <w:tc>
                <w:tcPr>
                  <w:tcW w:w="1047" w:type="dxa"/>
                  <w:shd w:val="clear" w:color="auto" w:fill="auto"/>
                  <w:vAlign w:val="center"/>
                </w:tcPr>
                <w:p w14:paraId="583C26CA">
                  <w:pPr>
                    <w:pStyle w:val="52"/>
                    <w:rPr>
                      <w:color w:val="auto"/>
                    </w:rPr>
                  </w:pPr>
                  <w:r>
                    <w:rPr>
                      <w:color w:val="auto"/>
                    </w:rPr>
                    <w:t>60</w:t>
                  </w:r>
                </w:p>
              </w:tc>
              <w:tc>
                <w:tcPr>
                  <w:tcW w:w="1047" w:type="dxa"/>
                  <w:shd w:val="clear" w:color="auto" w:fill="auto"/>
                  <w:vAlign w:val="center"/>
                </w:tcPr>
                <w:p w14:paraId="7053B7F2">
                  <w:pPr>
                    <w:pStyle w:val="52"/>
                    <w:rPr>
                      <w:color w:val="auto"/>
                    </w:rPr>
                  </w:pPr>
                  <w:r>
                    <w:rPr>
                      <w:color w:val="auto"/>
                    </w:rPr>
                    <w:t>60</w:t>
                  </w:r>
                </w:p>
              </w:tc>
              <w:tc>
                <w:tcPr>
                  <w:tcW w:w="1047" w:type="dxa"/>
                  <w:shd w:val="clear" w:color="auto" w:fill="auto"/>
                  <w:vAlign w:val="center"/>
                </w:tcPr>
                <w:p w14:paraId="34190736">
                  <w:pPr>
                    <w:pStyle w:val="52"/>
                    <w:rPr>
                      <w:color w:val="auto"/>
                    </w:rPr>
                  </w:pPr>
                  <w:r>
                    <w:rPr>
                      <w:color w:val="auto"/>
                    </w:rPr>
                    <w:t>60</w:t>
                  </w:r>
                </w:p>
              </w:tc>
              <w:tc>
                <w:tcPr>
                  <w:tcW w:w="1047" w:type="dxa"/>
                  <w:shd w:val="clear" w:color="auto" w:fill="auto"/>
                  <w:vAlign w:val="center"/>
                </w:tcPr>
                <w:p w14:paraId="5C352EE6">
                  <w:pPr>
                    <w:pStyle w:val="52"/>
                    <w:rPr>
                      <w:color w:val="auto"/>
                    </w:rPr>
                  </w:pPr>
                  <w:r>
                    <w:rPr>
                      <w:color w:val="auto"/>
                    </w:rPr>
                    <w:t>60</w:t>
                  </w:r>
                </w:p>
              </w:tc>
            </w:tr>
            <w:tr w14:paraId="0501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continue"/>
                  <w:shd w:val="clear" w:color="auto" w:fill="auto"/>
                  <w:vAlign w:val="center"/>
                </w:tcPr>
                <w:p w14:paraId="6D08343A">
                  <w:pPr>
                    <w:pStyle w:val="52"/>
                    <w:rPr>
                      <w:color w:val="auto"/>
                    </w:rPr>
                  </w:pPr>
                </w:p>
              </w:tc>
              <w:tc>
                <w:tcPr>
                  <w:tcW w:w="1897" w:type="dxa"/>
                  <w:shd w:val="clear" w:color="auto" w:fill="auto"/>
                  <w:vAlign w:val="center"/>
                </w:tcPr>
                <w:p w14:paraId="5CE42C1B">
                  <w:pPr>
                    <w:pStyle w:val="52"/>
                    <w:rPr>
                      <w:color w:val="auto"/>
                    </w:rPr>
                  </w:pPr>
                  <w:r>
                    <w:rPr>
                      <w:color w:val="auto"/>
                    </w:rPr>
                    <w:t>夜间dB（A）</w:t>
                  </w:r>
                </w:p>
              </w:tc>
              <w:tc>
                <w:tcPr>
                  <w:tcW w:w="1172" w:type="dxa"/>
                  <w:shd w:val="clear" w:color="auto" w:fill="auto"/>
                  <w:vAlign w:val="center"/>
                </w:tcPr>
                <w:p w14:paraId="69229BFC">
                  <w:pPr>
                    <w:pStyle w:val="52"/>
                    <w:rPr>
                      <w:color w:val="auto"/>
                    </w:rPr>
                  </w:pPr>
                  <w:r>
                    <w:rPr>
                      <w:color w:val="auto"/>
                    </w:rPr>
                    <w:t>55</w:t>
                  </w:r>
                </w:p>
              </w:tc>
              <w:tc>
                <w:tcPr>
                  <w:tcW w:w="1047" w:type="dxa"/>
                  <w:shd w:val="clear" w:color="auto" w:fill="auto"/>
                  <w:vAlign w:val="center"/>
                </w:tcPr>
                <w:p w14:paraId="4CE4BAC7">
                  <w:pPr>
                    <w:pStyle w:val="52"/>
                    <w:rPr>
                      <w:color w:val="auto"/>
                    </w:rPr>
                  </w:pPr>
                  <w:r>
                    <w:rPr>
                      <w:color w:val="auto"/>
                    </w:rPr>
                    <w:t>55</w:t>
                  </w:r>
                </w:p>
              </w:tc>
              <w:tc>
                <w:tcPr>
                  <w:tcW w:w="1047" w:type="dxa"/>
                  <w:shd w:val="clear" w:color="auto" w:fill="auto"/>
                  <w:vAlign w:val="center"/>
                </w:tcPr>
                <w:p w14:paraId="3B06D06B">
                  <w:pPr>
                    <w:pStyle w:val="52"/>
                    <w:rPr>
                      <w:color w:val="auto"/>
                    </w:rPr>
                  </w:pPr>
                  <w:r>
                    <w:rPr>
                      <w:color w:val="auto"/>
                    </w:rPr>
                    <w:t>50</w:t>
                  </w:r>
                </w:p>
              </w:tc>
              <w:tc>
                <w:tcPr>
                  <w:tcW w:w="1047" w:type="dxa"/>
                  <w:shd w:val="clear" w:color="auto" w:fill="auto"/>
                  <w:vAlign w:val="center"/>
                </w:tcPr>
                <w:p w14:paraId="5E5E5CAB">
                  <w:pPr>
                    <w:pStyle w:val="52"/>
                    <w:rPr>
                      <w:color w:val="auto"/>
                    </w:rPr>
                  </w:pPr>
                  <w:r>
                    <w:rPr>
                      <w:color w:val="auto"/>
                    </w:rPr>
                    <w:t>50</w:t>
                  </w:r>
                </w:p>
              </w:tc>
              <w:tc>
                <w:tcPr>
                  <w:tcW w:w="1047" w:type="dxa"/>
                  <w:shd w:val="clear" w:color="auto" w:fill="auto"/>
                  <w:vAlign w:val="center"/>
                </w:tcPr>
                <w:p w14:paraId="0BF34DEB">
                  <w:pPr>
                    <w:pStyle w:val="52"/>
                    <w:rPr>
                      <w:color w:val="auto"/>
                    </w:rPr>
                  </w:pPr>
                  <w:r>
                    <w:rPr>
                      <w:color w:val="auto"/>
                    </w:rPr>
                    <w:t>50</w:t>
                  </w:r>
                </w:p>
              </w:tc>
              <w:tc>
                <w:tcPr>
                  <w:tcW w:w="1047" w:type="dxa"/>
                  <w:shd w:val="clear" w:color="auto" w:fill="auto"/>
                  <w:vAlign w:val="center"/>
                </w:tcPr>
                <w:p w14:paraId="767323BA">
                  <w:pPr>
                    <w:pStyle w:val="52"/>
                    <w:rPr>
                      <w:color w:val="auto"/>
                    </w:rPr>
                  </w:pPr>
                  <w:r>
                    <w:rPr>
                      <w:color w:val="auto"/>
                    </w:rPr>
                    <w:t>50</w:t>
                  </w:r>
                </w:p>
              </w:tc>
            </w:tr>
            <w:tr w14:paraId="0D52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290" w:type="dxa"/>
                  <w:gridSpan w:val="2"/>
                  <w:shd w:val="clear" w:color="auto" w:fill="auto"/>
                  <w:vAlign w:val="center"/>
                </w:tcPr>
                <w:p w14:paraId="7EF0827F">
                  <w:pPr>
                    <w:pStyle w:val="52"/>
                    <w:rPr>
                      <w:color w:val="auto"/>
                    </w:rPr>
                  </w:pPr>
                  <w:r>
                    <w:rPr>
                      <w:color w:val="auto"/>
                    </w:rPr>
                    <w:t>昼间</w:t>
                  </w:r>
                </w:p>
              </w:tc>
              <w:tc>
                <w:tcPr>
                  <w:tcW w:w="1172" w:type="dxa"/>
                  <w:shd w:val="clear" w:color="auto" w:fill="auto"/>
                  <w:vAlign w:val="center"/>
                </w:tcPr>
                <w:p w14:paraId="1C905825">
                  <w:pPr>
                    <w:pStyle w:val="52"/>
                    <w:rPr>
                      <w:color w:val="auto"/>
                    </w:rPr>
                  </w:pPr>
                  <w:r>
                    <w:rPr>
                      <w:color w:val="auto"/>
                    </w:rPr>
                    <w:t>达标</w:t>
                  </w:r>
                </w:p>
              </w:tc>
              <w:tc>
                <w:tcPr>
                  <w:tcW w:w="1047" w:type="dxa"/>
                  <w:shd w:val="clear" w:color="auto" w:fill="auto"/>
                  <w:vAlign w:val="center"/>
                </w:tcPr>
                <w:p w14:paraId="29DE05C1">
                  <w:pPr>
                    <w:pStyle w:val="52"/>
                    <w:rPr>
                      <w:color w:val="auto"/>
                    </w:rPr>
                  </w:pPr>
                  <w:r>
                    <w:rPr>
                      <w:color w:val="auto"/>
                    </w:rPr>
                    <w:t>达标</w:t>
                  </w:r>
                </w:p>
              </w:tc>
              <w:tc>
                <w:tcPr>
                  <w:tcW w:w="1047" w:type="dxa"/>
                  <w:shd w:val="clear" w:color="auto" w:fill="auto"/>
                  <w:vAlign w:val="center"/>
                </w:tcPr>
                <w:p w14:paraId="4CDBFBEB">
                  <w:pPr>
                    <w:pStyle w:val="52"/>
                    <w:rPr>
                      <w:color w:val="auto"/>
                    </w:rPr>
                  </w:pPr>
                  <w:r>
                    <w:rPr>
                      <w:color w:val="auto"/>
                    </w:rPr>
                    <w:t>达标</w:t>
                  </w:r>
                </w:p>
              </w:tc>
              <w:tc>
                <w:tcPr>
                  <w:tcW w:w="1047" w:type="dxa"/>
                  <w:shd w:val="clear" w:color="auto" w:fill="auto"/>
                  <w:vAlign w:val="center"/>
                </w:tcPr>
                <w:p w14:paraId="1ED636CE">
                  <w:pPr>
                    <w:pStyle w:val="52"/>
                    <w:rPr>
                      <w:color w:val="auto"/>
                    </w:rPr>
                  </w:pPr>
                  <w:r>
                    <w:rPr>
                      <w:color w:val="auto"/>
                    </w:rPr>
                    <w:t>达标</w:t>
                  </w:r>
                </w:p>
              </w:tc>
              <w:tc>
                <w:tcPr>
                  <w:tcW w:w="1047" w:type="dxa"/>
                  <w:shd w:val="clear" w:color="auto" w:fill="auto"/>
                  <w:vAlign w:val="center"/>
                </w:tcPr>
                <w:p w14:paraId="2EFA6EDE">
                  <w:pPr>
                    <w:pStyle w:val="52"/>
                    <w:rPr>
                      <w:color w:val="auto"/>
                    </w:rPr>
                  </w:pPr>
                  <w:r>
                    <w:rPr>
                      <w:color w:val="auto"/>
                    </w:rPr>
                    <w:t>达标</w:t>
                  </w:r>
                </w:p>
              </w:tc>
              <w:tc>
                <w:tcPr>
                  <w:tcW w:w="1047" w:type="dxa"/>
                  <w:shd w:val="clear" w:color="auto" w:fill="auto"/>
                  <w:vAlign w:val="center"/>
                </w:tcPr>
                <w:p w14:paraId="1CDEF62B">
                  <w:pPr>
                    <w:pStyle w:val="52"/>
                    <w:rPr>
                      <w:color w:val="auto"/>
                    </w:rPr>
                  </w:pPr>
                  <w:r>
                    <w:rPr>
                      <w:color w:val="auto"/>
                    </w:rPr>
                    <w:t>达标</w:t>
                  </w:r>
                </w:p>
              </w:tc>
            </w:tr>
            <w:tr w14:paraId="52C7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290" w:type="dxa"/>
                  <w:gridSpan w:val="2"/>
                  <w:shd w:val="clear" w:color="auto" w:fill="auto"/>
                  <w:vAlign w:val="center"/>
                </w:tcPr>
                <w:p w14:paraId="28830713">
                  <w:pPr>
                    <w:pStyle w:val="52"/>
                    <w:rPr>
                      <w:color w:val="auto"/>
                    </w:rPr>
                  </w:pPr>
                  <w:r>
                    <w:rPr>
                      <w:color w:val="auto"/>
                    </w:rPr>
                    <w:t>夜间</w:t>
                  </w:r>
                </w:p>
              </w:tc>
              <w:tc>
                <w:tcPr>
                  <w:tcW w:w="1172" w:type="dxa"/>
                  <w:shd w:val="clear" w:color="auto" w:fill="auto"/>
                  <w:vAlign w:val="center"/>
                </w:tcPr>
                <w:p w14:paraId="4C894E21">
                  <w:pPr>
                    <w:pStyle w:val="52"/>
                    <w:rPr>
                      <w:color w:val="auto"/>
                    </w:rPr>
                  </w:pPr>
                  <w:r>
                    <w:rPr>
                      <w:color w:val="auto"/>
                    </w:rPr>
                    <w:t>超标</w:t>
                  </w:r>
                </w:p>
              </w:tc>
              <w:tc>
                <w:tcPr>
                  <w:tcW w:w="1047" w:type="dxa"/>
                  <w:shd w:val="clear" w:color="auto" w:fill="auto"/>
                  <w:vAlign w:val="center"/>
                </w:tcPr>
                <w:p w14:paraId="0BD46960">
                  <w:pPr>
                    <w:pStyle w:val="52"/>
                    <w:rPr>
                      <w:color w:val="auto"/>
                    </w:rPr>
                  </w:pPr>
                  <w:r>
                    <w:rPr>
                      <w:color w:val="auto"/>
                    </w:rPr>
                    <w:t>超标</w:t>
                  </w:r>
                </w:p>
              </w:tc>
              <w:tc>
                <w:tcPr>
                  <w:tcW w:w="1047" w:type="dxa"/>
                  <w:shd w:val="clear" w:color="auto" w:fill="auto"/>
                  <w:vAlign w:val="center"/>
                </w:tcPr>
                <w:p w14:paraId="6DEDB008">
                  <w:pPr>
                    <w:pStyle w:val="52"/>
                    <w:rPr>
                      <w:color w:val="auto"/>
                    </w:rPr>
                  </w:pPr>
                  <w:r>
                    <w:rPr>
                      <w:color w:val="auto"/>
                    </w:rPr>
                    <w:t>超标</w:t>
                  </w:r>
                </w:p>
              </w:tc>
              <w:tc>
                <w:tcPr>
                  <w:tcW w:w="1047" w:type="dxa"/>
                  <w:shd w:val="clear" w:color="auto" w:fill="auto"/>
                  <w:vAlign w:val="center"/>
                </w:tcPr>
                <w:p w14:paraId="5423693E">
                  <w:pPr>
                    <w:pStyle w:val="52"/>
                    <w:rPr>
                      <w:color w:val="auto"/>
                    </w:rPr>
                  </w:pPr>
                  <w:r>
                    <w:rPr>
                      <w:color w:val="auto"/>
                    </w:rPr>
                    <w:t>达标</w:t>
                  </w:r>
                </w:p>
              </w:tc>
              <w:tc>
                <w:tcPr>
                  <w:tcW w:w="1047" w:type="dxa"/>
                  <w:shd w:val="clear" w:color="auto" w:fill="auto"/>
                  <w:vAlign w:val="center"/>
                </w:tcPr>
                <w:p w14:paraId="6FD8BDE8">
                  <w:pPr>
                    <w:pStyle w:val="52"/>
                    <w:rPr>
                      <w:color w:val="auto"/>
                    </w:rPr>
                  </w:pPr>
                  <w:r>
                    <w:rPr>
                      <w:color w:val="auto"/>
                    </w:rPr>
                    <w:t>达标</w:t>
                  </w:r>
                </w:p>
              </w:tc>
              <w:tc>
                <w:tcPr>
                  <w:tcW w:w="1047" w:type="dxa"/>
                  <w:shd w:val="clear" w:color="auto" w:fill="auto"/>
                  <w:vAlign w:val="center"/>
                </w:tcPr>
                <w:p w14:paraId="4DF5CBC5">
                  <w:pPr>
                    <w:pStyle w:val="52"/>
                    <w:rPr>
                      <w:color w:val="auto"/>
                    </w:rPr>
                  </w:pPr>
                  <w:r>
                    <w:rPr>
                      <w:color w:val="auto"/>
                    </w:rPr>
                    <w:t>达标</w:t>
                  </w:r>
                </w:p>
              </w:tc>
            </w:tr>
          </w:tbl>
          <w:p w14:paraId="0DC360AE">
            <w:pPr>
              <w:ind w:firstLine="480"/>
              <w:rPr>
                <w:rFonts w:cs="Times New Roman"/>
                <w:szCs w:val="24"/>
              </w:rPr>
            </w:pPr>
            <w:r>
              <w:rPr>
                <w:rFonts w:cs="Times New Roman"/>
                <w:szCs w:val="24"/>
              </w:rPr>
              <w:t>结果显示，在工程施工期间，公路两侧10m范围内，昼间声环境质量达标，夜间声环境超标，超标值为8dB（A）。根据现场踏勘，与运输道路两侧村庄为户育村，最近直线距离约10m，昼间交通运输噪声对声环境影响较小，夜间应禁止运输行车。</w:t>
            </w:r>
          </w:p>
          <w:p w14:paraId="782FFDEB">
            <w:pPr>
              <w:ind w:firstLine="482"/>
              <w:rPr>
                <w:rFonts w:cs="Times New Roman"/>
                <w:b/>
              </w:rPr>
            </w:pPr>
            <w:r>
              <w:rPr>
                <w:rFonts w:cs="Times New Roman"/>
                <w:b/>
              </w:rPr>
              <w:t>4、施工期固体废物影响分析</w:t>
            </w:r>
          </w:p>
          <w:p w14:paraId="25C3C35E">
            <w:pPr>
              <w:ind w:firstLine="480"/>
              <w:rPr>
                <w:rFonts w:cs="Times New Roman"/>
              </w:rPr>
            </w:pPr>
            <w:r>
              <w:rPr>
                <w:rFonts w:cs="Times New Roman"/>
              </w:rPr>
              <w:t>施工期固体废弃物主要包括土石方、建筑垃圾等。</w:t>
            </w:r>
          </w:p>
          <w:p w14:paraId="040CB786">
            <w:pPr>
              <w:ind w:firstLine="480"/>
              <w:rPr>
                <w:rFonts w:cs="Times New Roman"/>
              </w:rPr>
            </w:pPr>
            <w:r>
              <w:rPr>
                <w:rFonts w:cs="Times New Roman"/>
              </w:rPr>
              <w:t>（1）土石方</w:t>
            </w:r>
          </w:p>
          <w:p w14:paraId="328C1422">
            <w:pPr>
              <w:ind w:firstLine="480"/>
              <w:rPr>
                <w:rFonts w:cs="Times New Roman"/>
              </w:rPr>
            </w:pPr>
            <w:r>
              <w:rPr>
                <w:rFonts w:cs="Times New Roman"/>
              </w:rPr>
              <w:t>根据项目资料，项目剩余工程土石方开挖总量为23700m</w:t>
            </w:r>
            <w:r>
              <w:rPr>
                <w:rFonts w:cs="Times New Roman"/>
                <w:vertAlign w:val="superscript"/>
              </w:rPr>
              <w:t>3</w:t>
            </w:r>
            <w:r>
              <w:rPr>
                <w:rFonts w:cs="Times New Roman"/>
              </w:rPr>
              <w:t>（含表土剥离1800m</w:t>
            </w:r>
            <w:r>
              <w:rPr>
                <w:rFonts w:cs="Times New Roman"/>
                <w:vertAlign w:val="superscript"/>
              </w:rPr>
              <w:t>3</w:t>
            </w:r>
            <w:r>
              <w:rPr>
                <w:rFonts w:cs="Times New Roman"/>
              </w:rPr>
              <w:t>），土石方回填利用14190m</w:t>
            </w:r>
            <w:r>
              <w:rPr>
                <w:rFonts w:cs="Times New Roman"/>
                <w:vertAlign w:val="superscript"/>
              </w:rPr>
              <w:t>3</w:t>
            </w:r>
            <w:r>
              <w:rPr>
                <w:rFonts w:cs="Times New Roman"/>
              </w:rPr>
              <w:t>（产生弃渣全部回填采空区），其中绿化覆土1800m</w:t>
            </w:r>
            <w:r>
              <w:rPr>
                <w:rFonts w:cs="Times New Roman"/>
                <w:vertAlign w:val="superscript"/>
              </w:rPr>
              <w:t>3</w:t>
            </w:r>
            <w:r>
              <w:rPr>
                <w:rFonts w:cs="Times New Roman"/>
              </w:rPr>
              <w:t>，综合利用14190m</w:t>
            </w:r>
            <w:r>
              <w:rPr>
                <w:rFonts w:cs="Times New Roman"/>
                <w:vertAlign w:val="superscript"/>
              </w:rPr>
              <w:t>3</w:t>
            </w:r>
            <w:r>
              <w:rPr>
                <w:rFonts w:cs="Times New Roman"/>
              </w:rPr>
              <w:t>，本项目生产区开挖的12880 m</w:t>
            </w:r>
            <w:r>
              <w:rPr>
                <w:rFonts w:cs="Times New Roman"/>
                <w:vertAlign w:val="superscript"/>
              </w:rPr>
              <w:t>3</w:t>
            </w:r>
            <w:r>
              <w:rPr>
                <w:rFonts w:cs="Times New Roman"/>
              </w:rPr>
              <w:t>的土方进入弃渣场处置。</w:t>
            </w:r>
          </w:p>
          <w:p w14:paraId="634272AE">
            <w:pPr>
              <w:ind w:firstLine="480"/>
              <w:rPr>
                <w:rFonts w:cs="Times New Roman"/>
              </w:rPr>
            </w:pPr>
            <w:r>
              <w:rPr>
                <w:rFonts w:cs="Times New Roman"/>
              </w:rPr>
              <w:t>（2）建筑垃圾</w:t>
            </w:r>
          </w:p>
          <w:p w14:paraId="0D73989C">
            <w:pPr>
              <w:ind w:firstLine="480"/>
              <w:rPr>
                <w:rFonts w:cs="Times New Roman"/>
              </w:rPr>
            </w:pPr>
            <w:r>
              <w:rPr>
                <w:rFonts w:cs="Times New Roman"/>
              </w:rPr>
              <w:t>建筑垃圾是在建筑物的建设、装修过程产生的，主要有渣土、废钢筋和各种废钢配件，金属管线废料、木屑、刨花、各种装饰材料的包装箱、包装袋等、散落的砂浆和混凝土，碎砖和碎混凝土块。本环评要求对建筑垃圾进行分类，可再生利用部分回收利用，不能利用的运至住建部门指定点处置。</w:t>
            </w:r>
          </w:p>
          <w:p w14:paraId="0186F267">
            <w:pPr>
              <w:ind w:firstLine="480"/>
              <w:rPr>
                <w:rFonts w:cs="Times New Roman"/>
              </w:rPr>
            </w:pPr>
            <w:r>
              <w:rPr>
                <w:rFonts w:cs="Times New Roman"/>
              </w:rPr>
              <w:t>（3）生活垃圾</w:t>
            </w:r>
          </w:p>
          <w:p w14:paraId="53C0939D">
            <w:pPr>
              <w:ind w:firstLine="480"/>
              <w:rPr>
                <w:rFonts w:cs="Times New Roman"/>
              </w:rPr>
            </w:pPr>
            <w:r>
              <w:rPr>
                <w:rFonts w:cs="Times New Roman"/>
              </w:rPr>
              <w:t>根据工程分析，生活垃圾产生量为0.54t，统一收集后运至附近村镇垃圾收集点。</w:t>
            </w:r>
          </w:p>
          <w:p w14:paraId="7DF2101F">
            <w:pPr>
              <w:ind w:firstLine="482"/>
              <w:rPr>
                <w:rFonts w:cs="Times New Roman"/>
                <w:b/>
                <w:szCs w:val="24"/>
              </w:rPr>
            </w:pPr>
            <w:r>
              <w:rPr>
                <w:rFonts w:cs="Times New Roman"/>
                <w:b/>
                <w:szCs w:val="24"/>
              </w:rPr>
              <w:t>5、施工期生态环境影响分析</w:t>
            </w:r>
          </w:p>
          <w:p w14:paraId="10614106">
            <w:pPr>
              <w:ind w:firstLine="480"/>
              <w:rPr>
                <w:rFonts w:cs="Times New Roman"/>
                <w:bCs/>
              </w:rPr>
            </w:pPr>
            <w:r>
              <w:rPr>
                <w:rFonts w:cs="Times New Roman"/>
                <w:bCs/>
              </w:rPr>
              <w:t>（1）对土地利用的影响分析</w:t>
            </w:r>
          </w:p>
          <w:p w14:paraId="6E4A1517">
            <w:pPr>
              <w:ind w:firstLine="480"/>
              <w:rPr>
                <w:rFonts w:cs="Times New Roman"/>
              </w:rPr>
            </w:pPr>
            <w:r>
              <w:rPr>
                <w:rFonts w:cs="Times New Roman"/>
              </w:rPr>
              <w:t>本项目在已有的占地范围了进行建设，并完善环保措施，不新增占地，不会造成新的土地利用形式改变，对土地利用的影响不大。</w:t>
            </w:r>
          </w:p>
          <w:p w14:paraId="38301009">
            <w:pPr>
              <w:ind w:firstLine="480"/>
              <w:rPr>
                <w:rFonts w:cs="Times New Roman"/>
                <w:bCs/>
              </w:rPr>
            </w:pPr>
            <w:r>
              <w:rPr>
                <w:rFonts w:cs="Times New Roman"/>
                <w:bCs/>
              </w:rPr>
              <w:t>（2）对植物的影响分析及保护措施</w:t>
            </w:r>
          </w:p>
          <w:p w14:paraId="0893FD64">
            <w:pPr>
              <w:ind w:firstLine="480"/>
              <w:rPr>
                <w:rFonts w:cs="Times New Roman"/>
                <w:bCs/>
              </w:rPr>
            </w:pPr>
            <w:r>
              <w:rPr>
                <w:rFonts w:cs="Times New Roman"/>
                <w:bCs/>
              </w:rPr>
              <w:t>本项目主要是生产加工区内已建设了1#、2#生产线及生活办公设施、露天采场、弃渣场等，会对地表的灌木丛产生破坏，影响范围及程度较小。</w:t>
            </w:r>
          </w:p>
          <w:p w14:paraId="6D6606AA">
            <w:pPr>
              <w:ind w:firstLine="480"/>
              <w:rPr>
                <w:rFonts w:cs="Times New Roman"/>
                <w:bCs/>
              </w:rPr>
            </w:pPr>
            <w:r>
              <w:rPr>
                <w:rFonts w:cs="Times New Roman"/>
                <w:bCs/>
              </w:rPr>
              <w:t>（3）对野生动物的影响分析及保护措施</w:t>
            </w:r>
          </w:p>
          <w:p w14:paraId="51E623DA">
            <w:pPr>
              <w:ind w:firstLine="480"/>
              <w:rPr>
                <w:rFonts w:cs="Times New Roman"/>
              </w:rPr>
            </w:pPr>
            <w:r>
              <w:rPr>
                <w:rFonts w:cs="Times New Roman"/>
              </w:rPr>
              <w:t xml:space="preserve">项目区受人为活动影响较严重，目前已无适宜大型野生动物栖息的场所，评价区内以小型动物为主，主要栖息生境为灌丛、草丛、树梢、洼地等，由于动物具有趋避性，会主动逃避影响，且小型动物的生存能力、适应能力较强，不会受到工程建设的严重影响。 </w:t>
            </w:r>
          </w:p>
          <w:p w14:paraId="6DB83F39">
            <w:pPr>
              <w:ind w:firstLine="480"/>
              <w:rPr>
                <w:rFonts w:cs="Times New Roman"/>
                <w:bCs/>
              </w:rPr>
            </w:pPr>
            <w:r>
              <w:rPr>
                <w:rFonts w:cs="Times New Roman"/>
              </w:rPr>
              <w:t>由于工程建设不新增占地，不会野生动物的栖息地造成破坏，工程建设对野生动物影响不大，不会造成评价区物种种群数量发生明显变化。</w:t>
            </w:r>
          </w:p>
          <w:p w14:paraId="5155CAD5">
            <w:pPr>
              <w:ind w:firstLine="0" w:firstLineChars="0"/>
              <w:rPr>
                <w:rFonts w:cs="Times New Roman"/>
                <w:b/>
              </w:rPr>
            </w:pPr>
            <w:r>
              <w:rPr>
                <w:rFonts w:cs="Times New Roman"/>
                <w:b/>
              </w:rPr>
              <w:t>六、营运期环境影响分析</w:t>
            </w:r>
          </w:p>
          <w:p w14:paraId="02640CA6">
            <w:pPr>
              <w:ind w:firstLine="482"/>
              <w:rPr>
                <w:rFonts w:cs="Times New Roman"/>
                <w:b/>
              </w:rPr>
            </w:pPr>
            <w:r>
              <w:rPr>
                <w:rFonts w:cs="Times New Roman"/>
                <w:b/>
              </w:rPr>
              <w:t>1、大气环境影响分析</w:t>
            </w:r>
          </w:p>
          <w:p w14:paraId="5E75562C">
            <w:pPr>
              <w:ind w:firstLine="480"/>
              <w:rPr>
                <w:rFonts w:cs="Times New Roman"/>
              </w:rPr>
            </w:pPr>
            <w:r>
              <w:rPr>
                <w:rFonts w:cs="Times New Roman"/>
              </w:rPr>
              <w:t>（1）大气环境影响评价工作等级的确定</w:t>
            </w:r>
          </w:p>
          <w:p w14:paraId="2BFD0738">
            <w:pPr>
              <w:ind w:firstLine="480"/>
              <w:rPr>
                <w:rFonts w:cs="Times New Roman"/>
              </w:rPr>
            </w:pPr>
            <w:r>
              <w:rPr>
                <w:rFonts w:cs="Times New Roman"/>
              </w:rPr>
              <w:t>依据《环境影响评价技术导则—大气环境》（HJ2.2-2018）中5.3工作等级的确定方法，结合项目工程分析结果，选择正常排放的主要污染物及排放参数，采用附录A推荐模型中的AERSCREEN模式计算项目污染源的最大环境影响，然后按评价工作分级判据进行分级。</w:t>
            </w:r>
          </w:p>
          <w:p w14:paraId="5C040DF1">
            <w:pPr>
              <w:ind w:firstLine="480"/>
              <w:rPr>
                <w:rFonts w:cs="Times New Roman"/>
              </w:rPr>
            </w:pPr>
            <w:r>
              <w:rPr>
                <w:rFonts w:cs="Times New Roman"/>
              </w:rPr>
              <w:t>（2）评价因子和评价标准筛选</w:t>
            </w:r>
          </w:p>
          <w:p w14:paraId="665C9A60">
            <w:pPr>
              <w:ind w:firstLine="480"/>
              <w:rPr>
                <w:rFonts w:cs="Times New Roman"/>
              </w:rPr>
            </w:pPr>
            <w:r>
              <w:rPr>
                <w:rFonts w:cs="Times New Roman"/>
              </w:rPr>
              <w:t>根据工程分析，本项目废气主要为无组织粉尘，项目运营期粉尘来源有采场工作面、破碎、筛分、堆料场及弃渣场、矿区运输道路。评价因子和评价标准见下表：</w:t>
            </w:r>
          </w:p>
          <w:p w14:paraId="579E69B8">
            <w:pPr>
              <w:ind w:firstLine="482"/>
              <w:jc w:val="center"/>
              <w:rPr>
                <w:rFonts w:cs="Times New Roman"/>
                <w:b/>
              </w:rPr>
            </w:pPr>
            <w:r>
              <w:rPr>
                <w:rFonts w:cs="Times New Roman"/>
                <w:b/>
              </w:rPr>
              <w:t>表7-</w:t>
            </w:r>
            <w:r>
              <w:rPr>
                <w:rFonts w:hint="eastAsia" w:cs="Times New Roman"/>
                <w:b/>
              </w:rPr>
              <w:t>7</w:t>
            </w:r>
            <w:r>
              <w:rPr>
                <w:rFonts w:cs="Times New Roman"/>
                <w:b/>
              </w:rPr>
              <w:t xml:space="preserve"> 评价因子和评价标准表</w:t>
            </w:r>
          </w:p>
          <w:tbl>
            <w:tblPr>
              <w:tblStyle w:val="22"/>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263"/>
              <w:gridCol w:w="1542"/>
              <w:gridCol w:w="1964"/>
              <w:gridCol w:w="3182"/>
            </w:tblGrid>
            <w:tr w14:paraId="48DB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92" w:type="dxa"/>
                  <w:tcBorders>
                    <w:top w:val="single" w:color="auto" w:sz="4" w:space="0"/>
                    <w:left w:val="single" w:color="auto" w:sz="4" w:space="0"/>
                    <w:bottom w:val="single" w:color="auto" w:sz="4" w:space="0"/>
                    <w:right w:val="single" w:color="auto" w:sz="4" w:space="0"/>
                  </w:tcBorders>
                  <w:vAlign w:val="center"/>
                </w:tcPr>
                <w:p w14:paraId="365E2A90">
                  <w:pPr>
                    <w:spacing w:line="240" w:lineRule="auto"/>
                    <w:ind w:firstLine="0" w:firstLineChars="0"/>
                    <w:jc w:val="center"/>
                    <w:rPr>
                      <w:rFonts w:cs="Times New Roman"/>
                      <w:sz w:val="21"/>
                      <w:szCs w:val="21"/>
                    </w:rPr>
                  </w:pPr>
                  <w:r>
                    <w:rPr>
                      <w:rFonts w:cs="Times New Roman"/>
                      <w:sz w:val="21"/>
                      <w:szCs w:val="21"/>
                    </w:rPr>
                    <w:t>评价因子</w:t>
                  </w:r>
                </w:p>
              </w:tc>
              <w:tc>
                <w:tcPr>
                  <w:tcW w:w="1263" w:type="dxa"/>
                  <w:tcBorders>
                    <w:top w:val="single" w:color="auto" w:sz="4" w:space="0"/>
                    <w:left w:val="single" w:color="auto" w:sz="4" w:space="0"/>
                    <w:bottom w:val="single" w:color="auto" w:sz="4" w:space="0"/>
                    <w:right w:val="single" w:color="auto" w:sz="4" w:space="0"/>
                  </w:tcBorders>
                  <w:vAlign w:val="center"/>
                </w:tcPr>
                <w:p w14:paraId="32579C76">
                  <w:pPr>
                    <w:spacing w:line="240" w:lineRule="auto"/>
                    <w:ind w:firstLine="0" w:firstLineChars="0"/>
                    <w:jc w:val="center"/>
                    <w:rPr>
                      <w:rFonts w:cs="Times New Roman"/>
                      <w:sz w:val="21"/>
                      <w:szCs w:val="21"/>
                    </w:rPr>
                  </w:pPr>
                  <w:r>
                    <w:rPr>
                      <w:rFonts w:cs="Times New Roman"/>
                      <w:sz w:val="21"/>
                      <w:szCs w:val="21"/>
                    </w:rPr>
                    <w:t>功能区</w:t>
                  </w:r>
                </w:p>
              </w:tc>
              <w:tc>
                <w:tcPr>
                  <w:tcW w:w="1542" w:type="dxa"/>
                  <w:tcBorders>
                    <w:top w:val="single" w:color="auto" w:sz="4" w:space="0"/>
                    <w:left w:val="single" w:color="auto" w:sz="4" w:space="0"/>
                    <w:bottom w:val="single" w:color="auto" w:sz="4" w:space="0"/>
                    <w:right w:val="single" w:color="auto" w:sz="4" w:space="0"/>
                  </w:tcBorders>
                  <w:vAlign w:val="center"/>
                </w:tcPr>
                <w:p w14:paraId="692F0C3B">
                  <w:pPr>
                    <w:spacing w:line="240" w:lineRule="auto"/>
                    <w:ind w:firstLine="0" w:firstLineChars="0"/>
                    <w:jc w:val="center"/>
                    <w:rPr>
                      <w:rFonts w:cs="Times New Roman"/>
                      <w:sz w:val="21"/>
                      <w:szCs w:val="21"/>
                    </w:rPr>
                  </w:pPr>
                  <w:r>
                    <w:rPr>
                      <w:rFonts w:cs="Times New Roman"/>
                      <w:sz w:val="21"/>
                      <w:szCs w:val="21"/>
                    </w:rPr>
                    <w:t>平均时段</w:t>
                  </w:r>
                </w:p>
              </w:tc>
              <w:tc>
                <w:tcPr>
                  <w:tcW w:w="1964" w:type="dxa"/>
                  <w:tcBorders>
                    <w:top w:val="single" w:color="auto" w:sz="4" w:space="0"/>
                    <w:left w:val="single" w:color="auto" w:sz="4" w:space="0"/>
                    <w:bottom w:val="single" w:color="auto" w:sz="4" w:space="0"/>
                    <w:right w:val="single" w:color="auto" w:sz="4" w:space="0"/>
                  </w:tcBorders>
                  <w:vAlign w:val="center"/>
                </w:tcPr>
                <w:p w14:paraId="56019E01">
                  <w:pPr>
                    <w:spacing w:line="240" w:lineRule="auto"/>
                    <w:ind w:firstLine="0" w:firstLineChars="0"/>
                    <w:jc w:val="center"/>
                    <w:rPr>
                      <w:rFonts w:cs="Times New Roman"/>
                      <w:sz w:val="21"/>
                      <w:szCs w:val="21"/>
                    </w:rPr>
                  </w:pPr>
                  <w:r>
                    <w:rPr>
                      <w:rFonts w:cs="Times New Roman"/>
                      <w:sz w:val="21"/>
                      <w:szCs w:val="21"/>
                    </w:rPr>
                    <w:t>标准值（ug/m</w:t>
                  </w:r>
                  <w:r>
                    <w:rPr>
                      <w:rFonts w:cs="Times New Roman"/>
                      <w:sz w:val="21"/>
                      <w:szCs w:val="21"/>
                      <w:vertAlign w:val="superscript"/>
                    </w:rPr>
                    <w:t>3</w:t>
                  </w:r>
                  <w:r>
                    <w:rPr>
                      <w:rFonts w:cs="Times New Roman"/>
                      <w:sz w:val="21"/>
                      <w:szCs w:val="21"/>
                    </w:rPr>
                    <w:t>）</w:t>
                  </w:r>
                </w:p>
              </w:tc>
              <w:tc>
                <w:tcPr>
                  <w:tcW w:w="3182" w:type="dxa"/>
                  <w:tcBorders>
                    <w:top w:val="single" w:color="auto" w:sz="4" w:space="0"/>
                    <w:left w:val="single" w:color="auto" w:sz="4" w:space="0"/>
                    <w:bottom w:val="single" w:color="auto" w:sz="4" w:space="0"/>
                    <w:right w:val="single" w:color="auto" w:sz="4" w:space="0"/>
                  </w:tcBorders>
                  <w:vAlign w:val="center"/>
                </w:tcPr>
                <w:p w14:paraId="5AA42B39">
                  <w:pPr>
                    <w:spacing w:line="240" w:lineRule="auto"/>
                    <w:ind w:firstLine="0" w:firstLineChars="0"/>
                    <w:jc w:val="center"/>
                    <w:rPr>
                      <w:rFonts w:cs="Times New Roman"/>
                      <w:sz w:val="21"/>
                      <w:szCs w:val="21"/>
                    </w:rPr>
                  </w:pPr>
                  <w:r>
                    <w:rPr>
                      <w:rFonts w:cs="Times New Roman"/>
                      <w:sz w:val="21"/>
                      <w:szCs w:val="21"/>
                    </w:rPr>
                    <w:t>标准来源</w:t>
                  </w:r>
                </w:p>
              </w:tc>
            </w:tr>
            <w:tr w14:paraId="01A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92" w:type="dxa"/>
                  <w:tcBorders>
                    <w:top w:val="single" w:color="auto" w:sz="4" w:space="0"/>
                    <w:left w:val="single" w:color="auto" w:sz="4" w:space="0"/>
                    <w:bottom w:val="single" w:color="auto" w:sz="4" w:space="0"/>
                    <w:right w:val="single" w:color="auto" w:sz="4" w:space="0"/>
                  </w:tcBorders>
                  <w:vAlign w:val="center"/>
                </w:tcPr>
                <w:p w14:paraId="28731310">
                  <w:pPr>
                    <w:spacing w:line="240" w:lineRule="auto"/>
                    <w:ind w:firstLine="0" w:firstLineChars="0"/>
                    <w:jc w:val="center"/>
                    <w:rPr>
                      <w:rFonts w:cs="Times New Roman"/>
                      <w:sz w:val="21"/>
                      <w:szCs w:val="21"/>
                    </w:rPr>
                  </w:pPr>
                  <w:r>
                    <w:rPr>
                      <w:rFonts w:cs="Times New Roman"/>
                      <w:sz w:val="21"/>
                      <w:szCs w:val="21"/>
                    </w:rPr>
                    <w:t>颗粒物(TSP)</w:t>
                  </w:r>
                </w:p>
              </w:tc>
              <w:tc>
                <w:tcPr>
                  <w:tcW w:w="1263" w:type="dxa"/>
                  <w:tcBorders>
                    <w:top w:val="single" w:color="auto" w:sz="4" w:space="0"/>
                    <w:left w:val="single" w:color="auto" w:sz="4" w:space="0"/>
                    <w:bottom w:val="single" w:color="auto" w:sz="4" w:space="0"/>
                    <w:right w:val="single" w:color="auto" w:sz="4" w:space="0"/>
                  </w:tcBorders>
                  <w:vAlign w:val="center"/>
                </w:tcPr>
                <w:p w14:paraId="41EF2A7E">
                  <w:pPr>
                    <w:spacing w:line="240" w:lineRule="auto"/>
                    <w:ind w:firstLine="0" w:firstLineChars="0"/>
                    <w:jc w:val="center"/>
                    <w:rPr>
                      <w:rFonts w:cs="Times New Roman"/>
                      <w:sz w:val="21"/>
                      <w:szCs w:val="21"/>
                    </w:rPr>
                  </w:pPr>
                  <w:r>
                    <w:rPr>
                      <w:rFonts w:cs="Times New Roman"/>
                      <w:sz w:val="21"/>
                      <w:szCs w:val="21"/>
                    </w:rPr>
                    <w:t>二类区</w:t>
                  </w:r>
                </w:p>
              </w:tc>
              <w:tc>
                <w:tcPr>
                  <w:tcW w:w="1542" w:type="dxa"/>
                  <w:tcBorders>
                    <w:top w:val="single" w:color="auto" w:sz="4" w:space="0"/>
                    <w:left w:val="single" w:color="auto" w:sz="4" w:space="0"/>
                    <w:bottom w:val="single" w:color="auto" w:sz="4" w:space="0"/>
                    <w:right w:val="single" w:color="auto" w:sz="4" w:space="0"/>
                  </w:tcBorders>
                  <w:vAlign w:val="center"/>
                </w:tcPr>
                <w:p w14:paraId="53C3F9A3">
                  <w:pPr>
                    <w:spacing w:line="240" w:lineRule="auto"/>
                    <w:ind w:firstLine="0" w:firstLineChars="0"/>
                    <w:jc w:val="center"/>
                    <w:rPr>
                      <w:rFonts w:cs="Times New Roman"/>
                      <w:sz w:val="21"/>
                      <w:szCs w:val="21"/>
                    </w:rPr>
                  </w:pPr>
                  <w:r>
                    <w:rPr>
                      <w:rFonts w:cs="Times New Roman"/>
                      <w:sz w:val="21"/>
                      <w:szCs w:val="21"/>
                    </w:rPr>
                    <w:t>1小时平均</w:t>
                  </w:r>
                </w:p>
              </w:tc>
              <w:tc>
                <w:tcPr>
                  <w:tcW w:w="1964" w:type="dxa"/>
                  <w:tcBorders>
                    <w:top w:val="single" w:color="auto" w:sz="4" w:space="0"/>
                    <w:left w:val="single" w:color="auto" w:sz="4" w:space="0"/>
                    <w:bottom w:val="single" w:color="auto" w:sz="4" w:space="0"/>
                    <w:right w:val="single" w:color="auto" w:sz="4" w:space="0"/>
                  </w:tcBorders>
                  <w:vAlign w:val="center"/>
                </w:tcPr>
                <w:p w14:paraId="79C84450">
                  <w:pPr>
                    <w:spacing w:line="240" w:lineRule="auto"/>
                    <w:ind w:firstLine="0" w:firstLineChars="0"/>
                    <w:jc w:val="center"/>
                    <w:rPr>
                      <w:rFonts w:cs="Times New Roman"/>
                      <w:sz w:val="21"/>
                      <w:szCs w:val="21"/>
                    </w:rPr>
                  </w:pPr>
                  <w:r>
                    <w:rPr>
                      <w:rFonts w:cs="Times New Roman"/>
                      <w:sz w:val="21"/>
                      <w:szCs w:val="21"/>
                    </w:rPr>
                    <w:t>900*</w:t>
                  </w:r>
                </w:p>
              </w:tc>
              <w:tc>
                <w:tcPr>
                  <w:tcW w:w="3182" w:type="dxa"/>
                  <w:tcBorders>
                    <w:top w:val="single" w:color="auto" w:sz="4" w:space="0"/>
                    <w:left w:val="single" w:color="auto" w:sz="4" w:space="0"/>
                    <w:bottom w:val="single" w:color="auto" w:sz="4" w:space="0"/>
                    <w:right w:val="single" w:color="auto" w:sz="4" w:space="0"/>
                  </w:tcBorders>
                  <w:vAlign w:val="center"/>
                </w:tcPr>
                <w:p w14:paraId="2C858358">
                  <w:pPr>
                    <w:spacing w:line="240" w:lineRule="auto"/>
                    <w:ind w:firstLine="0" w:firstLineChars="0"/>
                    <w:jc w:val="center"/>
                    <w:rPr>
                      <w:rFonts w:cs="Times New Roman"/>
                      <w:sz w:val="21"/>
                      <w:szCs w:val="21"/>
                    </w:rPr>
                  </w:pPr>
                  <w:r>
                    <w:rPr>
                      <w:rFonts w:cs="Times New Roman"/>
                      <w:sz w:val="21"/>
                      <w:szCs w:val="21"/>
                    </w:rPr>
                    <w:t>GB3095-2012</w:t>
                  </w:r>
                </w:p>
                <w:p w14:paraId="5509F06D">
                  <w:pPr>
                    <w:spacing w:line="240" w:lineRule="auto"/>
                    <w:ind w:firstLine="0" w:firstLineChars="0"/>
                    <w:jc w:val="center"/>
                    <w:rPr>
                      <w:rFonts w:cs="Times New Roman"/>
                      <w:sz w:val="21"/>
                      <w:szCs w:val="21"/>
                    </w:rPr>
                  </w:pPr>
                  <w:r>
                    <w:rPr>
                      <w:rFonts w:cs="Times New Roman"/>
                      <w:sz w:val="21"/>
                      <w:szCs w:val="21"/>
                    </w:rPr>
                    <w:t xml:space="preserve"> 《环境空气质量标准》</w:t>
                  </w:r>
                </w:p>
              </w:tc>
            </w:tr>
          </w:tbl>
          <w:p w14:paraId="28071501">
            <w:pPr>
              <w:ind w:firstLine="480"/>
              <w:rPr>
                <w:rFonts w:cs="Times New Roman"/>
              </w:rPr>
            </w:pPr>
            <w:r>
              <w:rPr>
                <w:rFonts w:cs="Times New Roman"/>
              </w:rPr>
              <w:t>（3）估算模型参数</w:t>
            </w:r>
          </w:p>
          <w:p w14:paraId="161CA4E1">
            <w:pPr>
              <w:ind w:firstLine="480"/>
              <w:rPr>
                <w:rFonts w:cs="Times New Roman"/>
              </w:rPr>
            </w:pPr>
            <w:r>
              <w:rPr>
                <w:rFonts w:cs="Times New Roman"/>
              </w:rPr>
              <w:t>本项目估算模型参数如下：</w:t>
            </w:r>
          </w:p>
          <w:p w14:paraId="368B4D83">
            <w:pPr>
              <w:adjustRightInd w:val="0"/>
              <w:snapToGrid w:val="0"/>
              <w:ind w:firstLine="482"/>
              <w:jc w:val="center"/>
              <w:rPr>
                <w:rFonts w:cs="Times New Roman"/>
                <w:b/>
                <w:szCs w:val="24"/>
              </w:rPr>
            </w:pPr>
            <w:r>
              <w:rPr>
                <w:rFonts w:cs="Times New Roman"/>
                <w:b/>
              </w:rPr>
              <w:t>表7-</w:t>
            </w:r>
            <w:r>
              <w:rPr>
                <w:rFonts w:hint="eastAsia" w:cs="Times New Roman"/>
                <w:b/>
              </w:rPr>
              <w:t>8</w:t>
            </w:r>
            <w:r>
              <w:rPr>
                <w:rFonts w:cs="Times New Roman"/>
                <w:b/>
              </w:rPr>
              <w:t xml:space="preserve">   估算模式参数表</w:t>
            </w:r>
          </w:p>
          <w:tbl>
            <w:tblPr>
              <w:tblStyle w:val="22"/>
              <w:tblW w:w="9161"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3205"/>
              <w:gridCol w:w="3205"/>
            </w:tblGrid>
            <w:tr w14:paraId="0783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6" w:type="dxa"/>
                  <w:gridSpan w:val="2"/>
                  <w:tcBorders>
                    <w:top w:val="single" w:color="auto" w:sz="4" w:space="0"/>
                    <w:left w:val="single" w:color="auto" w:sz="4" w:space="0"/>
                    <w:bottom w:val="single" w:color="auto" w:sz="4" w:space="0"/>
                    <w:right w:val="single" w:color="auto" w:sz="4" w:space="0"/>
                  </w:tcBorders>
                  <w:vAlign w:val="center"/>
                </w:tcPr>
                <w:p w14:paraId="73214585">
                  <w:pPr>
                    <w:pStyle w:val="32"/>
                    <w:ind w:firstLine="480"/>
                    <w:rPr>
                      <w:rFonts w:cs="Times New Roman"/>
                    </w:rPr>
                  </w:pPr>
                  <w:r>
                    <w:rPr>
                      <w:rFonts w:cs="Times New Roman"/>
                    </w:rPr>
                    <w:t>参数</w:t>
                  </w:r>
                </w:p>
              </w:tc>
              <w:tc>
                <w:tcPr>
                  <w:tcW w:w="3205" w:type="dxa"/>
                  <w:tcBorders>
                    <w:top w:val="single" w:color="auto" w:sz="4" w:space="0"/>
                    <w:left w:val="single" w:color="auto" w:sz="4" w:space="0"/>
                    <w:bottom w:val="single" w:color="auto" w:sz="4" w:space="0"/>
                    <w:right w:val="single" w:color="auto" w:sz="4" w:space="0"/>
                  </w:tcBorders>
                  <w:vAlign w:val="center"/>
                </w:tcPr>
                <w:p w14:paraId="66221FFA">
                  <w:pPr>
                    <w:pStyle w:val="32"/>
                    <w:ind w:firstLine="480"/>
                    <w:rPr>
                      <w:rFonts w:cs="Times New Roman"/>
                    </w:rPr>
                  </w:pPr>
                  <w:r>
                    <w:rPr>
                      <w:rFonts w:cs="Times New Roman"/>
                    </w:rPr>
                    <w:t>取值</w:t>
                  </w:r>
                </w:p>
              </w:tc>
            </w:tr>
            <w:tr w14:paraId="59C6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51" w:type="dxa"/>
                  <w:vMerge w:val="restart"/>
                  <w:tcBorders>
                    <w:top w:val="single" w:color="auto" w:sz="4" w:space="0"/>
                    <w:left w:val="single" w:color="auto" w:sz="4" w:space="0"/>
                    <w:bottom w:val="single" w:color="auto" w:sz="4" w:space="0"/>
                    <w:right w:val="single" w:color="auto" w:sz="4" w:space="0"/>
                  </w:tcBorders>
                  <w:vAlign w:val="center"/>
                </w:tcPr>
                <w:p w14:paraId="1622CE95">
                  <w:pPr>
                    <w:pStyle w:val="32"/>
                    <w:ind w:firstLine="480"/>
                    <w:rPr>
                      <w:rFonts w:cs="Times New Roman"/>
                    </w:rPr>
                  </w:pPr>
                  <w:r>
                    <w:rPr>
                      <w:rFonts w:cs="Times New Roman"/>
                    </w:rPr>
                    <w:t>城市/农村选项</w:t>
                  </w:r>
                </w:p>
              </w:tc>
              <w:tc>
                <w:tcPr>
                  <w:tcW w:w="3205" w:type="dxa"/>
                  <w:tcBorders>
                    <w:top w:val="single" w:color="auto" w:sz="4" w:space="0"/>
                    <w:left w:val="single" w:color="auto" w:sz="4" w:space="0"/>
                    <w:bottom w:val="single" w:color="auto" w:sz="4" w:space="0"/>
                    <w:right w:val="single" w:color="auto" w:sz="4" w:space="0"/>
                  </w:tcBorders>
                  <w:vAlign w:val="center"/>
                </w:tcPr>
                <w:p w14:paraId="0AB5112A">
                  <w:pPr>
                    <w:pStyle w:val="32"/>
                    <w:ind w:firstLine="480"/>
                    <w:rPr>
                      <w:rFonts w:cs="Times New Roman"/>
                    </w:rPr>
                  </w:pPr>
                  <w:r>
                    <w:rPr>
                      <w:rFonts w:cs="Times New Roman"/>
                    </w:rPr>
                    <w:t>城市/农村</w:t>
                  </w:r>
                </w:p>
              </w:tc>
              <w:tc>
                <w:tcPr>
                  <w:tcW w:w="3205" w:type="dxa"/>
                  <w:tcBorders>
                    <w:top w:val="single" w:color="auto" w:sz="4" w:space="0"/>
                    <w:left w:val="single" w:color="auto" w:sz="4" w:space="0"/>
                    <w:bottom w:val="single" w:color="auto" w:sz="4" w:space="0"/>
                    <w:right w:val="single" w:color="auto" w:sz="4" w:space="0"/>
                  </w:tcBorders>
                  <w:vAlign w:val="center"/>
                </w:tcPr>
                <w:p w14:paraId="5518356A">
                  <w:pPr>
                    <w:pStyle w:val="32"/>
                    <w:ind w:firstLine="480"/>
                    <w:rPr>
                      <w:rFonts w:cs="Times New Roman"/>
                    </w:rPr>
                  </w:pPr>
                  <w:r>
                    <w:rPr>
                      <w:rFonts w:cs="Times New Roman"/>
                    </w:rPr>
                    <w:t>农村</w:t>
                  </w:r>
                </w:p>
              </w:tc>
            </w:tr>
            <w:tr w14:paraId="0B9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751" w:type="dxa"/>
                  <w:vMerge w:val="continue"/>
                  <w:tcBorders>
                    <w:top w:val="single" w:color="auto" w:sz="4" w:space="0"/>
                    <w:left w:val="single" w:color="auto" w:sz="4" w:space="0"/>
                    <w:bottom w:val="single" w:color="auto" w:sz="4" w:space="0"/>
                    <w:right w:val="single" w:color="auto" w:sz="4" w:space="0"/>
                  </w:tcBorders>
                  <w:vAlign w:val="center"/>
                </w:tcPr>
                <w:p w14:paraId="43240F11">
                  <w:pPr>
                    <w:widowControl/>
                    <w:ind w:firstLine="420"/>
                    <w:rPr>
                      <w:rFonts w:cs="Times New Roman"/>
                      <w:sz w:val="21"/>
                    </w:rPr>
                  </w:pPr>
                </w:p>
              </w:tc>
              <w:tc>
                <w:tcPr>
                  <w:tcW w:w="3205" w:type="dxa"/>
                  <w:tcBorders>
                    <w:top w:val="single" w:color="auto" w:sz="4" w:space="0"/>
                    <w:left w:val="single" w:color="auto" w:sz="4" w:space="0"/>
                    <w:bottom w:val="single" w:color="auto" w:sz="4" w:space="0"/>
                    <w:right w:val="single" w:color="auto" w:sz="4" w:space="0"/>
                  </w:tcBorders>
                  <w:vAlign w:val="center"/>
                </w:tcPr>
                <w:p w14:paraId="11782BA3">
                  <w:pPr>
                    <w:pStyle w:val="32"/>
                    <w:ind w:firstLine="480"/>
                    <w:rPr>
                      <w:rFonts w:cs="Times New Roman"/>
                    </w:rPr>
                  </w:pPr>
                  <w:r>
                    <w:rPr>
                      <w:rFonts w:cs="Times New Roman"/>
                    </w:rPr>
                    <w:t>人口数（城市选项时）</w:t>
                  </w:r>
                </w:p>
              </w:tc>
              <w:tc>
                <w:tcPr>
                  <w:tcW w:w="3205" w:type="dxa"/>
                  <w:tcBorders>
                    <w:top w:val="single" w:color="auto" w:sz="4" w:space="0"/>
                    <w:left w:val="single" w:color="auto" w:sz="4" w:space="0"/>
                    <w:bottom w:val="single" w:color="auto" w:sz="4" w:space="0"/>
                    <w:right w:val="single" w:color="auto" w:sz="4" w:space="0"/>
                  </w:tcBorders>
                  <w:vAlign w:val="center"/>
                </w:tcPr>
                <w:p w14:paraId="5CCA2A36">
                  <w:pPr>
                    <w:pStyle w:val="32"/>
                    <w:ind w:firstLine="480"/>
                    <w:rPr>
                      <w:rFonts w:cs="Times New Roman"/>
                    </w:rPr>
                  </w:pPr>
                  <w:r>
                    <w:rPr>
                      <w:rFonts w:cs="Times New Roman"/>
                    </w:rPr>
                    <w:t xml:space="preserve"> </w:t>
                  </w:r>
                </w:p>
              </w:tc>
            </w:tr>
            <w:tr w14:paraId="5C3B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956" w:type="dxa"/>
                  <w:gridSpan w:val="2"/>
                  <w:tcBorders>
                    <w:top w:val="single" w:color="auto" w:sz="4" w:space="0"/>
                    <w:left w:val="single" w:color="auto" w:sz="4" w:space="0"/>
                    <w:bottom w:val="single" w:color="auto" w:sz="4" w:space="0"/>
                    <w:right w:val="single" w:color="auto" w:sz="4" w:space="0"/>
                  </w:tcBorders>
                  <w:vAlign w:val="center"/>
                </w:tcPr>
                <w:p w14:paraId="78D9E2A2">
                  <w:pPr>
                    <w:pStyle w:val="32"/>
                    <w:ind w:firstLine="480"/>
                    <w:rPr>
                      <w:rFonts w:cs="Times New Roman"/>
                    </w:rPr>
                  </w:pPr>
                  <w:r>
                    <w:rPr>
                      <w:rFonts w:cs="Times New Roman"/>
                    </w:rPr>
                    <w:t>最高环境温度/</w:t>
                  </w:r>
                  <w:r>
                    <w:rPr>
                      <w:rFonts w:hint="eastAsia" w:ascii="宋体" w:hAnsi="宋体" w:cs="宋体"/>
                    </w:rPr>
                    <w:t>℃</w:t>
                  </w:r>
                </w:p>
              </w:tc>
              <w:tc>
                <w:tcPr>
                  <w:tcW w:w="3205" w:type="dxa"/>
                  <w:tcBorders>
                    <w:top w:val="single" w:color="auto" w:sz="4" w:space="0"/>
                    <w:left w:val="single" w:color="auto" w:sz="4" w:space="0"/>
                    <w:bottom w:val="single" w:color="auto" w:sz="4" w:space="0"/>
                    <w:right w:val="single" w:color="auto" w:sz="4" w:space="0"/>
                  </w:tcBorders>
                  <w:vAlign w:val="center"/>
                </w:tcPr>
                <w:p w14:paraId="7541AD9D">
                  <w:pPr>
                    <w:pStyle w:val="32"/>
                    <w:ind w:firstLine="480"/>
                    <w:rPr>
                      <w:rFonts w:cs="Times New Roman"/>
                    </w:rPr>
                  </w:pPr>
                  <w:r>
                    <w:rPr>
                      <w:rFonts w:cs="Times New Roman"/>
                    </w:rPr>
                    <w:t>36.2</w:t>
                  </w:r>
                </w:p>
              </w:tc>
            </w:tr>
            <w:tr w14:paraId="232A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956" w:type="dxa"/>
                  <w:gridSpan w:val="2"/>
                  <w:tcBorders>
                    <w:top w:val="single" w:color="auto" w:sz="4" w:space="0"/>
                    <w:left w:val="single" w:color="auto" w:sz="4" w:space="0"/>
                    <w:bottom w:val="single" w:color="auto" w:sz="4" w:space="0"/>
                    <w:right w:val="single" w:color="auto" w:sz="4" w:space="0"/>
                  </w:tcBorders>
                  <w:vAlign w:val="center"/>
                </w:tcPr>
                <w:p w14:paraId="07888608">
                  <w:pPr>
                    <w:pStyle w:val="32"/>
                    <w:ind w:firstLine="480"/>
                    <w:rPr>
                      <w:rFonts w:cs="Times New Roman"/>
                    </w:rPr>
                  </w:pPr>
                  <w:r>
                    <w:rPr>
                      <w:rFonts w:cs="Times New Roman"/>
                    </w:rPr>
                    <w:t>最低环境温度/</w:t>
                  </w:r>
                  <w:r>
                    <w:rPr>
                      <w:rFonts w:hint="eastAsia" w:ascii="宋体" w:hAnsi="宋体" w:cs="宋体"/>
                    </w:rPr>
                    <w:t>℃</w:t>
                  </w:r>
                </w:p>
              </w:tc>
              <w:tc>
                <w:tcPr>
                  <w:tcW w:w="3205" w:type="dxa"/>
                  <w:tcBorders>
                    <w:top w:val="single" w:color="auto" w:sz="4" w:space="0"/>
                    <w:left w:val="single" w:color="auto" w:sz="4" w:space="0"/>
                    <w:bottom w:val="single" w:color="auto" w:sz="4" w:space="0"/>
                    <w:right w:val="single" w:color="auto" w:sz="4" w:space="0"/>
                  </w:tcBorders>
                  <w:vAlign w:val="center"/>
                </w:tcPr>
                <w:p w14:paraId="69B3B9FC">
                  <w:pPr>
                    <w:pStyle w:val="32"/>
                    <w:ind w:firstLine="480"/>
                    <w:rPr>
                      <w:rFonts w:cs="Times New Roman"/>
                    </w:rPr>
                  </w:pPr>
                  <w:r>
                    <w:rPr>
                      <w:rFonts w:cs="Times New Roman"/>
                    </w:rPr>
                    <w:t>-0.6</w:t>
                  </w:r>
                </w:p>
              </w:tc>
            </w:tr>
            <w:tr w14:paraId="41D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956" w:type="dxa"/>
                  <w:gridSpan w:val="2"/>
                  <w:tcBorders>
                    <w:top w:val="single" w:color="auto" w:sz="4" w:space="0"/>
                    <w:left w:val="single" w:color="auto" w:sz="4" w:space="0"/>
                    <w:bottom w:val="single" w:color="auto" w:sz="4" w:space="0"/>
                    <w:right w:val="single" w:color="auto" w:sz="4" w:space="0"/>
                  </w:tcBorders>
                  <w:vAlign w:val="center"/>
                </w:tcPr>
                <w:p w14:paraId="632C41D0">
                  <w:pPr>
                    <w:pStyle w:val="32"/>
                    <w:ind w:firstLine="480"/>
                    <w:rPr>
                      <w:rFonts w:cs="Times New Roman"/>
                    </w:rPr>
                  </w:pPr>
                  <w:r>
                    <w:rPr>
                      <w:rFonts w:cs="Times New Roman"/>
                    </w:rPr>
                    <w:t>土地利用类型</w:t>
                  </w:r>
                </w:p>
              </w:tc>
              <w:tc>
                <w:tcPr>
                  <w:tcW w:w="3205" w:type="dxa"/>
                  <w:tcBorders>
                    <w:top w:val="single" w:color="auto" w:sz="4" w:space="0"/>
                    <w:left w:val="single" w:color="auto" w:sz="4" w:space="0"/>
                    <w:bottom w:val="single" w:color="auto" w:sz="4" w:space="0"/>
                    <w:right w:val="single" w:color="auto" w:sz="4" w:space="0"/>
                  </w:tcBorders>
                  <w:vAlign w:val="center"/>
                </w:tcPr>
                <w:p w14:paraId="51243206">
                  <w:pPr>
                    <w:pStyle w:val="32"/>
                    <w:ind w:firstLine="480"/>
                    <w:rPr>
                      <w:rFonts w:cs="Times New Roman"/>
                    </w:rPr>
                  </w:pPr>
                  <w:r>
                    <w:rPr>
                      <w:rFonts w:cs="Times New Roman"/>
                    </w:rPr>
                    <w:t>农村</w:t>
                  </w:r>
                </w:p>
              </w:tc>
            </w:tr>
            <w:tr w14:paraId="5474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6" w:type="dxa"/>
                  <w:gridSpan w:val="2"/>
                  <w:tcBorders>
                    <w:top w:val="single" w:color="auto" w:sz="4" w:space="0"/>
                    <w:left w:val="single" w:color="auto" w:sz="4" w:space="0"/>
                    <w:bottom w:val="single" w:color="auto" w:sz="4" w:space="0"/>
                    <w:right w:val="single" w:color="auto" w:sz="4" w:space="0"/>
                  </w:tcBorders>
                  <w:vAlign w:val="center"/>
                </w:tcPr>
                <w:p w14:paraId="298910B2">
                  <w:pPr>
                    <w:pStyle w:val="32"/>
                    <w:ind w:firstLine="480"/>
                    <w:rPr>
                      <w:rFonts w:cs="Times New Roman"/>
                    </w:rPr>
                  </w:pPr>
                  <w:r>
                    <w:rPr>
                      <w:rFonts w:cs="Times New Roman"/>
                    </w:rPr>
                    <w:t>区域湿度条件</w:t>
                  </w:r>
                </w:p>
              </w:tc>
              <w:tc>
                <w:tcPr>
                  <w:tcW w:w="3205" w:type="dxa"/>
                  <w:tcBorders>
                    <w:top w:val="single" w:color="auto" w:sz="4" w:space="0"/>
                    <w:left w:val="single" w:color="auto" w:sz="4" w:space="0"/>
                    <w:bottom w:val="single" w:color="auto" w:sz="4" w:space="0"/>
                    <w:right w:val="single" w:color="auto" w:sz="4" w:space="0"/>
                  </w:tcBorders>
                  <w:vAlign w:val="center"/>
                </w:tcPr>
                <w:p w14:paraId="09399E6B">
                  <w:pPr>
                    <w:pStyle w:val="32"/>
                    <w:ind w:firstLine="480"/>
                    <w:rPr>
                      <w:rFonts w:cs="Times New Roman"/>
                    </w:rPr>
                  </w:pPr>
                  <w:r>
                    <w:rPr>
                      <w:rFonts w:cs="Times New Roman"/>
                    </w:rPr>
                    <w:t>中度湿度区域</w:t>
                  </w:r>
                </w:p>
              </w:tc>
            </w:tr>
            <w:tr w14:paraId="1110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51" w:type="dxa"/>
                  <w:vMerge w:val="restart"/>
                  <w:tcBorders>
                    <w:top w:val="single" w:color="auto" w:sz="4" w:space="0"/>
                    <w:left w:val="single" w:color="auto" w:sz="4" w:space="0"/>
                    <w:bottom w:val="single" w:color="auto" w:sz="4" w:space="0"/>
                    <w:right w:val="single" w:color="auto" w:sz="4" w:space="0"/>
                  </w:tcBorders>
                  <w:vAlign w:val="center"/>
                </w:tcPr>
                <w:p w14:paraId="2B3604C8">
                  <w:pPr>
                    <w:pStyle w:val="32"/>
                    <w:ind w:firstLine="480"/>
                    <w:rPr>
                      <w:rFonts w:cs="Times New Roman"/>
                    </w:rPr>
                  </w:pPr>
                  <w:r>
                    <w:rPr>
                      <w:rFonts w:cs="Times New Roman"/>
                    </w:rPr>
                    <w:t>是否考虑地形</w:t>
                  </w:r>
                </w:p>
              </w:tc>
              <w:tc>
                <w:tcPr>
                  <w:tcW w:w="3205" w:type="dxa"/>
                  <w:tcBorders>
                    <w:top w:val="single" w:color="auto" w:sz="4" w:space="0"/>
                    <w:left w:val="single" w:color="auto" w:sz="4" w:space="0"/>
                    <w:bottom w:val="single" w:color="auto" w:sz="4" w:space="0"/>
                    <w:right w:val="single" w:color="auto" w:sz="4" w:space="0"/>
                  </w:tcBorders>
                  <w:vAlign w:val="center"/>
                </w:tcPr>
                <w:p w14:paraId="3DA7C968">
                  <w:pPr>
                    <w:pStyle w:val="32"/>
                    <w:ind w:firstLine="480"/>
                    <w:rPr>
                      <w:rFonts w:cs="Times New Roman"/>
                    </w:rPr>
                  </w:pPr>
                  <w:r>
                    <w:rPr>
                      <w:rFonts w:cs="Times New Roman"/>
                    </w:rPr>
                    <w:t>考虑地形</w:t>
                  </w:r>
                </w:p>
              </w:tc>
              <w:tc>
                <w:tcPr>
                  <w:tcW w:w="3205" w:type="dxa"/>
                  <w:tcBorders>
                    <w:top w:val="single" w:color="auto" w:sz="4" w:space="0"/>
                    <w:left w:val="single" w:color="auto" w:sz="4" w:space="0"/>
                    <w:bottom w:val="single" w:color="auto" w:sz="4" w:space="0"/>
                    <w:right w:val="single" w:color="auto" w:sz="4" w:space="0"/>
                  </w:tcBorders>
                  <w:vAlign w:val="center"/>
                </w:tcPr>
                <w:p w14:paraId="3D5E21FE">
                  <w:pPr>
                    <w:pStyle w:val="32"/>
                    <w:ind w:firstLine="480"/>
                    <w:rPr>
                      <w:rFonts w:cs="Times New Roman"/>
                    </w:rPr>
                  </w:pPr>
                  <w:r>
                    <w:rPr>
                      <w:rFonts w:cs="Times New Roman"/>
                    </w:rPr>
                    <w:t>否</w:t>
                  </w:r>
                </w:p>
              </w:tc>
            </w:tr>
            <w:tr w14:paraId="774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751" w:type="dxa"/>
                  <w:vMerge w:val="continue"/>
                  <w:tcBorders>
                    <w:top w:val="single" w:color="auto" w:sz="4" w:space="0"/>
                    <w:left w:val="single" w:color="auto" w:sz="4" w:space="0"/>
                    <w:bottom w:val="single" w:color="auto" w:sz="4" w:space="0"/>
                    <w:right w:val="single" w:color="auto" w:sz="4" w:space="0"/>
                  </w:tcBorders>
                  <w:vAlign w:val="center"/>
                </w:tcPr>
                <w:p w14:paraId="515EDCDF">
                  <w:pPr>
                    <w:widowControl/>
                    <w:ind w:firstLine="420"/>
                    <w:rPr>
                      <w:rFonts w:cs="Times New Roman"/>
                      <w:sz w:val="21"/>
                    </w:rPr>
                  </w:pPr>
                </w:p>
              </w:tc>
              <w:tc>
                <w:tcPr>
                  <w:tcW w:w="3205" w:type="dxa"/>
                  <w:tcBorders>
                    <w:top w:val="single" w:color="auto" w:sz="4" w:space="0"/>
                    <w:left w:val="single" w:color="auto" w:sz="4" w:space="0"/>
                    <w:bottom w:val="single" w:color="auto" w:sz="4" w:space="0"/>
                    <w:right w:val="single" w:color="auto" w:sz="4" w:space="0"/>
                  </w:tcBorders>
                  <w:vAlign w:val="center"/>
                </w:tcPr>
                <w:p w14:paraId="0BD683D6">
                  <w:pPr>
                    <w:pStyle w:val="32"/>
                    <w:ind w:firstLine="480"/>
                    <w:rPr>
                      <w:rFonts w:cs="Times New Roman"/>
                    </w:rPr>
                  </w:pPr>
                  <w:r>
                    <w:rPr>
                      <w:rFonts w:cs="Times New Roman"/>
                    </w:rPr>
                    <w:t>地形数据分辨率/m</w:t>
                  </w:r>
                </w:p>
              </w:tc>
              <w:tc>
                <w:tcPr>
                  <w:tcW w:w="3205" w:type="dxa"/>
                  <w:tcBorders>
                    <w:top w:val="single" w:color="auto" w:sz="4" w:space="0"/>
                    <w:left w:val="single" w:color="auto" w:sz="4" w:space="0"/>
                    <w:bottom w:val="single" w:color="auto" w:sz="4" w:space="0"/>
                    <w:right w:val="single" w:color="auto" w:sz="4" w:space="0"/>
                  </w:tcBorders>
                  <w:vAlign w:val="center"/>
                </w:tcPr>
                <w:p w14:paraId="06A2CE95">
                  <w:pPr>
                    <w:pStyle w:val="32"/>
                    <w:ind w:firstLine="480"/>
                    <w:rPr>
                      <w:rFonts w:cs="Times New Roman"/>
                    </w:rPr>
                  </w:pPr>
                  <w:r>
                    <w:rPr>
                      <w:rFonts w:cs="Times New Roman"/>
                    </w:rPr>
                    <w:t>/</w:t>
                  </w:r>
                </w:p>
              </w:tc>
            </w:tr>
            <w:tr w14:paraId="681D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51" w:type="dxa"/>
                  <w:vMerge w:val="restart"/>
                  <w:tcBorders>
                    <w:top w:val="single" w:color="auto" w:sz="4" w:space="0"/>
                    <w:left w:val="single" w:color="auto" w:sz="4" w:space="0"/>
                    <w:bottom w:val="single" w:color="auto" w:sz="4" w:space="0"/>
                    <w:right w:val="single" w:color="auto" w:sz="4" w:space="0"/>
                  </w:tcBorders>
                  <w:vAlign w:val="center"/>
                </w:tcPr>
                <w:p w14:paraId="24D774C3">
                  <w:pPr>
                    <w:pStyle w:val="32"/>
                    <w:ind w:firstLine="480"/>
                    <w:rPr>
                      <w:rFonts w:cs="Times New Roman"/>
                    </w:rPr>
                  </w:pPr>
                  <w:r>
                    <w:rPr>
                      <w:rFonts w:cs="Times New Roman"/>
                    </w:rPr>
                    <w:t>是否考虑岸线熏烟</w:t>
                  </w:r>
                </w:p>
              </w:tc>
              <w:tc>
                <w:tcPr>
                  <w:tcW w:w="3205" w:type="dxa"/>
                  <w:tcBorders>
                    <w:top w:val="single" w:color="auto" w:sz="4" w:space="0"/>
                    <w:left w:val="single" w:color="auto" w:sz="4" w:space="0"/>
                    <w:bottom w:val="single" w:color="auto" w:sz="4" w:space="0"/>
                    <w:right w:val="single" w:color="auto" w:sz="4" w:space="0"/>
                  </w:tcBorders>
                  <w:vAlign w:val="center"/>
                </w:tcPr>
                <w:p w14:paraId="698E06A8">
                  <w:pPr>
                    <w:pStyle w:val="32"/>
                    <w:ind w:firstLine="480"/>
                    <w:rPr>
                      <w:rFonts w:cs="Times New Roman"/>
                    </w:rPr>
                  </w:pPr>
                  <w:r>
                    <w:rPr>
                      <w:rFonts w:cs="Times New Roman"/>
                    </w:rPr>
                    <w:t>考虑岸线熏烟</w:t>
                  </w:r>
                </w:p>
              </w:tc>
              <w:tc>
                <w:tcPr>
                  <w:tcW w:w="3205" w:type="dxa"/>
                  <w:tcBorders>
                    <w:top w:val="single" w:color="auto" w:sz="4" w:space="0"/>
                    <w:left w:val="single" w:color="auto" w:sz="4" w:space="0"/>
                    <w:bottom w:val="single" w:color="auto" w:sz="4" w:space="0"/>
                    <w:right w:val="single" w:color="auto" w:sz="4" w:space="0"/>
                  </w:tcBorders>
                  <w:vAlign w:val="center"/>
                </w:tcPr>
                <w:p w14:paraId="4DC22E85">
                  <w:pPr>
                    <w:pStyle w:val="32"/>
                    <w:ind w:firstLine="480"/>
                    <w:rPr>
                      <w:rFonts w:cs="Times New Roman"/>
                    </w:rPr>
                  </w:pPr>
                  <w:r>
                    <w:rPr>
                      <w:rFonts w:cs="Times New Roman"/>
                    </w:rPr>
                    <w:t>否</w:t>
                  </w:r>
                </w:p>
              </w:tc>
            </w:tr>
            <w:tr w14:paraId="47EC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751" w:type="dxa"/>
                  <w:vMerge w:val="continue"/>
                  <w:tcBorders>
                    <w:top w:val="single" w:color="auto" w:sz="4" w:space="0"/>
                    <w:left w:val="single" w:color="auto" w:sz="4" w:space="0"/>
                    <w:bottom w:val="single" w:color="auto" w:sz="4" w:space="0"/>
                    <w:right w:val="single" w:color="auto" w:sz="4" w:space="0"/>
                  </w:tcBorders>
                  <w:vAlign w:val="center"/>
                </w:tcPr>
                <w:p w14:paraId="3EC5CF42">
                  <w:pPr>
                    <w:widowControl/>
                    <w:ind w:firstLine="420"/>
                    <w:rPr>
                      <w:rFonts w:cs="Times New Roman"/>
                      <w:sz w:val="21"/>
                    </w:rPr>
                  </w:pPr>
                </w:p>
              </w:tc>
              <w:tc>
                <w:tcPr>
                  <w:tcW w:w="3205" w:type="dxa"/>
                  <w:tcBorders>
                    <w:top w:val="single" w:color="auto" w:sz="4" w:space="0"/>
                    <w:left w:val="single" w:color="auto" w:sz="4" w:space="0"/>
                    <w:bottom w:val="single" w:color="auto" w:sz="4" w:space="0"/>
                    <w:right w:val="single" w:color="auto" w:sz="4" w:space="0"/>
                  </w:tcBorders>
                  <w:vAlign w:val="center"/>
                </w:tcPr>
                <w:p w14:paraId="48B54040">
                  <w:pPr>
                    <w:pStyle w:val="32"/>
                    <w:ind w:firstLine="480"/>
                    <w:rPr>
                      <w:rFonts w:cs="Times New Roman"/>
                    </w:rPr>
                  </w:pPr>
                  <w:r>
                    <w:rPr>
                      <w:rFonts w:cs="Times New Roman"/>
                    </w:rPr>
                    <w:t>岸线距离/km</w:t>
                  </w:r>
                </w:p>
              </w:tc>
              <w:tc>
                <w:tcPr>
                  <w:tcW w:w="3205" w:type="dxa"/>
                  <w:tcBorders>
                    <w:top w:val="single" w:color="auto" w:sz="4" w:space="0"/>
                    <w:left w:val="single" w:color="auto" w:sz="4" w:space="0"/>
                    <w:bottom w:val="single" w:color="auto" w:sz="4" w:space="0"/>
                    <w:right w:val="single" w:color="auto" w:sz="4" w:space="0"/>
                  </w:tcBorders>
                  <w:vAlign w:val="center"/>
                </w:tcPr>
                <w:p w14:paraId="51572557">
                  <w:pPr>
                    <w:pStyle w:val="32"/>
                    <w:ind w:firstLine="480"/>
                    <w:rPr>
                      <w:rFonts w:cs="Times New Roman"/>
                    </w:rPr>
                  </w:pPr>
                  <w:r>
                    <w:rPr>
                      <w:rFonts w:cs="Times New Roman"/>
                    </w:rPr>
                    <w:t>/</w:t>
                  </w:r>
                </w:p>
              </w:tc>
            </w:tr>
            <w:tr w14:paraId="175D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751" w:type="dxa"/>
                  <w:vMerge w:val="continue"/>
                  <w:tcBorders>
                    <w:top w:val="single" w:color="auto" w:sz="4" w:space="0"/>
                    <w:left w:val="single" w:color="auto" w:sz="4" w:space="0"/>
                    <w:bottom w:val="single" w:color="auto" w:sz="4" w:space="0"/>
                    <w:right w:val="single" w:color="auto" w:sz="4" w:space="0"/>
                  </w:tcBorders>
                  <w:vAlign w:val="center"/>
                </w:tcPr>
                <w:p w14:paraId="58FD8AB2">
                  <w:pPr>
                    <w:widowControl/>
                    <w:ind w:firstLine="420"/>
                    <w:rPr>
                      <w:rFonts w:cs="Times New Roman"/>
                      <w:sz w:val="21"/>
                    </w:rPr>
                  </w:pPr>
                </w:p>
              </w:tc>
              <w:tc>
                <w:tcPr>
                  <w:tcW w:w="3205" w:type="dxa"/>
                  <w:tcBorders>
                    <w:top w:val="single" w:color="auto" w:sz="4" w:space="0"/>
                    <w:left w:val="single" w:color="auto" w:sz="4" w:space="0"/>
                    <w:bottom w:val="single" w:color="auto" w:sz="4" w:space="0"/>
                    <w:right w:val="single" w:color="auto" w:sz="4" w:space="0"/>
                  </w:tcBorders>
                  <w:vAlign w:val="center"/>
                </w:tcPr>
                <w:p w14:paraId="6B16D83E">
                  <w:pPr>
                    <w:pStyle w:val="32"/>
                    <w:ind w:firstLine="480"/>
                    <w:rPr>
                      <w:rFonts w:cs="Times New Roman"/>
                    </w:rPr>
                  </w:pPr>
                  <w:r>
                    <w:rPr>
                      <w:rFonts w:cs="Times New Roman"/>
                    </w:rPr>
                    <w:t>岸线方向</w:t>
                  </w:r>
                </w:p>
              </w:tc>
              <w:tc>
                <w:tcPr>
                  <w:tcW w:w="3205" w:type="dxa"/>
                  <w:tcBorders>
                    <w:top w:val="single" w:color="auto" w:sz="4" w:space="0"/>
                    <w:left w:val="single" w:color="auto" w:sz="4" w:space="0"/>
                    <w:bottom w:val="single" w:color="auto" w:sz="4" w:space="0"/>
                    <w:right w:val="single" w:color="auto" w:sz="4" w:space="0"/>
                  </w:tcBorders>
                  <w:vAlign w:val="center"/>
                </w:tcPr>
                <w:p w14:paraId="783415E9">
                  <w:pPr>
                    <w:pStyle w:val="32"/>
                    <w:ind w:firstLine="480"/>
                    <w:rPr>
                      <w:rFonts w:cs="Times New Roman"/>
                    </w:rPr>
                  </w:pPr>
                  <w:r>
                    <w:rPr>
                      <w:rFonts w:cs="Times New Roman"/>
                    </w:rPr>
                    <w:t>/</w:t>
                  </w:r>
                </w:p>
              </w:tc>
            </w:tr>
          </w:tbl>
          <w:p w14:paraId="3EA931B9">
            <w:pPr>
              <w:ind w:firstLine="360" w:firstLineChars="150"/>
              <w:rPr>
                <w:rFonts w:cs="Times New Roman"/>
              </w:rPr>
            </w:pPr>
            <w:r>
              <w:rPr>
                <w:rFonts w:cs="Times New Roman"/>
              </w:rPr>
              <w:t>（3）源强分析</w:t>
            </w:r>
          </w:p>
          <w:p w14:paraId="4C1D3EFD">
            <w:pPr>
              <w:ind w:firstLine="480"/>
              <w:rPr>
                <w:rFonts w:cs="Times New Roman"/>
              </w:rPr>
            </w:pPr>
            <w:r>
              <w:rPr>
                <w:rFonts w:cs="Times New Roman"/>
              </w:rPr>
              <w:t>根据工程分析，项目运营期粉尘来源有采场工作面、破碎、筛分、堆料场及弃渣场、矿区运输道路。项目大气污染物排放源强见下表。</w:t>
            </w:r>
          </w:p>
          <w:p w14:paraId="699916D2">
            <w:pPr>
              <w:pStyle w:val="31"/>
              <w:rPr>
                <w:rFonts w:cs="Times New Roman"/>
              </w:rPr>
            </w:pPr>
            <w:r>
              <w:rPr>
                <w:rFonts w:cs="Times New Roman"/>
              </w:rPr>
              <w:t>表7-</w:t>
            </w:r>
            <w:r>
              <w:rPr>
                <w:rFonts w:hint="eastAsia" w:cs="Times New Roman"/>
              </w:rPr>
              <w:t>9</w:t>
            </w:r>
            <w:r>
              <w:rPr>
                <w:rFonts w:cs="Times New Roman"/>
              </w:rPr>
              <w:t xml:space="preserve">   </w:t>
            </w:r>
            <w:r>
              <w:rPr>
                <w:rFonts w:cs="Times New Roman"/>
                <w:bCs/>
              </w:rPr>
              <w:t>项目</w:t>
            </w:r>
            <w:r>
              <w:rPr>
                <w:rFonts w:cs="Times New Roman"/>
              </w:rPr>
              <w:t>大气污染物排放源强一览表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54"/>
              <w:gridCol w:w="1843"/>
              <w:gridCol w:w="2547"/>
              <w:gridCol w:w="2159"/>
            </w:tblGrid>
            <w:tr w14:paraId="073E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8" w:type="dxa"/>
                  <w:gridSpan w:val="2"/>
                  <w:vMerge w:val="restart"/>
                  <w:vAlign w:val="center"/>
                </w:tcPr>
                <w:p w14:paraId="4DFCB589">
                  <w:pPr>
                    <w:pStyle w:val="52"/>
                    <w:rPr>
                      <w:color w:val="auto"/>
                    </w:rPr>
                  </w:pPr>
                  <w:r>
                    <w:rPr>
                      <w:color w:val="auto"/>
                    </w:rPr>
                    <w:t>污染源</w:t>
                  </w:r>
                </w:p>
              </w:tc>
              <w:tc>
                <w:tcPr>
                  <w:tcW w:w="1843" w:type="dxa"/>
                  <w:vMerge w:val="restart"/>
                  <w:vAlign w:val="center"/>
                </w:tcPr>
                <w:p w14:paraId="220F540D">
                  <w:pPr>
                    <w:pStyle w:val="52"/>
                    <w:rPr>
                      <w:color w:val="auto"/>
                    </w:rPr>
                  </w:pPr>
                  <w:r>
                    <w:rPr>
                      <w:color w:val="auto"/>
                    </w:rPr>
                    <w:t>污染物</w:t>
                  </w:r>
                </w:p>
              </w:tc>
              <w:tc>
                <w:tcPr>
                  <w:tcW w:w="4706" w:type="dxa"/>
                  <w:gridSpan w:val="2"/>
                  <w:vAlign w:val="center"/>
                </w:tcPr>
                <w:p w14:paraId="08F4E585">
                  <w:pPr>
                    <w:pStyle w:val="52"/>
                    <w:rPr>
                      <w:color w:val="auto"/>
                    </w:rPr>
                  </w:pPr>
                  <w:r>
                    <w:rPr>
                      <w:color w:val="auto"/>
                    </w:rPr>
                    <w:t>排放量</w:t>
                  </w:r>
                </w:p>
              </w:tc>
            </w:tr>
            <w:tr w14:paraId="3F78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8" w:type="dxa"/>
                  <w:gridSpan w:val="2"/>
                  <w:vMerge w:val="continue"/>
                  <w:vAlign w:val="center"/>
                </w:tcPr>
                <w:p w14:paraId="0F9DDE07">
                  <w:pPr>
                    <w:pStyle w:val="52"/>
                    <w:rPr>
                      <w:color w:val="auto"/>
                    </w:rPr>
                  </w:pPr>
                </w:p>
              </w:tc>
              <w:tc>
                <w:tcPr>
                  <w:tcW w:w="1843" w:type="dxa"/>
                  <w:vMerge w:val="continue"/>
                  <w:vAlign w:val="center"/>
                </w:tcPr>
                <w:p w14:paraId="4E01DA14">
                  <w:pPr>
                    <w:pStyle w:val="52"/>
                    <w:rPr>
                      <w:color w:val="auto"/>
                    </w:rPr>
                  </w:pPr>
                </w:p>
              </w:tc>
              <w:tc>
                <w:tcPr>
                  <w:tcW w:w="2547" w:type="dxa"/>
                  <w:vAlign w:val="center"/>
                </w:tcPr>
                <w:p w14:paraId="38749EF2">
                  <w:pPr>
                    <w:pStyle w:val="52"/>
                    <w:rPr>
                      <w:color w:val="auto"/>
                    </w:rPr>
                  </w:pPr>
                  <w:r>
                    <w:rPr>
                      <w:color w:val="auto"/>
                    </w:rPr>
                    <w:t>g/s</w:t>
                  </w:r>
                </w:p>
              </w:tc>
              <w:tc>
                <w:tcPr>
                  <w:tcW w:w="2159" w:type="dxa"/>
                  <w:vAlign w:val="center"/>
                </w:tcPr>
                <w:p w14:paraId="3EE67575">
                  <w:pPr>
                    <w:pStyle w:val="52"/>
                    <w:rPr>
                      <w:color w:val="auto"/>
                    </w:rPr>
                  </w:pPr>
                  <w:r>
                    <w:rPr>
                      <w:color w:val="auto"/>
                    </w:rPr>
                    <w:t xml:space="preserve"> t/a</w:t>
                  </w:r>
                </w:p>
              </w:tc>
            </w:tr>
            <w:tr w14:paraId="3850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94" w:type="dxa"/>
                  <w:vAlign w:val="center"/>
                </w:tcPr>
                <w:p w14:paraId="7B07A4EA">
                  <w:pPr>
                    <w:pStyle w:val="52"/>
                    <w:rPr>
                      <w:color w:val="auto"/>
                    </w:rPr>
                  </w:pPr>
                  <w:r>
                    <w:rPr>
                      <w:color w:val="auto"/>
                    </w:rPr>
                    <w:t>1</w:t>
                  </w:r>
                </w:p>
              </w:tc>
              <w:tc>
                <w:tcPr>
                  <w:tcW w:w="2454" w:type="dxa"/>
                  <w:vAlign w:val="center"/>
                </w:tcPr>
                <w:p w14:paraId="4D787C39">
                  <w:pPr>
                    <w:pStyle w:val="52"/>
                    <w:rPr>
                      <w:color w:val="auto"/>
                    </w:rPr>
                  </w:pPr>
                  <w:r>
                    <w:rPr>
                      <w:color w:val="auto"/>
                    </w:rPr>
                    <w:t>采场工作面</w:t>
                  </w:r>
                </w:p>
              </w:tc>
              <w:tc>
                <w:tcPr>
                  <w:tcW w:w="1843" w:type="dxa"/>
                  <w:vMerge w:val="restart"/>
                  <w:vAlign w:val="center"/>
                </w:tcPr>
                <w:p w14:paraId="6845662B">
                  <w:pPr>
                    <w:pStyle w:val="52"/>
                    <w:rPr>
                      <w:color w:val="auto"/>
                    </w:rPr>
                  </w:pPr>
                  <w:r>
                    <w:rPr>
                      <w:color w:val="auto"/>
                    </w:rPr>
                    <w:t>无组织粉尘</w:t>
                  </w:r>
                </w:p>
              </w:tc>
              <w:tc>
                <w:tcPr>
                  <w:tcW w:w="2547" w:type="dxa"/>
                  <w:vAlign w:val="center"/>
                </w:tcPr>
                <w:p w14:paraId="13BA3D7C">
                  <w:pPr>
                    <w:pStyle w:val="52"/>
                    <w:rPr>
                      <w:color w:val="auto"/>
                    </w:rPr>
                  </w:pPr>
                  <w:r>
                    <w:rPr>
                      <w:color w:val="auto"/>
                    </w:rPr>
                    <w:t>0.07</w:t>
                  </w:r>
                </w:p>
              </w:tc>
              <w:tc>
                <w:tcPr>
                  <w:tcW w:w="2159" w:type="dxa"/>
                  <w:vAlign w:val="center"/>
                </w:tcPr>
                <w:p w14:paraId="462F9253">
                  <w:pPr>
                    <w:pStyle w:val="52"/>
                    <w:rPr>
                      <w:color w:val="auto"/>
                    </w:rPr>
                  </w:pPr>
                  <w:r>
                    <w:rPr>
                      <w:color w:val="auto"/>
                    </w:rPr>
                    <w:t>1.838</w:t>
                  </w:r>
                </w:p>
              </w:tc>
            </w:tr>
            <w:tr w14:paraId="6ADB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43FC3E0E">
                  <w:pPr>
                    <w:pStyle w:val="52"/>
                    <w:rPr>
                      <w:color w:val="auto"/>
                    </w:rPr>
                  </w:pPr>
                  <w:r>
                    <w:rPr>
                      <w:color w:val="auto"/>
                    </w:rPr>
                    <w:t>2</w:t>
                  </w:r>
                </w:p>
              </w:tc>
              <w:tc>
                <w:tcPr>
                  <w:tcW w:w="2454" w:type="dxa"/>
                  <w:vAlign w:val="center"/>
                </w:tcPr>
                <w:p w14:paraId="45A2C384">
                  <w:pPr>
                    <w:pStyle w:val="52"/>
                    <w:rPr>
                      <w:color w:val="auto"/>
                    </w:rPr>
                  </w:pPr>
                  <w:r>
                    <w:rPr>
                      <w:color w:val="auto"/>
                    </w:rPr>
                    <w:t>机械设备</w:t>
                  </w:r>
                </w:p>
              </w:tc>
              <w:tc>
                <w:tcPr>
                  <w:tcW w:w="1843" w:type="dxa"/>
                  <w:vMerge w:val="continue"/>
                  <w:vAlign w:val="center"/>
                </w:tcPr>
                <w:p w14:paraId="1554EC7F">
                  <w:pPr>
                    <w:pStyle w:val="52"/>
                    <w:rPr>
                      <w:color w:val="auto"/>
                    </w:rPr>
                  </w:pPr>
                </w:p>
              </w:tc>
              <w:tc>
                <w:tcPr>
                  <w:tcW w:w="2547" w:type="dxa"/>
                  <w:vAlign w:val="center"/>
                </w:tcPr>
                <w:p w14:paraId="27DA9E44">
                  <w:pPr>
                    <w:pStyle w:val="52"/>
                    <w:rPr>
                      <w:color w:val="auto"/>
                    </w:rPr>
                  </w:pPr>
                  <w:r>
                    <w:rPr>
                      <w:color w:val="auto"/>
                    </w:rPr>
                    <w:t>0.005</w:t>
                  </w:r>
                </w:p>
              </w:tc>
              <w:tc>
                <w:tcPr>
                  <w:tcW w:w="2159" w:type="dxa"/>
                  <w:vAlign w:val="center"/>
                </w:tcPr>
                <w:p w14:paraId="3A6F7B2D">
                  <w:pPr>
                    <w:pStyle w:val="52"/>
                    <w:rPr>
                      <w:color w:val="auto"/>
                    </w:rPr>
                  </w:pPr>
                  <w:r>
                    <w:rPr>
                      <w:color w:val="auto"/>
                    </w:rPr>
                    <w:t>0.152</w:t>
                  </w:r>
                </w:p>
              </w:tc>
            </w:tr>
            <w:tr w14:paraId="0416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76F5C101">
                  <w:pPr>
                    <w:pStyle w:val="52"/>
                    <w:rPr>
                      <w:color w:val="auto"/>
                    </w:rPr>
                  </w:pPr>
                  <w:r>
                    <w:rPr>
                      <w:color w:val="auto"/>
                    </w:rPr>
                    <w:t>3</w:t>
                  </w:r>
                </w:p>
              </w:tc>
              <w:tc>
                <w:tcPr>
                  <w:tcW w:w="2454" w:type="dxa"/>
                  <w:vAlign w:val="center"/>
                </w:tcPr>
                <w:p w14:paraId="19B1C887">
                  <w:pPr>
                    <w:pStyle w:val="52"/>
                    <w:rPr>
                      <w:color w:val="auto"/>
                    </w:rPr>
                  </w:pPr>
                  <w:r>
                    <w:rPr>
                      <w:color w:val="auto"/>
                    </w:rPr>
                    <w:t>弃渣场</w:t>
                  </w:r>
                </w:p>
              </w:tc>
              <w:tc>
                <w:tcPr>
                  <w:tcW w:w="1843" w:type="dxa"/>
                  <w:vMerge w:val="continue"/>
                  <w:vAlign w:val="center"/>
                </w:tcPr>
                <w:p w14:paraId="37020AE7">
                  <w:pPr>
                    <w:pStyle w:val="52"/>
                    <w:rPr>
                      <w:color w:val="auto"/>
                    </w:rPr>
                  </w:pPr>
                </w:p>
              </w:tc>
              <w:tc>
                <w:tcPr>
                  <w:tcW w:w="2547" w:type="dxa"/>
                  <w:vAlign w:val="center"/>
                </w:tcPr>
                <w:p w14:paraId="5E0B326F">
                  <w:pPr>
                    <w:pStyle w:val="52"/>
                    <w:rPr>
                      <w:color w:val="auto"/>
                    </w:rPr>
                  </w:pPr>
                  <w:r>
                    <w:rPr>
                      <w:color w:val="auto"/>
                    </w:rPr>
                    <w:t>0.0028</w:t>
                  </w:r>
                </w:p>
              </w:tc>
              <w:tc>
                <w:tcPr>
                  <w:tcW w:w="2159" w:type="dxa"/>
                  <w:vAlign w:val="center"/>
                </w:tcPr>
                <w:p w14:paraId="34DFC67A">
                  <w:pPr>
                    <w:pStyle w:val="52"/>
                    <w:rPr>
                      <w:color w:val="auto"/>
                    </w:rPr>
                  </w:pPr>
                  <w:r>
                    <w:rPr>
                      <w:color w:val="auto"/>
                    </w:rPr>
                    <w:t>0.074</w:t>
                  </w:r>
                </w:p>
              </w:tc>
            </w:tr>
            <w:tr w14:paraId="7D9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53DC6E30">
                  <w:pPr>
                    <w:pStyle w:val="52"/>
                    <w:rPr>
                      <w:color w:val="auto"/>
                    </w:rPr>
                  </w:pPr>
                  <w:r>
                    <w:rPr>
                      <w:color w:val="auto"/>
                    </w:rPr>
                    <w:t>4</w:t>
                  </w:r>
                </w:p>
              </w:tc>
              <w:tc>
                <w:tcPr>
                  <w:tcW w:w="2454" w:type="dxa"/>
                  <w:vAlign w:val="center"/>
                </w:tcPr>
                <w:p w14:paraId="3206F40E">
                  <w:pPr>
                    <w:pStyle w:val="52"/>
                    <w:rPr>
                      <w:color w:val="auto"/>
                    </w:rPr>
                  </w:pPr>
                  <w:r>
                    <w:rPr>
                      <w:color w:val="auto"/>
                    </w:rPr>
                    <w:t>堆料场</w:t>
                  </w:r>
                </w:p>
              </w:tc>
              <w:tc>
                <w:tcPr>
                  <w:tcW w:w="1843" w:type="dxa"/>
                  <w:vMerge w:val="continue"/>
                  <w:vAlign w:val="center"/>
                </w:tcPr>
                <w:p w14:paraId="1405E87F">
                  <w:pPr>
                    <w:pStyle w:val="52"/>
                    <w:rPr>
                      <w:color w:val="auto"/>
                    </w:rPr>
                  </w:pPr>
                </w:p>
              </w:tc>
              <w:tc>
                <w:tcPr>
                  <w:tcW w:w="2547" w:type="dxa"/>
                  <w:vAlign w:val="center"/>
                </w:tcPr>
                <w:p w14:paraId="429A1B59">
                  <w:pPr>
                    <w:pStyle w:val="52"/>
                    <w:rPr>
                      <w:color w:val="auto"/>
                    </w:rPr>
                  </w:pPr>
                  <w:r>
                    <w:rPr>
                      <w:color w:val="auto"/>
                    </w:rPr>
                    <w:t>0.0005</w:t>
                  </w:r>
                </w:p>
              </w:tc>
              <w:tc>
                <w:tcPr>
                  <w:tcW w:w="2159" w:type="dxa"/>
                  <w:vAlign w:val="center"/>
                </w:tcPr>
                <w:p w14:paraId="65381A82">
                  <w:pPr>
                    <w:pStyle w:val="52"/>
                    <w:rPr>
                      <w:color w:val="auto"/>
                    </w:rPr>
                  </w:pPr>
                  <w:r>
                    <w:rPr>
                      <w:color w:val="auto"/>
                    </w:rPr>
                    <w:t>0.0123</w:t>
                  </w:r>
                </w:p>
              </w:tc>
            </w:tr>
            <w:tr w14:paraId="77CC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94" w:type="dxa"/>
                  <w:vAlign w:val="center"/>
                </w:tcPr>
                <w:p w14:paraId="7F954CF8">
                  <w:pPr>
                    <w:pStyle w:val="52"/>
                    <w:rPr>
                      <w:color w:val="auto"/>
                    </w:rPr>
                  </w:pPr>
                  <w:r>
                    <w:rPr>
                      <w:color w:val="auto"/>
                    </w:rPr>
                    <w:t>5</w:t>
                  </w:r>
                </w:p>
              </w:tc>
              <w:tc>
                <w:tcPr>
                  <w:tcW w:w="2454" w:type="dxa"/>
                  <w:vAlign w:val="center"/>
                </w:tcPr>
                <w:p w14:paraId="62B2D4B8">
                  <w:pPr>
                    <w:pStyle w:val="52"/>
                    <w:rPr>
                      <w:color w:val="auto"/>
                    </w:rPr>
                  </w:pPr>
                  <w:r>
                    <w:rPr>
                      <w:color w:val="auto"/>
                    </w:rPr>
                    <w:t>运输道路</w:t>
                  </w:r>
                </w:p>
              </w:tc>
              <w:tc>
                <w:tcPr>
                  <w:tcW w:w="1843" w:type="dxa"/>
                  <w:vMerge w:val="continue"/>
                  <w:vAlign w:val="center"/>
                </w:tcPr>
                <w:p w14:paraId="3E270775">
                  <w:pPr>
                    <w:pStyle w:val="52"/>
                    <w:rPr>
                      <w:color w:val="auto"/>
                    </w:rPr>
                  </w:pPr>
                </w:p>
              </w:tc>
              <w:tc>
                <w:tcPr>
                  <w:tcW w:w="2547" w:type="dxa"/>
                  <w:vAlign w:val="center"/>
                </w:tcPr>
                <w:p w14:paraId="2D9CB4F0">
                  <w:pPr>
                    <w:pStyle w:val="52"/>
                    <w:rPr>
                      <w:color w:val="auto"/>
                    </w:rPr>
                  </w:pPr>
                  <w:r>
                    <w:rPr>
                      <w:color w:val="auto"/>
                    </w:rPr>
                    <w:t>0.34</w:t>
                  </w:r>
                </w:p>
              </w:tc>
              <w:tc>
                <w:tcPr>
                  <w:tcW w:w="2159" w:type="dxa"/>
                  <w:vAlign w:val="center"/>
                </w:tcPr>
                <w:p w14:paraId="1ABF65EF">
                  <w:pPr>
                    <w:pStyle w:val="52"/>
                    <w:rPr>
                      <w:color w:val="auto"/>
                    </w:rPr>
                  </w:pPr>
                  <w:r>
                    <w:rPr>
                      <w:color w:val="auto"/>
                    </w:rPr>
                    <w:t>9.18</w:t>
                  </w:r>
                </w:p>
              </w:tc>
            </w:tr>
            <w:tr w14:paraId="7AAF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734F24B4">
                  <w:pPr>
                    <w:pStyle w:val="52"/>
                    <w:rPr>
                      <w:color w:val="auto"/>
                    </w:rPr>
                  </w:pPr>
                  <w:r>
                    <w:rPr>
                      <w:color w:val="auto"/>
                    </w:rPr>
                    <w:t>6</w:t>
                  </w:r>
                </w:p>
              </w:tc>
              <w:tc>
                <w:tcPr>
                  <w:tcW w:w="2454" w:type="dxa"/>
                  <w:vAlign w:val="center"/>
                </w:tcPr>
                <w:p w14:paraId="673FB35F">
                  <w:pPr>
                    <w:pStyle w:val="52"/>
                    <w:rPr>
                      <w:color w:val="auto"/>
                    </w:rPr>
                  </w:pPr>
                  <w:r>
                    <w:rPr>
                      <w:color w:val="auto"/>
                    </w:rPr>
                    <w:t>破碎、筛分</w:t>
                  </w:r>
                </w:p>
              </w:tc>
              <w:tc>
                <w:tcPr>
                  <w:tcW w:w="1843" w:type="dxa"/>
                  <w:vMerge w:val="continue"/>
                  <w:vAlign w:val="center"/>
                </w:tcPr>
                <w:p w14:paraId="12BB172D">
                  <w:pPr>
                    <w:pStyle w:val="52"/>
                    <w:rPr>
                      <w:color w:val="auto"/>
                    </w:rPr>
                  </w:pPr>
                </w:p>
              </w:tc>
              <w:tc>
                <w:tcPr>
                  <w:tcW w:w="2547" w:type="dxa"/>
                  <w:vAlign w:val="center"/>
                </w:tcPr>
                <w:p w14:paraId="6A9E17F3">
                  <w:pPr>
                    <w:pStyle w:val="52"/>
                    <w:rPr>
                      <w:color w:val="auto"/>
                    </w:rPr>
                  </w:pPr>
                  <w:r>
                    <w:rPr>
                      <w:color w:val="auto"/>
                    </w:rPr>
                    <w:t>0.185</w:t>
                  </w:r>
                </w:p>
              </w:tc>
              <w:tc>
                <w:tcPr>
                  <w:tcW w:w="2159" w:type="dxa"/>
                  <w:vAlign w:val="center"/>
                </w:tcPr>
                <w:p w14:paraId="403FE209">
                  <w:pPr>
                    <w:pStyle w:val="52"/>
                    <w:rPr>
                      <w:color w:val="auto"/>
                    </w:rPr>
                  </w:pPr>
                  <w:r>
                    <w:rPr>
                      <w:color w:val="auto"/>
                    </w:rPr>
                    <w:t>4.795</w:t>
                  </w:r>
                </w:p>
              </w:tc>
            </w:tr>
            <w:tr w14:paraId="040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36290DF2">
                  <w:pPr>
                    <w:pStyle w:val="52"/>
                    <w:rPr>
                      <w:color w:val="auto"/>
                    </w:rPr>
                  </w:pPr>
                  <w:r>
                    <w:rPr>
                      <w:color w:val="auto"/>
                    </w:rPr>
                    <w:t>7</w:t>
                  </w:r>
                </w:p>
              </w:tc>
              <w:tc>
                <w:tcPr>
                  <w:tcW w:w="2454" w:type="dxa"/>
                  <w:vAlign w:val="center"/>
                </w:tcPr>
                <w:p w14:paraId="7A295A0F">
                  <w:pPr>
                    <w:pStyle w:val="52"/>
                    <w:rPr>
                      <w:color w:val="auto"/>
                    </w:rPr>
                  </w:pPr>
                  <w:r>
                    <w:rPr>
                      <w:color w:val="auto"/>
                    </w:rPr>
                    <w:t>转载点、装卸</w:t>
                  </w:r>
                </w:p>
              </w:tc>
              <w:tc>
                <w:tcPr>
                  <w:tcW w:w="1843" w:type="dxa"/>
                  <w:vMerge w:val="continue"/>
                  <w:vAlign w:val="center"/>
                </w:tcPr>
                <w:p w14:paraId="4DBDFAA2">
                  <w:pPr>
                    <w:pStyle w:val="52"/>
                    <w:rPr>
                      <w:color w:val="auto"/>
                    </w:rPr>
                  </w:pPr>
                </w:p>
              </w:tc>
              <w:tc>
                <w:tcPr>
                  <w:tcW w:w="2547" w:type="dxa"/>
                  <w:vAlign w:val="center"/>
                </w:tcPr>
                <w:p w14:paraId="625DADD7">
                  <w:pPr>
                    <w:pStyle w:val="52"/>
                    <w:rPr>
                      <w:color w:val="auto"/>
                    </w:rPr>
                  </w:pPr>
                  <w:r>
                    <w:rPr>
                      <w:color w:val="auto"/>
                    </w:rPr>
                    <w:t>0.0009</w:t>
                  </w:r>
                </w:p>
              </w:tc>
              <w:tc>
                <w:tcPr>
                  <w:tcW w:w="2159" w:type="dxa"/>
                  <w:vAlign w:val="center"/>
                </w:tcPr>
                <w:p w14:paraId="0A2FB2E4">
                  <w:pPr>
                    <w:pStyle w:val="52"/>
                    <w:rPr>
                      <w:color w:val="auto"/>
                    </w:rPr>
                  </w:pPr>
                  <w:r>
                    <w:rPr>
                      <w:color w:val="auto"/>
                    </w:rPr>
                    <w:t>0.0231</w:t>
                  </w:r>
                </w:p>
              </w:tc>
            </w:tr>
          </w:tbl>
          <w:p w14:paraId="79FF03A1">
            <w:pPr>
              <w:ind w:firstLine="480"/>
              <w:rPr>
                <w:rFonts w:cs="Times New Roman"/>
              </w:rPr>
            </w:pPr>
            <w:r>
              <w:rPr>
                <w:rFonts w:hint="eastAsia" w:ascii="宋体" w:hAnsi="宋体" w:cs="宋体"/>
              </w:rPr>
              <w:t>②</w:t>
            </w:r>
            <w:r>
              <w:rPr>
                <w:rFonts w:cs="Times New Roman"/>
              </w:rPr>
              <w:t>预测方法</w:t>
            </w:r>
          </w:p>
          <w:p w14:paraId="0401FCFD">
            <w:pPr>
              <w:ind w:firstLine="480"/>
              <w:rPr>
                <w:rFonts w:cs="Times New Roman"/>
                <w:szCs w:val="24"/>
              </w:rPr>
            </w:pPr>
            <w:r>
              <w:rPr>
                <w:rFonts w:cs="Times New Roman"/>
                <w:szCs w:val="24"/>
              </w:rPr>
              <w:t>根据工程分析，项目所产生废气中的特征污染物为粉尘，以持续性排放源产生量较大（弃渣场、堆料场、破碎和筛分、采场工作面），故主要对持续性排放源进行下风向落地浓度及占标率进行预测。其中破碎机和筛分机均位于生产加工区内，按一个排放源进行预测。</w:t>
            </w:r>
          </w:p>
          <w:p w14:paraId="74C339FD">
            <w:pPr>
              <w:pStyle w:val="31"/>
              <w:rPr>
                <w:rFonts w:cs="Times New Roman"/>
              </w:rPr>
            </w:pPr>
            <w:r>
              <w:rPr>
                <w:rFonts w:cs="Times New Roman"/>
              </w:rPr>
              <w:t>表7-</w:t>
            </w:r>
            <w:r>
              <w:rPr>
                <w:rFonts w:hint="eastAsia" w:cs="Times New Roman"/>
              </w:rPr>
              <w:t>10</w:t>
            </w:r>
            <w:r>
              <w:rPr>
                <w:rFonts w:cs="Times New Roman"/>
              </w:rPr>
              <w:t xml:space="preserve">  项目大气污染物预测参数</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589"/>
              <w:gridCol w:w="1169"/>
              <w:gridCol w:w="1187"/>
              <w:gridCol w:w="1133"/>
              <w:gridCol w:w="1014"/>
              <w:gridCol w:w="925"/>
              <w:gridCol w:w="926"/>
            </w:tblGrid>
            <w:tr w14:paraId="4AA6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pct"/>
                  <w:vMerge w:val="restart"/>
                  <w:vAlign w:val="center"/>
                </w:tcPr>
                <w:p w14:paraId="7C95D95E">
                  <w:pPr>
                    <w:pStyle w:val="52"/>
                    <w:rPr>
                      <w:color w:val="auto"/>
                    </w:rPr>
                  </w:pPr>
                  <w:r>
                    <w:rPr>
                      <w:color w:val="auto"/>
                    </w:rPr>
                    <w:t>名称</w:t>
                  </w:r>
                </w:p>
              </w:tc>
              <w:tc>
                <w:tcPr>
                  <w:tcW w:w="1335" w:type="pct"/>
                  <w:vMerge w:val="restart"/>
                  <w:vAlign w:val="center"/>
                </w:tcPr>
                <w:p w14:paraId="09EC5FAB">
                  <w:pPr>
                    <w:pStyle w:val="52"/>
                    <w:rPr>
                      <w:color w:val="auto"/>
                    </w:rPr>
                  </w:pPr>
                  <w:r>
                    <w:rPr>
                      <w:color w:val="auto"/>
                    </w:rPr>
                    <w:t>产生点</w:t>
                  </w:r>
                </w:p>
              </w:tc>
              <w:tc>
                <w:tcPr>
                  <w:tcW w:w="603" w:type="pct"/>
                  <w:vMerge w:val="restart"/>
                  <w:vAlign w:val="center"/>
                </w:tcPr>
                <w:p w14:paraId="09782045">
                  <w:pPr>
                    <w:pStyle w:val="52"/>
                    <w:rPr>
                      <w:color w:val="auto"/>
                    </w:rPr>
                  </w:pPr>
                  <w:r>
                    <w:rPr>
                      <w:color w:val="auto"/>
                    </w:rPr>
                    <w:t>废气名称</w:t>
                  </w:r>
                </w:p>
              </w:tc>
              <w:tc>
                <w:tcPr>
                  <w:tcW w:w="612" w:type="pct"/>
                  <w:vMerge w:val="restart"/>
                  <w:vAlign w:val="center"/>
                </w:tcPr>
                <w:p w14:paraId="4D7BFB4B">
                  <w:pPr>
                    <w:pStyle w:val="52"/>
                    <w:rPr>
                      <w:color w:val="auto"/>
                    </w:rPr>
                  </w:pPr>
                  <w:r>
                    <w:rPr>
                      <w:color w:val="auto"/>
                    </w:rPr>
                    <w:t>排放速率g/s</w:t>
                  </w:r>
                </w:p>
              </w:tc>
              <w:tc>
                <w:tcPr>
                  <w:tcW w:w="584" w:type="pct"/>
                  <w:vMerge w:val="restart"/>
                  <w:vAlign w:val="center"/>
                </w:tcPr>
                <w:p w14:paraId="71669E2D">
                  <w:pPr>
                    <w:pStyle w:val="52"/>
                    <w:rPr>
                      <w:color w:val="auto"/>
                    </w:rPr>
                  </w:pPr>
                  <w:r>
                    <w:rPr>
                      <w:color w:val="auto"/>
                    </w:rPr>
                    <w:t>评价标准</w:t>
                  </w:r>
                </w:p>
                <w:p w14:paraId="4A0CB7C0">
                  <w:pPr>
                    <w:pStyle w:val="52"/>
                    <w:rPr>
                      <w:color w:val="auto"/>
                    </w:rPr>
                  </w:pPr>
                  <w:r>
                    <w:rPr>
                      <w:color w:val="auto"/>
                    </w:rPr>
                    <w:t>mg /m</w:t>
                  </w:r>
                  <w:r>
                    <w:rPr>
                      <w:color w:val="auto"/>
                      <w:vertAlign w:val="superscript"/>
                    </w:rPr>
                    <w:t>3</w:t>
                  </w:r>
                </w:p>
              </w:tc>
              <w:tc>
                <w:tcPr>
                  <w:tcW w:w="1477" w:type="pct"/>
                  <w:gridSpan w:val="3"/>
                  <w:vAlign w:val="center"/>
                </w:tcPr>
                <w:p w14:paraId="666840D3">
                  <w:pPr>
                    <w:pStyle w:val="52"/>
                    <w:rPr>
                      <w:color w:val="auto"/>
                    </w:rPr>
                  </w:pPr>
                  <w:r>
                    <w:rPr>
                      <w:color w:val="auto"/>
                    </w:rPr>
                    <w:t>面源参数</w:t>
                  </w:r>
                </w:p>
              </w:tc>
            </w:tr>
            <w:tr w14:paraId="22D8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pct"/>
                  <w:vMerge w:val="continue"/>
                  <w:vAlign w:val="center"/>
                </w:tcPr>
                <w:p w14:paraId="45FC7B8A">
                  <w:pPr>
                    <w:pStyle w:val="52"/>
                    <w:rPr>
                      <w:color w:val="auto"/>
                    </w:rPr>
                  </w:pPr>
                </w:p>
              </w:tc>
              <w:tc>
                <w:tcPr>
                  <w:tcW w:w="1335" w:type="pct"/>
                  <w:vMerge w:val="continue"/>
                  <w:vAlign w:val="center"/>
                </w:tcPr>
                <w:p w14:paraId="4DF3D15E">
                  <w:pPr>
                    <w:pStyle w:val="52"/>
                    <w:rPr>
                      <w:color w:val="auto"/>
                    </w:rPr>
                  </w:pPr>
                </w:p>
              </w:tc>
              <w:tc>
                <w:tcPr>
                  <w:tcW w:w="603" w:type="pct"/>
                  <w:vMerge w:val="continue"/>
                  <w:vAlign w:val="center"/>
                </w:tcPr>
                <w:p w14:paraId="449D4644">
                  <w:pPr>
                    <w:pStyle w:val="52"/>
                    <w:rPr>
                      <w:color w:val="auto"/>
                    </w:rPr>
                  </w:pPr>
                </w:p>
              </w:tc>
              <w:tc>
                <w:tcPr>
                  <w:tcW w:w="612" w:type="pct"/>
                  <w:vMerge w:val="continue"/>
                  <w:vAlign w:val="center"/>
                </w:tcPr>
                <w:p w14:paraId="7F6C71E2">
                  <w:pPr>
                    <w:pStyle w:val="52"/>
                    <w:rPr>
                      <w:color w:val="auto"/>
                    </w:rPr>
                  </w:pPr>
                </w:p>
              </w:tc>
              <w:tc>
                <w:tcPr>
                  <w:tcW w:w="584" w:type="pct"/>
                  <w:vMerge w:val="continue"/>
                  <w:vAlign w:val="center"/>
                </w:tcPr>
                <w:p w14:paraId="6A77B554">
                  <w:pPr>
                    <w:pStyle w:val="52"/>
                    <w:rPr>
                      <w:color w:val="auto"/>
                    </w:rPr>
                  </w:pPr>
                </w:p>
              </w:tc>
              <w:tc>
                <w:tcPr>
                  <w:tcW w:w="523" w:type="pct"/>
                  <w:vAlign w:val="center"/>
                </w:tcPr>
                <w:p w14:paraId="2B9A6915">
                  <w:pPr>
                    <w:pStyle w:val="52"/>
                    <w:rPr>
                      <w:color w:val="auto"/>
                    </w:rPr>
                  </w:pPr>
                  <w:r>
                    <w:rPr>
                      <w:color w:val="auto"/>
                    </w:rPr>
                    <w:t>高度（m）</w:t>
                  </w:r>
                </w:p>
              </w:tc>
              <w:tc>
                <w:tcPr>
                  <w:tcW w:w="477" w:type="pct"/>
                  <w:vAlign w:val="center"/>
                </w:tcPr>
                <w:p w14:paraId="4351F3F4">
                  <w:pPr>
                    <w:pStyle w:val="52"/>
                    <w:rPr>
                      <w:color w:val="auto"/>
                    </w:rPr>
                  </w:pPr>
                  <w:r>
                    <w:rPr>
                      <w:color w:val="auto"/>
                    </w:rPr>
                    <w:t>长（m）</w:t>
                  </w:r>
                </w:p>
              </w:tc>
              <w:tc>
                <w:tcPr>
                  <w:tcW w:w="477" w:type="pct"/>
                  <w:vAlign w:val="center"/>
                </w:tcPr>
                <w:p w14:paraId="6E24C76E">
                  <w:pPr>
                    <w:pStyle w:val="52"/>
                    <w:rPr>
                      <w:color w:val="auto"/>
                    </w:rPr>
                  </w:pPr>
                  <w:r>
                    <w:rPr>
                      <w:color w:val="auto"/>
                    </w:rPr>
                    <w:t>宽（m）</w:t>
                  </w:r>
                </w:p>
              </w:tc>
            </w:tr>
            <w:tr w14:paraId="4045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pct"/>
                  <w:vMerge w:val="restart"/>
                  <w:vAlign w:val="center"/>
                </w:tcPr>
                <w:p w14:paraId="40B9F6AA">
                  <w:pPr>
                    <w:pStyle w:val="52"/>
                    <w:rPr>
                      <w:color w:val="auto"/>
                    </w:rPr>
                  </w:pPr>
                  <w:r>
                    <w:rPr>
                      <w:color w:val="auto"/>
                    </w:rPr>
                    <w:t>无</w:t>
                  </w:r>
                </w:p>
                <w:p w14:paraId="77E799C0">
                  <w:pPr>
                    <w:pStyle w:val="52"/>
                    <w:rPr>
                      <w:color w:val="auto"/>
                    </w:rPr>
                  </w:pPr>
                  <w:r>
                    <w:rPr>
                      <w:color w:val="auto"/>
                    </w:rPr>
                    <w:t>组</w:t>
                  </w:r>
                </w:p>
                <w:p w14:paraId="684DC82B">
                  <w:pPr>
                    <w:pStyle w:val="52"/>
                    <w:rPr>
                      <w:color w:val="auto"/>
                    </w:rPr>
                  </w:pPr>
                  <w:r>
                    <w:rPr>
                      <w:color w:val="auto"/>
                    </w:rPr>
                    <w:t>织</w:t>
                  </w:r>
                </w:p>
              </w:tc>
              <w:tc>
                <w:tcPr>
                  <w:tcW w:w="1335" w:type="pct"/>
                  <w:vAlign w:val="center"/>
                </w:tcPr>
                <w:p w14:paraId="6DB7476D">
                  <w:pPr>
                    <w:pStyle w:val="52"/>
                    <w:rPr>
                      <w:snapToGrid w:val="0"/>
                      <w:color w:val="auto"/>
                    </w:rPr>
                  </w:pPr>
                  <w:r>
                    <w:rPr>
                      <w:snapToGrid w:val="0"/>
                      <w:color w:val="auto"/>
                    </w:rPr>
                    <w:t>采场工作面</w:t>
                  </w:r>
                </w:p>
              </w:tc>
              <w:tc>
                <w:tcPr>
                  <w:tcW w:w="603" w:type="pct"/>
                  <w:vMerge w:val="restart"/>
                  <w:vAlign w:val="center"/>
                </w:tcPr>
                <w:p w14:paraId="2F0FB35D">
                  <w:pPr>
                    <w:pStyle w:val="52"/>
                    <w:rPr>
                      <w:color w:val="auto"/>
                    </w:rPr>
                  </w:pPr>
                  <w:r>
                    <w:rPr>
                      <w:color w:val="auto"/>
                    </w:rPr>
                    <w:t>粉尘</w:t>
                  </w:r>
                </w:p>
              </w:tc>
              <w:tc>
                <w:tcPr>
                  <w:tcW w:w="612" w:type="pct"/>
                  <w:vAlign w:val="center"/>
                </w:tcPr>
                <w:p w14:paraId="049A3957">
                  <w:pPr>
                    <w:pStyle w:val="52"/>
                    <w:rPr>
                      <w:color w:val="auto"/>
                      <w:spacing w:val="2"/>
                      <w:szCs w:val="21"/>
                    </w:rPr>
                  </w:pPr>
                  <w:r>
                    <w:rPr>
                      <w:color w:val="auto"/>
                      <w:szCs w:val="21"/>
                    </w:rPr>
                    <w:t>0.07</w:t>
                  </w:r>
                </w:p>
              </w:tc>
              <w:tc>
                <w:tcPr>
                  <w:tcW w:w="584" w:type="pct"/>
                  <w:vMerge w:val="restart"/>
                  <w:vAlign w:val="center"/>
                </w:tcPr>
                <w:p w14:paraId="2C10486E">
                  <w:pPr>
                    <w:pStyle w:val="52"/>
                    <w:rPr>
                      <w:color w:val="auto"/>
                    </w:rPr>
                  </w:pPr>
                  <w:r>
                    <w:rPr>
                      <w:color w:val="auto"/>
                    </w:rPr>
                    <w:t>0.9</w:t>
                  </w:r>
                </w:p>
              </w:tc>
              <w:tc>
                <w:tcPr>
                  <w:tcW w:w="523" w:type="pct"/>
                  <w:vAlign w:val="center"/>
                </w:tcPr>
                <w:p w14:paraId="508B8FFC">
                  <w:pPr>
                    <w:pStyle w:val="52"/>
                    <w:rPr>
                      <w:color w:val="auto"/>
                    </w:rPr>
                  </w:pPr>
                  <w:r>
                    <w:rPr>
                      <w:color w:val="auto"/>
                    </w:rPr>
                    <w:t>18</w:t>
                  </w:r>
                </w:p>
              </w:tc>
              <w:tc>
                <w:tcPr>
                  <w:tcW w:w="477" w:type="pct"/>
                  <w:vAlign w:val="center"/>
                </w:tcPr>
                <w:p w14:paraId="0CA91CD4">
                  <w:pPr>
                    <w:pStyle w:val="52"/>
                    <w:rPr>
                      <w:color w:val="auto"/>
                    </w:rPr>
                  </w:pPr>
                  <w:r>
                    <w:rPr>
                      <w:color w:val="auto"/>
                    </w:rPr>
                    <w:t>300</w:t>
                  </w:r>
                </w:p>
              </w:tc>
              <w:tc>
                <w:tcPr>
                  <w:tcW w:w="477" w:type="pct"/>
                  <w:vAlign w:val="center"/>
                </w:tcPr>
                <w:p w14:paraId="426FC325">
                  <w:pPr>
                    <w:pStyle w:val="52"/>
                    <w:rPr>
                      <w:color w:val="auto"/>
                    </w:rPr>
                  </w:pPr>
                  <w:r>
                    <w:rPr>
                      <w:color w:val="auto"/>
                    </w:rPr>
                    <w:t>25</w:t>
                  </w:r>
                </w:p>
              </w:tc>
            </w:tr>
            <w:tr w14:paraId="3C1A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pct"/>
                  <w:vMerge w:val="continue"/>
                  <w:vAlign w:val="center"/>
                </w:tcPr>
                <w:p w14:paraId="34CBDA91">
                  <w:pPr>
                    <w:pStyle w:val="52"/>
                    <w:rPr>
                      <w:color w:val="auto"/>
                    </w:rPr>
                  </w:pPr>
                </w:p>
              </w:tc>
              <w:tc>
                <w:tcPr>
                  <w:tcW w:w="1335" w:type="pct"/>
                  <w:vAlign w:val="center"/>
                </w:tcPr>
                <w:p w14:paraId="67E1048C">
                  <w:pPr>
                    <w:pStyle w:val="52"/>
                    <w:rPr>
                      <w:color w:val="auto"/>
                    </w:rPr>
                  </w:pPr>
                  <w:r>
                    <w:rPr>
                      <w:snapToGrid w:val="0"/>
                      <w:color w:val="auto"/>
                    </w:rPr>
                    <w:t>弃渣场</w:t>
                  </w:r>
                </w:p>
              </w:tc>
              <w:tc>
                <w:tcPr>
                  <w:tcW w:w="603" w:type="pct"/>
                  <w:vMerge w:val="continue"/>
                  <w:vAlign w:val="center"/>
                </w:tcPr>
                <w:p w14:paraId="6216D3B2">
                  <w:pPr>
                    <w:pStyle w:val="52"/>
                    <w:rPr>
                      <w:color w:val="auto"/>
                    </w:rPr>
                  </w:pPr>
                </w:p>
              </w:tc>
              <w:tc>
                <w:tcPr>
                  <w:tcW w:w="612" w:type="pct"/>
                  <w:vAlign w:val="center"/>
                </w:tcPr>
                <w:p w14:paraId="634A6A2C">
                  <w:pPr>
                    <w:pStyle w:val="52"/>
                    <w:rPr>
                      <w:color w:val="auto"/>
                      <w:szCs w:val="21"/>
                    </w:rPr>
                  </w:pPr>
                  <w:r>
                    <w:rPr>
                      <w:color w:val="auto"/>
                      <w:szCs w:val="21"/>
                    </w:rPr>
                    <w:t>0.0028</w:t>
                  </w:r>
                </w:p>
              </w:tc>
              <w:tc>
                <w:tcPr>
                  <w:tcW w:w="584" w:type="pct"/>
                  <w:vMerge w:val="continue"/>
                  <w:vAlign w:val="center"/>
                </w:tcPr>
                <w:p w14:paraId="06141140">
                  <w:pPr>
                    <w:pStyle w:val="52"/>
                    <w:rPr>
                      <w:color w:val="auto"/>
                    </w:rPr>
                  </w:pPr>
                </w:p>
              </w:tc>
              <w:tc>
                <w:tcPr>
                  <w:tcW w:w="523" w:type="pct"/>
                  <w:vAlign w:val="center"/>
                </w:tcPr>
                <w:p w14:paraId="675F0626">
                  <w:pPr>
                    <w:pStyle w:val="52"/>
                    <w:rPr>
                      <w:color w:val="auto"/>
                    </w:rPr>
                  </w:pPr>
                  <w:r>
                    <w:rPr>
                      <w:color w:val="auto"/>
                    </w:rPr>
                    <w:t>15</w:t>
                  </w:r>
                </w:p>
              </w:tc>
              <w:tc>
                <w:tcPr>
                  <w:tcW w:w="477" w:type="pct"/>
                  <w:vAlign w:val="center"/>
                </w:tcPr>
                <w:p w14:paraId="4B3E4C74">
                  <w:pPr>
                    <w:pStyle w:val="52"/>
                    <w:rPr>
                      <w:color w:val="auto"/>
                    </w:rPr>
                  </w:pPr>
                  <w:r>
                    <w:rPr>
                      <w:color w:val="auto"/>
                    </w:rPr>
                    <w:t>100</w:t>
                  </w:r>
                </w:p>
              </w:tc>
              <w:tc>
                <w:tcPr>
                  <w:tcW w:w="477" w:type="pct"/>
                  <w:vAlign w:val="center"/>
                </w:tcPr>
                <w:p w14:paraId="5775E3B7">
                  <w:pPr>
                    <w:pStyle w:val="52"/>
                    <w:rPr>
                      <w:color w:val="auto"/>
                    </w:rPr>
                  </w:pPr>
                  <w:r>
                    <w:rPr>
                      <w:color w:val="auto"/>
                    </w:rPr>
                    <w:t>10</w:t>
                  </w:r>
                </w:p>
              </w:tc>
            </w:tr>
            <w:tr w14:paraId="438E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pct"/>
                  <w:vMerge w:val="continue"/>
                  <w:vAlign w:val="center"/>
                </w:tcPr>
                <w:p w14:paraId="72A1C924">
                  <w:pPr>
                    <w:pStyle w:val="52"/>
                    <w:rPr>
                      <w:color w:val="auto"/>
                    </w:rPr>
                  </w:pPr>
                </w:p>
              </w:tc>
              <w:tc>
                <w:tcPr>
                  <w:tcW w:w="1335" w:type="pct"/>
                  <w:vAlign w:val="center"/>
                </w:tcPr>
                <w:p w14:paraId="6A4FCDFF">
                  <w:pPr>
                    <w:pStyle w:val="52"/>
                    <w:rPr>
                      <w:color w:val="auto"/>
                    </w:rPr>
                  </w:pPr>
                  <w:r>
                    <w:rPr>
                      <w:snapToGrid w:val="0"/>
                      <w:color w:val="auto"/>
                    </w:rPr>
                    <w:t>堆料场</w:t>
                  </w:r>
                </w:p>
              </w:tc>
              <w:tc>
                <w:tcPr>
                  <w:tcW w:w="603" w:type="pct"/>
                  <w:vMerge w:val="continue"/>
                  <w:vAlign w:val="center"/>
                </w:tcPr>
                <w:p w14:paraId="0AF2C0C9">
                  <w:pPr>
                    <w:pStyle w:val="52"/>
                    <w:rPr>
                      <w:color w:val="auto"/>
                    </w:rPr>
                  </w:pPr>
                </w:p>
              </w:tc>
              <w:tc>
                <w:tcPr>
                  <w:tcW w:w="612" w:type="pct"/>
                  <w:vAlign w:val="center"/>
                </w:tcPr>
                <w:p w14:paraId="5D3E6337">
                  <w:pPr>
                    <w:pStyle w:val="52"/>
                    <w:rPr>
                      <w:color w:val="auto"/>
                      <w:szCs w:val="21"/>
                    </w:rPr>
                  </w:pPr>
                  <w:r>
                    <w:rPr>
                      <w:color w:val="auto"/>
                      <w:szCs w:val="21"/>
                    </w:rPr>
                    <w:t>0.0005</w:t>
                  </w:r>
                </w:p>
              </w:tc>
              <w:tc>
                <w:tcPr>
                  <w:tcW w:w="584" w:type="pct"/>
                  <w:vMerge w:val="continue"/>
                  <w:vAlign w:val="center"/>
                </w:tcPr>
                <w:p w14:paraId="40033736">
                  <w:pPr>
                    <w:pStyle w:val="52"/>
                    <w:rPr>
                      <w:color w:val="auto"/>
                    </w:rPr>
                  </w:pPr>
                </w:p>
              </w:tc>
              <w:tc>
                <w:tcPr>
                  <w:tcW w:w="523" w:type="pct"/>
                  <w:vAlign w:val="center"/>
                </w:tcPr>
                <w:p w14:paraId="2F80D690">
                  <w:pPr>
                    <w:pStyle w:val="52"/>
                    <w:rPr>
                      <w:color w:val="auto"/>
                    </w:rPr>
                  </w:pPr>
                  <w:r>
                    <w:rPr>
                      <w:color w:val="auto"/>
                    </w:rPr>
                    <w:t>10</w:t>
                  </w:r>
                </w:p>
              </w:tc>
              <w:tc>
                <w:tcPr>
                  <w:tcW w:w="477" w:type="pct"/>
                  <w:vAlign w:val="center"/>
                </w:tcPr>
                <w:p w14:paraId="530AEDEC">
                  <w:pPr>
                    <w:pStyle w:val="52"/>
                    <w:rPr>
                      <w:color w:val="auto"/>
                    </w:rPr>
                  </w:pPr>
                  <w:r>
                    <w:rPr>
                      <w:color w:val="auto"/>
                    </w:rPr>
                    <w:t>125</w:t>
                  </w:r>
                </w:p>
              </w:tc>
              <w:tc>
                <w:tcPr>
                  <w:tcW w:w="477" w:type="pct"/>
                  <w:vAlign w:val="center"/>
                </w:tcPr>
                <w:p w14:paraId="20FAC0E8">
                  <w:pPr>
                    <w:pStyle w:val="52"/>
                    <w:rPr>
                      <w:color w:val="auto"/>
                    </w:rPr>
                  </w:pPr>
                  <w:r>
                    <w:rPr>
                      <w:color w:val="auto"/>
                    </w:rPr>
                    <w:t>80</w:t>
                  </w:r>
                </w:p>
              </w:tc>
            </w:tr>
            <w:tr w14:paraId="317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9" w:type="pct"/>
                  <w:vMerge w:val="continue"/>
                  <w:vAlign w:val="center"/>
                </w:tcPr>
                <w:p w14:paraId="01172961">
                  <w:pPr>
                    <w:pStyle w:val="52"/>
                    <w:rPr>
                      <w:color w:val="auto"/>
                    </w:rPr>
                  </w:pPr>
                </w:p>
              </w:tc>
              <w:tc>
                <w:tcPr>
                  <w:tcW w:w="1335" w:type="pct"/>
                  <w:vAlign w:val="center"/>
                </w:tcPr>
                <w:p w14:paraId="1630FC60">
                  <w:pPr>
                    <w:pStyle w:val="52"/>
                    <w:rPr>
                      <w:snapToGrid w:val="0"/>
                      <w:color w:val="auto"/>
                      <w:kern w:val="2"/>
                    </w:rPr>
                  </w:pPr>
                  <w:r>
                    <w:rPr>
                      <w:snapToGrid w:val="0"/>
                      <w:color w:val="auto"/>
                      <w:kern w:val="2"/>
                    </w:rPr>
                    <w:t>生产加工区（破碎和筛分）</w:t>
                  </w:r>
                </w:p>
              </w:tc>
              <w:tc>
                <w:tcPr>
                  <w:tcW w:w="603" w:type="pct"/>
                  <w:vMerge w:val="continue"/>
                  <w:vAlign w:val="center"/>
                </w:tcPr>
                <w:p w14:paraId="02D6D1DD">
                  <w:pPr>
                    <w:pStyle w:val="52"/>
                    <w:rPr>
                      <w:color w:val="auto"/>
                    </w:rPr>
                  </w:pPr>
                </w:p>
              </w:tc>
              <w:tc>
                <w:tcPr>
                  <w:tcW w:w="612" w:type="pct"/>
                  <w:vAlign w:val="center"/>
                </w:tcPr>
                <w:p w14:paraId="6C236BDE">
                  <w:pPr>
                    <w:pStyle w:val="52"/>
                    <w:rPr>
                      <w:color w:val="auto"/>
                      <w:szCs w:val="21"/>
                    </w:rPr>
                  </w:pPr>
                  <w:r>
                    <w:rPr>
                      <w:color w:val="auto"/>
                      <w:spacing w:val="2"/>
                      <w:szCs w:val="21"/>
                    </w:rPr>
                    <w:t>0.185</w:t>
                  </w:r>
                </w:p>
              </w:tc>
              <w:tc>
                <w:tcPr>
                  <w:tcW w:w="584" w:type="pct"/>
                  <w:vMerge w:val="continue"/>
                  <w:vAlign w:val="center"/>
                </w:tcPr>
                <w:p w14:paraId="06FFE3E4">
                  <w:pPr>
                    <w:pStyle w:val="52"/>
                    <w:rPr>
                      <w:color w:val="auto"/>
                    </w:rPr>
                  </w:pPr>
                </w:p>
              </w:tc>
              <w:tc>
                <w:tcPr>
                  <w:tcW w:w="523" w:type="pct"/>
                  <w:vAlign w:val="center"/>
                </w:tcPr>
                <w:p w14:paraId="38C9E4BD">
                  <w:pPr>
                    <w:pStyle w:val="52"/>
                    <w:rPr>
                      <w:color w:val="auto"/>
                    </w:rPr>
                  </w:pPr>
                  <w:r>
                    <w:rPr>
                      <w:color w:val="auto"/>
                    </w:rPr>
                    <w:t>29</w:t>
                  </w:r>
                </w:p>
              </w:tc>
              <w:tc>
                <w:tcPr>
                  <w:tcW w:w="477" w:type="pct"/>
                  <w:vAlign w:val="center"/>
                </w:tcPr>
                <w:p w14:paraId="53F5B244">
                  <w:pPr>
                    <w:pStyle w:val="52"/>
                    <w:rPr>
                      <w:color w:val="auto"/>
                    </w:rPr>
                  </w:pPr>
                  <w:r>
                    <w:rPr>
                      <w:color w:val="auto"/>
                    </w:rPr>
                    <w:t>400</w:t>
                  </w:r>
                </w:p>
              </w:tc>
              <w:tc>
                <w:tcPr>
                  <w:tcW w:w="477" w:type="pct"/>
                  <w:vAlign w:val="center"/>
                </w:tcPr>
                <w:p w14:paraId="4524A7B4">
                  <w:pPr>
                    <w:pStyle w:val="52"/>
                    <w:rPr>
                      <w:color w:val="auto"/>
                    </w:rPr>
                  </w:pPr>
                  <w:r>
                    <w:rPr>
                      <w:color w:val="auto"/>
                    </w:rPr>
                    <w:t>20</w:t>
                  </w:r>
                </w:p>
              </w:tc>
            </w:tr>
          </w:tbl>
          <w:p w14:paraId="2DFF26D7">
            <w:pPr>
              <w:pStyle w:val="31"/>
              <w:rPr>
                <w:rFonts w:cs="Times New Roman"/>
              </w:rPr>
            </w:pPr>
          </w:p>
          <w:p w14:paraId="443D457A">
            <w:pPr>
              <w:pStyle w:val="90"/>
              <w:numPr>
                <w:ilvl w:val="0"/>
                <w:numId w:val="3"/>
              </w:numPr>
              <w:ind w:firstLineChars="0"/>
              <w:rPr>
                <w:rFonts w:cs="Times New Roman"/>
                <w:szCs w:val="24"/>
              </w:rPr>
            </w:pPr>
            <w:r>
              <w:rPr>
                <w:rFonts w:cs="Times New Roman"/>
                <w:szCs w:val="24"/>
              </w:rPr>
              <w:t>预测结果</w:t>
            </w:r>
          </w:p>
          <w:p w14:paraId="25531D88">
            <w:pPr>
              <w:ind w:firstLine="480"/>
              <w:rPr>
                <w:rFonts w:cs="Times New Roman"/>
              </w:rPr>
            </w:pPr>
            <w:r>
              <w:rPr>
                <w:rFonts w:cs="Times New Roman"/>
              </w:rPr>
              <w:t>估算模式计算结果见表7-</w:t>
            </w:r>
            <w:r>
              <w:rPr>
                <w:rFonts w:hint="eastAsia" w:cs="Times New Roman"/>
              </w:rPr>
              <w:t>11</w:t>
            </w:r>
            <w:r>
              <w:rPr>
                <w:rFonts w:cs="Times New Roman"/>
              </w:rPr>
              <w:t>。</w:t>
            </w:r>
          </w:p>
          <w:p w14:paraId="1246953F">
            <w:pPr>
              <w:pStyle w:val="31"/>
              <w:rPr>
                <w:rFonts w:cs="Times New Roman"/>
              </w:rPr>
            </w:pPr>
            <w:r>
              <w:rPr>
                <w:rFonts w:cs="Times New Roman"/>
              </w:rPr>
              <w:t>表7-</w:t>
            </w:r>
            <w:r>
              <w:rPr>
                <w:rFonts w:hint="eastAsia" w:cs="Times New Roman"/>
              </w:rPr>
              <w:t>11</w:t>
            </w:r>
            <w:r>
              <w:rPr>
                <w:rFonts w:cs="Times New Roman"/>
              </w:rPr>
              <w:t xml:space="preserve">  项目采用估算模式计算结果表</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199"/>
              <w:gridCol w:w="993"/>
              <w:gridCol w:w="1202"/>
              <w:gridCol w:w="993"/>
              <w:gridCol w:w="1212"/>
              <w:gridCol w:w="1026"/>
              <w:gridCol w:w="1224"/>
              <w:gridCol w:w="993"/>
            </w:tblGrid>
            <w:tr w14:paraId="7654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restart"/>
                  <w:vAlign w:val="center"/>
                </w:tcPr>
                <w:p w14:paraId="04C45A5D">
                  <w:pPr>
                    <w:pStyle w:val="52"/>
                    <w:rPr>
                      <w:color w:val="auto"/>
                      <w:szCs w:val="21"/>
                    </w:rPr>
                  </w:pPr>
                  <w:r>
                    <w:rPr>
                      <w:color w:val="auto"/>
                      <w:szCs w:val="21"/>
                    </w:rPr>
                    <w:t>距源中心下风向距离D/m</w:t>
                  </w:r>
                </w:p>
              </w:tc>
              <w:tc>
                <w:tcPr>
                  <w:tcW w:w="2192" w:type="dxa"/>
                  <w:gridSpan w:val="2"/>
                  <w:vAlign w:val="center"/>
                </w:tcPr>
                <w:p w14:paraId="77F3C183">
                  <w:pPr>
                    <w:pStyle w:val="52"/>
                    <w:rPr>
                      <w:color w:val="auto"/>
                      <w:szCs w:val="21"/>
                    </w:rPr>
                  </w:pPr>
                  <w:r>
                    <w:rPr>
                      <w:color w:val="auto"/>
                      <w:szCs w:val="21"/>
                    </w:rPr>
                    <w:t>采场工作面</w:t>
                  </w:r>
                </w:p>
              </w:tc>
              <w:tc>
                <w:tcPr>
                  <w:tcW w:w="2195" w:type="dxa"/>
                  <w:gridSpan w:val="2"/>
                  <w:vAlign w:val="center"/>
                </w:tcPr>
                <w:p w14:paraId="1ECF1FCC">
                  <w:pPr>
                    <w:pStyle w:val="52"/>
                    <w:rPr>
                      <w:color w:val="auto"/>
                      <w:szCs w:val="21"/>
                    </w:rPr>
                  </w:pPr>
                  <w:r>
                    <w:rPr>
                      <w:color w:val="auto"/>
                      <w:szCs w:val="21"/>
                    </w:rPr>
                    <w:t>弃渣场</w:t>
                  </w:r>
                </w:p>
              </w:tc>
              <w:tc>
                <w:tcPr>
                  <w:tcW w:w="2238" w:type="dxa"/>
                  <w:gridSpan w:val="2"/>
                  <w:vAlign w:val="center"/>
                </w:tcPr>
                <w:p w14:paraId="7C6E7F17">
                  <w:pPr>
                    <w:pStyle w:val="52"/>
                    <w:rPr>
                      <w:color w:val="auto"/>
                      <w:szCs w:val="21"/>
                    </w:rPr>
                  </w:pPr>
                  <w:r>
                    <w:rPr>
                      <w:color w:val="auto"/>
                      <w:szCs w:val="21"/>
                    </w:rPr>
                    <w:t>堆料场</w:t>
                  </w:r>
                </w:p>
              </w:tc>
              <w:tc>
                <w:tcPr>
                  <w:tcW w:w="2217" w:type="dxa"/>
                  <w:gridSpan w:val="2"/>
                  <w:vAlign w:val="center"/>
                </w:tcPr>
                <w:p w14:paraId="5B24F07B">
                  <w:pPr>
                    <w:pStyle w:val="52"/>
                    <w:rPr>
                      <w:color w:val="auto"/>
                      <w:szCs w:val="21"/>
                    </w:rPr>
                  </w:pPr>
                  <w:r>
                    <w:rPr>
                      <w:color w:val="auto"/>
                      <w:szCs w:val="21"/>
                    </w:rPr>
                    <w:t>生产加工区</w:t>
                  </w:r>
                </w:p>
              </w:tc>
            </w:tr>
            <w:tr w14:paraId="24D7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continue"/>
                  <w:vAlign w:val="center"/>
                </w:tcPr>
                <w:p w14:paraId="1579E576">
                  <w:pPr>
                    <w:pStyle w:val="52"/>
                    <w:rPr>
                      <w:color w:val="auto"/>
                      <w:szCs w:val="21"/>
                    </w:rPr>
                  </w:pPr>
                </w:p>
              </w:tc>
              <w:tc>
                <w:tcPr>
                  <w:tcW w:w="1199" w:type="dxa"/>
                  <w:vAlign w:val="center"/>
                </w:tcPr>
                <w:p w14:paraId="1B349EF6">
                  <w:pPr>
                    <w:pStyle w:val="52"/>
                    <w:rPr>
                      <w:color w:val="auto"/>
                      <w:szCs w:val="21"/>
                    </w:rPr>
                  </w:pPr>
                  <w:r>
                    <w:rPr>
                      <w:color w:val="auto"/>
                      <w:szCs w:val="21"/>
                    </w:rPr>
                    <w:t>下风向预测浓度C</w:t>
                  </w:r>
                  <w:r>
                    <w:rPr>
                      <w:color w:val="auto"/>
                      <w:szCs w:val="21"/>
                      <w:vertAlign w:val="subscript"/>
                    </w:rPr>
                    <w:t>il</w:t>
                  </w:r>
                  <w:r>
                    <w:rPr>
                      <w:color w:val="auto"/>
                      <w:szCs w:val="21"/>
                    </w:rPr>
                    <w:t>/（mg/m</w:t>
                  </w:r>
                  <w:r>
                    <w:rPr>
                      <w:color w:val="auto"/>
                      <w:szCs w:val="21"/>
                      <w:vertAlign w:val="superscript"/>
                    </w:rPr>
                    <w:t>3</w:t>
                  </w:r>
                  <w:r>
                    <w:rPr>
                      <w:color w:val="auto"/>
                      <w:szCs w:val="21"/>
                    </w:rPr>
                    <w:t>）</w:t>
                  </w:r>
                </w:p>
              </w:tc>
              <w:tc>
                <w:tcPr>
                  <w:tcW w:w="993" w:type="dxa"/>
                  <w:vAlign w:val="center"/>
                </w:tcPr>
                <w:p w14:paraId="2803A45B">
                  <w:pPr>
                    <w:pStyle w:val="52"/>
                    <w:rPr>
                      <w:color w:val="auto"/>
                      <w:szCs w:val="21"/>
                    </w:rPr>
                  </w:pPr>
                  <w:r>
                    <w:rPr>
                      <w:color w:val="auto"/>
                      <w:szCs w:val="21"/>
                    </w:rPr>
                    <w:t>浓度占标率P</w:t>
                  </w:r>
                  <w:r>
                    <w:rPr>
                      <w:color w:val="auto"/>
                      <w:szCs w:val="21"/>
                      <w:vertAlign w:val="subscript"/>
                    </w:rPr>
                    <w:t>il</w:t>
                  </w:r>
                  <w:r>
                    <w:rPr>
                      <w:color w:val="auto"/>
                      <w:szCs w:val="21"/>
                    </w:rPr>
                    <w:t>/%</w:t>
                  </w:r>
                </w:p>
              </w:tc>
              <w:tc>
                <w:tcPr>
                  <w:tcW w:w="1202" w:type="dxa"/>
                  <w:vAlign w:val="center"/>
                </w:tcPr>
                <w:p w14:paraId="395A5928">
                  <w:pPr>
                    <w:pStyle w:val="52"/>
                    <w:rPr>
                      <w:color w:val="auto"/>
                      <w:szCs w:val="21"/>
                    </w:rPr>
                  </w:pPr>
                  <w:r>
                    <w:rPr>
                      <w:color w:val="auto"/>
                      <w:szCs w:val="21"/>
                    </w:rPr>
                    <w:t>下风向预测浓度C</w:t>
                  </w:r>
                  <w:r>
                    <w:rPr>
                      <w:color w:val="auto"/>
                      <w:szCs w:val="21"/>
                      <w:vertAlign w:val="subscript"/>
                    </w:rPr>
                    <w:t>il</w:t>
                  </w:r>
                  <w:r>
                    <w:rPr>
                      <w:color w:val="auto"/>
                      <w:szCs w:val="21"/>
                    </w:rPr>
                    <w:t>/（mg/m</w:t>
                  </w:r>
                  <w:r>
                    <w:rPr>
                      <w:color w:val="auto"/>
                      <w:szCs w:val="21"/>
                      <w:vertAlign w:val="superscript"/>
                    </w:rPr>
                    <w:t>3</w:t>
                  </w:r>
                  <w:r>
                    <w:rPr>
                      <w:color w:val="auto"/>
                      <w:szCs w:val="21"/>
                    </w:rPr>
                    <w:t>）</w:t>
                  </w:r>
                </w:p>
              </w:tc>
              <w:tc>
                <w:tcPr>
                  <w:tcW w:w="993" w:type="dxa"/>
                  <w:vAlign w:val="center"/>
                </w:tcPr>
                <w:p w14:paraId="0E765396">
                  <w:pPr>
                    <w:pStyle w:val="52"/>
                    <w:rPr>
                      <w:color w:val="auto"/>
                      <w:szCs w:val="21"/>
                    </w:rPr>
                  </w:pPr>
                  <w:r>
                    <w:rPr>
                      <w:color w:val="auto"/>
                      <w:szCs w:val="21"/>
                    </w:rPr>
                    <w:t>浓度占标率P</w:t>
                  </w:r>
                  <w:r>
                    <w:rPr>
                      <w:color w:val="auto"/>
                      <w:szCs w:val="21"/>
                      <w:vertAlign w:val="subscript"/>
                    </w:rPr>
                    <w:t>il</w:t>
                  </w:r>
                  <w:r>
                    <w:rPr>
                      <w:color w:val="auto"/>
                      <w:szCs w:val="21"/>
                    </w:rPr>
                    <w:t>/%</w:t>
                  </w:r>
                </w:p>
              </w:tc>
              <w:tc>
                <w:tcPr>
                  <w:tcW w:w="1212" w:type="dxa"/>
                  <w:vAlign w:val="center"/>
                </w:tcPr>
                <w:p w14:paraId="4B16E2BD">
                  <w:pPr>
                    <w:pStyle w:val="52"/>
                    <w:rPr>
                      <w:color w:val="auto"/>
                      <w:szCs w:val="21"/>
                    </w:rPr>
                  </w:pPr>
                  <w:r>
                    <w:rPr>
                      <w:color w:val="auto"/>
                      <w:szCs w:val="21"/>
                    </w:rPr>
                    <w:t>下风向预测浓度C</w:t>
                  </w:r>
                  <w:r>
                    <w:rPr>
                      <w:color w:val="auto"/>
                      <w:szCs w:val="21"/>
                      <w:vertAlign w:val="subscript"/>
                    </w:rPr>
                    <w:t>il</w:t>
                  </w:r>
                  <w:r>
                    <w:rPr>
                      <w:color w:val="auto"/>
                      <w:szCs w:val="21"/>
                    </w:rPr>
                    <w:t>/（mg/m</w:t>
                  </w:r>
                  <w:r>
                    <w:rPr>
                      <w:color w:val="auto"/>
                      <w:szCs w:val="21"/>
                      <w:vertAlign w:val="superscript"/>
                    </w:rPr>
                    <w:t>3</w:t>
                  </w:r>
                  <w:r>
                    <w:rPr>
                      <w:color w:val="auto"/>
                      <w:szCs w:val="21"/>
                    </w:rPr>
                    <w:t>）</w:t>
                  </w:r>
                </w:p>
              </w:tc>
              <w:tc>
                <w:tcPr>
                  <w:tcW w:w="1026" w:type="dxa"/>
                  <w:vAlign w:val="center"/>
                </w:tcPr>
                <w:p w14:paraId="64884A9A">
                  <w:pPr>
                    <w:pStyle w:val="52"/>
                    <w:rPr>
                      <w:color w:val="auto"/>
                      <w:szCs w:val="21"/>
                    </w:rPr>
                  </w:pPr>
                  <w:r>
                    <w:rPr>
                      <w:color w:val="auto"/>
                      <w:szCs w:val="21"/>
                    </w:rPr>
                    <w:t>浓度占标率P</w:t>
                  </w:r>
                  <w:r>
                    <w:rPr>
                      <w:color w:val="auto"/>
                      <w:szCs w:val="21"/>
                      <w:vertAlign w:val="subscript"/>
                    </w:rPr>
                    <w:t>il</w:t>
                  </w:r>
                  <w:r>
                    <w:rPr>
                      <w:color w:val="auto"/>
                      <w:szCs w:val="21"/>
                    </w:rPr>
                    <w:t>/%</w:t>
                  </w:r>
                </w:p>
              </w:tc>
              <w:tc>
                <w:tcPr>
                  <w:tcW w:w="1224" w:type="dxa"/>
                  <w:vAlign w:val="center"/>
                </w:tcPr>
                <w:p w14:paraId="6FC917F4">
                  <w:pPr>
                    <w:pStyle w:val="52"/>
                    <w:rPr>
                      <w:color w:val="auto"/>
                      <w:szCs w:val="21"/>
                    </w:rPr>
                  </w:pPr>
                  <w:r>
                    <w:rPr>
                      <w:color w:val="auto"/>
                      <w:szCs w:val="21"/>
                    </w:rPr>
                    <w:t>下风向预测浓度C</w:t>
                  </w:r>
                  <w:r>
                    <w:rPr>
                      <w:color w:val="auto"/>
                      <w:szCs w:val="21"/>
                      <w:vertAlign w:val="subscript"/>
                    </w:rPr>
                    <w:t>il</w:t>
                  </w:r>
                  <w:r>
                    <w:rPr>
                      <w:color w:val="auto"/>
                      <w:szCs w:val="21"/>
                    </w:rPr>
                    <w:t>/（mg/m</w:t>
                  </w:r>
                  <w:r>
                    <w:rPr>
                      <w:color w:val="auto"/>
                      <w:szCs w:val="21"/>
                      <w:vertAlign w:val="superscript"/>
                    </w:rPr>
                    <w:t>3</w:t>
                  </w:r>
                  <w:r>
                    <w:rPr>
                      <w:color w:val="auto"/>
                      <w:szCs w:val="21"/>
                    </w:rPr>
                    <w:t>）</w:t>
                  </w:r>
                </w:p>
              </w:tc>
              <w:tc>
                <w:tcPr>
                  <w:tcW w:w="993" w:type="dxa"/>
                  <w:vAlign w:val="center"/>
                </w:tcPr>
                <w:p w14:paraId="2BAB9B8D">
                  <w:pPr>
                    <w:pStyle w:val="52"/>
                    <w:rPr>
                      <w:color w:val="auto"/>
                      <w:szCs w:val="21"/>
                    </w:rPr>
                  </w:pPr>
                  <w:r>
                    <w:rPr>
                      <w:color w:val="auto"/>
                      <w:szCs w:val="21"/>
                    </w:rPr>
                    <w:t>浓度占标率P</w:t>
                  </w:r>
                  <w:r>
                    <w:rPr>
                      <w:color w:val="auto"/>
                      <w:szCs w:val="21"/>
                      <w:vertAlign w:val="subscript"/>
                    </w:rPr>
                    <w:t>il</w:t>
                  </w:r>
                  <w:r>
                    <w:rPr>
                      <w:color w:val="auto"/>
                      <w:szCs w:val="21"/>
                    </w:rPr>
                    <w:t>/%</w:t>
                  </w:r>
                </w:p>
              </w:tc>
            </w:tr>
            <w:tr w14:paraId="4AA8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21C02E2">
                  <w:pPr>
                    <w:spacing w:line="240" w:lineRule="auto"/>
                    <w:ind w:firstLine="0" w:firstLineChars="0"/>
                    <w:jc w:val="center"/>
                    <w:rPr>
                      <w:rFonts w:cs="Times New Roman"/>
                      <w:sz w:val="21"/>
                      <w:szCs w:val="21"/>
                    </w:rPr>
                  </w:pPr>
                  <w:r>
                    <w:rPr>
                      <w:rFonts w:cs="Times New Roman"/>
                      <w:sz w:val="21"/>
                      <w:szCs w:val="21"/>
                    </w:rPr>
                    <w:t>10</w:t>
                  </w:r>
                </w:p>
              </w:tc>
              <w:tc>
                <w:tcPr>
                  <w:tcW w:w="1199" w:type="dxa"/>
                  <w:vAlign w:val="center"/>
                </w:tcPr>
                <w:p w14:paraId="2DEEA027">
                  <w:pPr>
                    <w:spacing w:line="240" w:lineRule="auto"/>
                    <w:ind w:firstLine="0" w:firstLineChars="0"/>
                    <w:jc w:val="center"/>
                    <w:rPr>
                      <w:rFonts w:cs="Times New Roman"/>
                      <w:sz w:val="21"/>
                      <w:szCs w:val="21"/>
                    </w:rPr>
                  </w:pPr>
                  <w:r>
                    <w:rPr>
                      <w:rFonts w:cs="Times New Roman"/>
                      <w:sz w:val="21"/>
                      <w:szCs w:val="21"/>
                    </w:rPr>
                    <w:t>0.048576</w:t>
                  </w:r>
                </w:p>
              </w:tc>
              <w:tc>
                <w:tcPr>
                  <w:tcW w:w="993" w:type="dxa"/>
                  <w:vAlign w:val="center"/>
                </w:tcPr>
                <w:p w14:paraId="2A44BFFE">
                  <w:pPr>
                    <w:spacing w:line="240" w:lineRule="auto"/>
                    <w:ind w:firstLine="0" w:firstLineChars="0"/>
                    <w:jc w:val="center"/>
                    <w:rPr>
                      <w:rFonts w:cs="Times New Roman"/>
                      <w:sz w:val="21"/>
                      <w:szCs w:val="21"/>
                    </w:rPr>
                  </w:pPr>
                  <w:r>
                    <w:rPr>
                      <w:rFonts w:cs="Times New Roman"/>
                      <w:sz w:val="21"/>
                      <w:szCs w:val="21"/>
                    </w:rPr>
                    <w:t>5.4</w:t>
                  </w:r>
                </w:p>
              </w:tc>
              <w:tc>
                <w:tcPr>
                  <w:tcW w:w="1202" w:type="dxa"/>
                  <w:vAlign w:val="center"/>
                </w:tcPr>
                <w:p w14:paraId="1B539281">
                  <w:pPr>
                    <w:spacing w:line="240" w:lineRule="auto"/>
                    <w:ind w:firstLine="0" w:firstLineChars="0"/>
                    <w:jc w:val="center"/>
                    <w:rPr>
                      <w:rFonts w:cs="Times New Roman"/>
                      <w:sz w:val="21"/>
                      <w:szCs w:val="21"/>
                    </w:rPr>
                  </w:pPr>
                  <w:r>
                    <w:rPr>
                      <w:rFonts w:cs="Times New Roman"/>
                      <w:sz w:val="21"/>
                      <w:szCs w:val="21"/>
                    </w:rPr>
                    <w:t>0.003606</w:t>
                  </w:r>
                </w:p>
              </w:tc>
              <w:tc>
                <w:tcPr>
                  <w:tcW w:w="993" w:type="dxa"/>
                  <w:vAlign w:val="center"/>
                </w:tcPr>
                <w:p w14:paraId="539BC559">
                  <w:pPr>
                    <w:spacing w:line="240" w:lineRule="auto"/>
                    <w:ind w:firstLine="0" w:firstLineChars="0"/>
                    <w:jc w:val="center"/>
                    <w:rPr>
                      <w:rFonts w:cs="Times New Roman"/>
                      <w:sz w:val="21"/>
                      <w:szCs w:val="21"/>
                    </w:rPr>
                  </w:pPr>
                  <w:r>
                    <w:rPr>
                      <w:rFonts w:cs="Times New Roman"/>
                      <w:sz w:val="21"/>
                      <w:szCs w:val="21"/>
                    </w:rPr>
                    <w:t>0.4</w:t>
                  </w:r>
                </w:p>
              </w:tc>
              <w:tc>
                <w:tcPr>
                  <w:tcW w:w="1212" w:type="dxa"/>
                  <w:vAlign w:val="center"/>
                </w:tcPr>
                <w:p w14:paraId="565999C4">
                  <w:pPr>
                    <w:spacing w:line="240" w:lineRule="auto"/>
                    <w:ind w:firstLine="0" w:firstLineChars="0"/>
                    <w:jc w:val="center"/>
                    <w:rPr>
                      <w:rFonts w:cs="Times New Roman"/>
                      <w:sz w:val="21"/>
                      <w:szCs w:val="21"/>
                    </w:rPr>
                  </w:pPr>
                  <w:r>
                    <w:rPr>
                      <w:rFonts w:cs="Times New Roman"/>
                      <w:sz w:val="21"/>
                      <w:szCs w:val="21"/>
                    </w:rPr>
                    <w:t>0.000375</w:t>
                  </w:r>
                </w:p>
              </w:tc>
              <w:tc>
                <w:tcPr>
                  <w:tcW w:w="1026" w:type="dxa"/>
                  <w:vAlign w:val="center"/>
                </w:tcPr>
                <w:p w14:paraId="08BC8B6F">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32D8D1EB">
                  <w:pPr>
                    <w:spacing w:line="240" w:lineRule="auto"/>
                    <w:ind w:firstLine="0" w:firstLineChars="0"/>
                    <w:jc w:val="center"/>
                    <w:rPr>
                      <w:rFonts w:cs="Times New Roman"/>
                      <w:sz w:val="21"/>
                      <w:szCs w:val="21"/>
                    </w:rPr>
                  </w:pPr>
                  <w:r>
                    <w:rPr>
                      <w:rFonts w:cs="Times New Roman"/>
                      <w:sz w:val="21"/>
                      <w:szCs w:val="21"/>
                    </w:rPr>
                    <w:t>0.053769</w:t>
                  </w:r>
                </w:p>
              </w:tc>
              <w:tc>
                <w:tcPr>
                  <w:tcW w:w="993" w:type="dxa"/>
                  <w:vAlign w:val="center"/>
                </w:tcPr>
                <w:p w14:paraId="73B9067A">
                  <w:pPr>
                    <w:spacing w:line="240" w:lineRule="auto"/>
                    <w:ind w:firstLine="0" w:firstLineChars="0"/>
                    <w:jc w:val="center"/>
                    <w:rPr>
                      <w:rFonts w:cs="Times New Roman"/>
                      <w:sz w:val="21"/>
                      <w:szCs w:val="21"/>
                    </w:rPr>
                  </w:pPr>
                  <w:r>
                    <w:rPr>
                      <w:rFonts w:cs="Times New Roman"/>
                      <w:sz w:val="21"/>
                      <w:szCs w:val="21"/>
                    </w:rPr>
                    <w:t>5.97</w:t>
                  </w:r>
                </w:p>
              </w:tc>
            </w:tr>
            <w:tr w14:paraId="5710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9B72794">
                  <w:pPr>
                    <w:spacing w:line="240" w:lineRule="auto"/>
                    <w:ind w:firstLine="0" w:firstLineChars="0"/>
                    <w:jc w:val="center"/>
                    <w:rPr>
                      <w:rFonts w:cs="Times New Roman"/>
                      <w:sz w:val="21"/>
                      <w:szCs w:val="21"/>
                    </w:rPr>
                  </w:pPr>
                  <w:r>
                    <w:rPr>
                      <w:rFonts w:cs="Times New Roman"/>
                      <w:sz w:val="21"/>
                      <w:szCs w:val="21"/>
                    </w:rPr>
                    <w:t>25</w:t>
                  </w:r>
                </w:p>
              </w:tc>
              <w:tc>
                <w:tcPr>
                  <w:tcW w:w="1199" w:type="dxa"/>
                  <w:vAlign w:val="center"/>
                </w:tcPr>
                <w:p w14:paraId="4B50E353">
                  <w:pPr>
                    <w:spacing w:line="240" w:lineRule="auto"/>
                    <w:ind w:firstLine="0" w:firstLineChars="0"/>
                    <w:jc w:val="center"/>
                    <w:rPr>
                      <w:rFonts w:cs="Times New Roman"/>
                      <w:sz w:val="21"/>
                      <w:szCs w:val="21"/>
                    </w:rPr>
                  </w:pPr>
                  <w:r>
                    <w:rPr>
                      <w:rFonts w:cs="Times New Roman"/>
                      <w:sz w:val="21"/>
                      <w:szCs w:val="21"/>
                    </w:rPr>
                    <w:t>0.0524</w:t>
                  </w:r>
                </w:p>
              </w:tc>
              <w:tc>
                <w:tcPr>
                  <w:tcW w:w="993" w:type="dxa"/>
                  <w:vAlign w:val="center"/>
                </w:tcPr>
                <w:p w14:paraId="7C740F0B">
                  <w:pPr>
                    <w:spacing w:line="240" w:lineRule="auto"/>
                    <w:ind w:firstLine="0" w:firstLineChars="0"/>
                    <w:jc w:val="center"/>
                    <w:rPr>
                      <w:rFonts w:cs="Times New Roman"/>
                      <w:sz w:val="21"/>
                      <w:szCs w:val="21"/>
                    </w:rPr>
                  </w:pPr>
                  <w:r>
                    <w:rPr>
                      <w:rFonts w:cs="Times New Roman"/>
                      <w:sz w:val="21"/>
                      <w:szCs w:val="21"/>
                    </w:rPr>
                    <w:t>5.82</w:t>
                  </w:r>
                </w:p>
              </w:tc>
              <w:tc>
                <w:tcPr>
                  <w:tcW w:w="1202" w:type="dxa"/>
                  <w:vAlign w:val="center"/>
                </w:tcPr>
                <w:p w14:paraId="02B9FFEB">
                  <w:pPr>
                    <w:spacing w:line="240" w:lineRule="auto"/>
                    <w:ind w:firstLine="0" w:firstLineChars="0"/>
                    <w:jc w:val="center"/>
                    <w:rPr>
                      <w:rFonts w:cs="Times New Roman"/>
                      <w:sz w:val="21"/>
                      <w:szCs w:val="21"/>
                    </w:rPr>
                  </w:pPr>
                  <w:r>
                    <w:rPr>
                      <w:rFonts w:cs="Times New Roman"/>
                      <w:sz w:val="21"/>
                      <w:szCs w:val="21"/>
                    </w:rPr>
                    <w:t>0.004505</w:t>
                  </w:r>
                </w:p>
              </w:tc>
              <w:tc>
                <w:tcPr>
                  <w:tcW w:w="993" w:type="dxa"/>
                  <w:vAlign w:val="center"/>
                </w:tcPr>
                <w:p w14:paraId="5C0F8F67">
                  <w:pPr>
                    <w:spacing w:line="240" w:lineRule="auto"/>
                    <w:ind w:firstLine="0" w:firstLineChars="0"/>
                    <w:jc w:val="center"/>
                    <w:rPr>
                      <w:rFonts w:cs="Times New Roman"/>
                      <w:sz w:val="21"/>
                      <w:szCs w:val="21"/>
                    </w:rPr>
                  </w:pPr>
                  <w:r>
                    <w:rPr>
                      <w:rFonts w:cs="Times New Roman"/>
                      <w:sz w:val="21"/>
                      <w:szCs w:val="21"/>
                    </w:rPr>
                    <w:t>0.5</w:t>
                  </w:r>
                </w:p>
              </w:tc>
              <w:tc>
                <w:tcPr>
                  <w:tcW w:w="1212" w:type="dxa"/>
                  <w:vAlign w:val="center"/>
                </w:tcPr>
                <w:p w14:paraId="76CBD762">
                  <w:pPr>
                    <w:spacing w:line="240" w:lineRule="auto"/>
                    <w:ind w:firstLine="0" w:firstLineChars="0"/>
                    <w:jc w:val="center"/>
                    <w:rPr>
                      <w:rFonts w:cs="Times New Roman"/>
                      <w:sz w:val="21"/>
                      <w:szCs w:val="21"/>
                    </w:rPr>
                  </w:pPr>
                  <w:r>
                    <w:rPr>
                      <w:rFonts w:cs="Times New Roman"/>
                      <w:sz w:val="21"/>
                      <w:szCs w:val="21"/>
                    </w:rPr>
                    <w:t>0.000491</w:t>
                  </w:r>
                </w:p>
              </w:tc>
              <w:tc>
                <w:tcPr>
                  <w:tcW w:w="1026" w:type="dxa"/>
                  <w:vAlign w:val="center"/>
                </w:tcPr>
                <w:p w14:paraId="61D24489">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60901083">
                  <w:pPr>
                    <w:spacing w:line="240" w:lineRule="auto"/>
                    <w:ind w:firstLine="0" w:firstLineChars="0"/>
                    <w:jc w:val="center"/>
                    <w:rPr>
                      <w:rFonts w:cs="Times New Roman"/>
                      <w:sz w:val="21"/>
                      <w:szCs w:val="21"/>
                    </w:rPr>
                  </w:pPr>
                  <w:r>
                    <w:rPr>
                      <w:rFonts w:cs="Times New Roman"/>
                      <w:sz w:val="21"/>
                      <w:szCs w:val="21"/>
                    </w:rPr>
                    <w:t>0.056731</w:t>
                  </w:r>
                </w:p>
              </w:tc>
              <w:tc>
                <w:tcPr>
                  <w:tcW w:w="993" w:type="dxa"/>
                  <w:vAlign w:val="center"/>
                </w:tcPr>
                <w:p w14:paraId="232C8C48">
                  <w:pPr>
                    <w:spacing w:line="240" w:lineRule="auto"/>
                    <w:ind w:firstLine="0" w:firstLineChars="0"/>
                    <w:jc w:val="center"/>
                    <w:rPr>
                      <w:rFonts w:cs="Times New Roman"/>
                      <w:sz w:val="21"/>
                      <w:szCs w:val="21"/>
                    </w:rPr>
                  </w:pPr>
                  <w:r>
                    <w:rPr>
                      <w:rFonts w:cs="Times New Roman"/>
                      <w:sz w:val="21"/>
                      <w:szCs w:val="21"/>
                    </w:rPr>
                    <w:t>6.3</w:t>
                  </w:r>
                </w:p>
              </w:tc>
            </w:tr>
            <w:tr w14:paraId="157D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FBD0F12">
                  <w:pPr>
                    <w:spacing w:line="240" w:lineRule="auto"/>
                    <w:ind w:firstLine="0" w:firstLineChars="0"/>
                    <w:jc w:val="center"/>
                    <w:rPr>
                      <w:rFonts w:cs="Times New Roman"/>
                      <w:sz w:val="21"/>
                      <w:szCs w:val="21"/>
                    </w:rPr>
                  </w:pPr>
                  <w:r>
                    <w:rPr>
                      <w:rFonts w:cs="Times New Roman"/>
                      <w:sz w:val="21"/>
                      <w:szCs w:val="21"/>
                    </w:rPr>
                    <w:t>50</w:t>
                  </w:r>
                </w:p>
              </w:tc>
              <w:tc>
                <w:tcPr>
                  <w:tcW w:w="1199" w:type="dxa"/>
                  <w:vAlign w:val="center"/>
                </w:tcPr>
                <w:p w14:paraId="62AEEB80">
                  <w:pPr>
                    <w:spacing w:line="240" w:lineRule="auto"/>
                    <w:ind w:firstLine="0" w:firstLineChars="0"/>
                    <w:jc w:val="center"/>
                    <w:rPr>
                      <w:rFonts w:cs="Times New Roman"/>
                      <w:sz w:val="21"/>
                      <w:szCs w:val="21"/>
                    </w:rPr>
                  </w:pPr>
                  <w:r>
                    <w:rPr>
                      <w:rFonts w:cs="Times New Roman"/>
                      <w:sz w:val="21"/>
                      <w:szCs w:val="21"/>
                    </w:rPr>
                    <w:t>0.058295</w:t>
                  </w:r>
                </w:p>
              </w:tc>
              <w:tc>
                <w:tcPr>
                  <w:tcW w:w="993" w:type="dxa"/>
                  <w:vAlign w:val="center"/>
                </w:tcPr>
                <w:p w14:paraId="4D20CC60">
                  <w:pPr>
                    <w:spacing w:line="240" w:lineRule="auto"/>
                    <w:ind w:firstLine="0" w:firstLineChars="0"/>
                    <w:jc w:val="center"/>
                    <w:rPr>
                      <w:rFonts w:cs="Times New Roman"/>
                      <w:sz w:val="21"/>
                      <w:szCs w:val="21"/>
                    </w:rPr>
                  </w:pPr>
                  <w:r>
                    <w:rPr>
                      <w:rFonts w:cs="Times New Roman"/>
                      <w:sz w:val="21"/>
                      <w:szCs w:val="21"/>
                    </w:rPr>
                    <w:t>6.48</w:t>
                  </w:r>
                </w:p>
              </w:tc>
              <w:tc>
                <w:tcPr>
                  <w:tcW w:w="1202" w:type="dxa"/>
                  <w:vAlign w:val="center"/>
                </w:tcPr>
                <w:p w14:paraId="5E661250">
                  <w:pPr>
                    <w:spacing w:line="240" w:lineRule="auto"/>
                    <w:ind w:firstLine="0" w:firstLineChars="0"/>
                    <w:jc w:val="center"/>
                    <w:rPr>
                      <w:rFonts w:cs="Times New Roman"/>
                      <w:sz w:val="21"/>
                      <w:szCs w:val="21"/>
                    </w:rPr>
                  </w:pPr>
                  <w:r>
                    <w:rPr>
                      <w:rFonts w:cs="Times New Roman"/>
                      <w:sz w:val="21"/>
                      <w:szCs w:val="21"/>
                    </w:rPr>
                    <w:t>0.00595</w:t>
                  </w:r>
                </w:p>
              </w:tc>
              <w:tc>
                <w:tcPr>
                  <w:tcW w:w="993" w:type="dxa"/>
                  <w:vAlign w:val="center"/>
                </w:tcPr>
                <w:p w14:paraId="6276C525">
                  <w:pPr>
                    <w:spacing w:line="240" w:lineRule="auto"/>
                    <w:ind w:firstLine="0" w:firstLineChars="0"/>
                    <w:jc w:val="center"/>
                    <w:rPr>
                      <w:rFonts w:cs="Times New Roman"/>
                      <w:sz w:val="21"/>
                      <w:szCs w:val="21"/>
                    </w:rPr>
                  </w:pPr>
                  <w:r>
                    <w:rPr>
                      <w:rFonts w:cs="Times New Roman"/>
                      <w:sz w:val="21"/>
                      <w:szCs w:val="21"/>
                    </w:rPr>
                    <w:t>0.66</w:t>
                  </w:r>
                </w:p>
              </w:tc>
              <w:tc>
                <w:tcPr>
                  <w:tcW w:w="1212" w:type="dxa"/>
                  <w:vAlign w:val="center"/>
                </w:tcPr>
                <w:p w14:paraId="00B7D2DD">
                  <w:pPr>
                    <w:spacing w:line="240" w:lineRule="auto"/>
                    <w:ind w:firstLine="0" w:firstLineChars="0"/>
                    <w:jc w:val="center"/>
                    <w:rPr>
                      <w:rFonts w:cs="Times New Roman"/>
                      <w:sz w:val="21"/>
                      <w:szCs w:val="21"/>
                    </w:rPr>
                  </w:pPr>
                  <w:r>
                    <w:rPr>
                      <w:rFonts w:cs="Times New Roman"/>
                      <w:sz w:val="21"/>
                      <w:szCs w:val="21"/>
                    </w:rPr>
                    <w:t>0.000691</w:t>
                  </w:r>
                </w:p>
              </w:tc>
              <w:tc>
                <w:tcPr>
                  <w:tcW w:w="1026" w:type="dxa"/>
                  <w:vAlign w:val="center"/>
                </w:tcPr>
                <w:p w14:paraId="47FD5FFE">
                  <w:pPr>
                    <w:spacing w:line="240" w:lineRule="auto"/>
                    <w:ind w:firstLine="0" w:firstLineChars="0"/>
                    <w:jc w:val="center"/>
                    <w:rPr>
                      <w:rFonts w:cs="Times New Roman"/>
                      <w:sz w:val="21"/>
                      <w:szCs w:val="21"/>
                    </w:rPr>
                  </w:pPr>
                  <w:r>
                    <w:rPr>
                      <w:rFonts w:cs="Times New Roman"/>
                      <w:sz w:val="21"/>
                      <w:szCs w:val="21"/>
                    </w:rPr>
                    <w:t>0.08</w:t>
                  </w:r>
                </w:p>
              </w:tc>
              <w:tc>
                <w:tcPr>
                  <w:tcW w:w="1224" w:type="dxa"/>
                  <w:vAlign w:val="center"/>
                </w:tcPr>
                <w:p w14:paraId="12252397">
                  <w:pPr>
                    <w:spacing w:line="240" w:lineRule="auto"/>
                    <w:ind w:firstLine="0" w:firstLineChars="0"/>
                    <w:jc w:val="center"/>
                    <w:rPr>
                      <w:rFonts w:cs="Times New Roman"/>
                      <w:sz w:val="21"/>
                      <w:szCs w:val="21"/>
                    </w:rPr>
                  </w:pPr>
                  <w:r>
                    <w:rPr>
                      <w:rFonts w:cs="Times New Roman"/>
                      <w:sz w:val="21"/>
                      <w:szCs w:val="21"/>
                    </w:rPr>
                    <w:t>0.061359</w:t>
                  </w:r>
                </w:p>
              </w:tc>
              <w:tc>
                <w:tcPr>
                  <w:tcW w:w="993" w:type="dxa"/>
                  <w:vAlign w:val="center"/>
                </w:tcPr>
                <w:p w14:paraId="418BF1BD">
                  <w:pPr>
                    <w:spacing w:line="240" w:lineRule="auto"/>
                    <w:ind w:firstLine="0" w:firstLineChars="0"/>
                    <w:jc w:val="center"/>
                    <w:rPr>
                      <w:rFonts w:cs="Times New Roman"/>
                      <w:sz w:val="21"/>
                      <w:szCs w:val="21"/>
                    </w:rPr>
                  </w:pPr>
                  <w:r>
                    <w:rPr>
                      <w:rFonts w:cs="Times New Roman"/>
                      <w:sz w:val="21"/>
                      <w:szCs w:val="21"/>
                    </w:rPr>
                    <w:t>6.82</w:t>
                  </w:r>
                </w:p>
              </w:tc>
            </w:tr>
            <w:tr w14:paraId="7DFE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D2D8110">
                  <w:pPr>
                    <w:spacing w:line="240" w:lineRule="auto"/>
                    <w:ind w:firstLine="0" w:firstLineChars="0"/>
                    <w:jc w:val="center"/>
                    <w:rPr>
                      <w:rFonts w:cs="Times New Roman"/>
                      <w:b/>
                      <w:sz w:val="21"/>
                      <w:szCs w:val="21"/>
                    </w:rPr>
                  </w:pPr>
                  <w:r>
                    <w:rPr>
                      <w:rFonts w:cs="Times New Roman"/>
                      <w:b/>
                      <w:sz w:val="21"/>
                      <w:szCs w:val="21"/>
                    </w:rPr>
                    <w:t>51</w:t>
                  </w:r>
                </w:p>
              </w:tc>
              <w:tc>
                <w:tcPr>
                  <w:tcW w:w="1199" w:type="dxa"/>
                  <w:vAlign w:val="center"/>
                </w:tcPr>
                <w:p w14:paraId="211F551B">
                  <w:pPr>
                    <w:spacing w:line="240" w:lineRule="auto"/>
                    <w:ind w:firstLine="0" w:firstLineChars="0"/>
                    <w:jc w:val="center"/>
                    <w:rPr>
                      <w:rFonts w:cs="Times New Roman"/>
                      <w:b/>
                      <w:sz w:val="21"/>
                      <w:szCs w:val="21"/>
                    </w:rPr>
                  </w:pPr>
                  <w:r>
                    <w:rPr>
                      <w:rFonts w:cs="Times New Roman"/>
                      <w:b/>
                      <w:sz w:val="21"/>
                      <w:szCs w:val="21"/>
                    </w:rPr>
                    <w:t>/</w:t>
                  </w:r>
                </w:p>
              </w:tc>
              <w:tc>
                <w:tcPr>
                  <w:tcW w:w="993" w:type="dxa"/>
                  <w:vAlign w:val="center"/>
                </w:tcPr>
                <w:p w14:paraId="739177EF">
                  <w:pPr>
                    <w:spacing w:line="240" w:lineRule="auto"/>
                    <w:ind w:firstLine="0" w:firstLineChars="0"/>
                    <w:jc w:val="center"/>
                    <w:rPr>
                      <w:rFonts w:cs="Times New Roman"/>
                      <w:b/>
                      <w:sz w:val="21"/>
                      <w:szCs w:val="21"/>
                    </w:rPr>
                  </w:pPr>
                  <w:r>
                    <w:rPr>
                      <w:rFonts w:cs="Times New Roman"/>
                      <w:b/>
                      <w:sz w:val="21"/>
                      <w:szCs w:val="21"/>
                    </w:rPr>
                    <w:t>/</w:t>
                  </w:r>
                </w:p>
              </w:tc>
              <w:tc>
                <w:tcPr>
                  <w:tcW w:w="1202" w:type="dxa"/>
                  <w:vAlign w:val="center"/>
                </w:tcPr>
                <w:p w14:paraId="6942E61B">
                  <w:pPr>
                    <w:spacing w:line="240" w:lineRule="auto"/>
                    <w:ind w:firstLine="0" w:firstLineChars="0"/>
                    <w:jc w:val="center"/>
                    <w:rPr>
                      <w:rFonts w:cs="Times New Roman"/>
                      <w:b/>
                      <w:sz w:val="21"/>
                      <w:szCs w:val="21"/>
                    </w:rPr>
                  </w:pPr>
                  <w:r>
                    <w:rPr>
                      <w:rFonts w:cs="Times New Roman"/>
                      <w:b/>
                      <w:sz w:val="21"/>
                      <w:szCs w:val="21"/>
                    </w:rPr>
                    <w:t>0.006004</w:t>
                  </w:r>
                </w:p>
              </w:tc>
              <w:tc>
                <w:tcPr>
                  <w:tcW w:w="993" w:type="dxa"/>
                  <w:vAlign w:val="center"/>
                </w:tcPr>
                <w:p w14:paraId="45D26EB6">
                  <w:pPr>
                    <w:spacing w:line="240" w:lineRule="auto"/>
                    <w:ind w:firstLine="0" w:firstLineChars="0"/>
                    <w:jc w:val="center"/>
                    <w:rPr>
                      <w:rFonts w:cs="Times New Roman"/>
                      <w:b/>
                      <w:sz w:val="21"/>
                      <w:szCs w:val="21"/>
                    </w:rPr>
                  </w:pPr>
                  <w:r>
                    <w:rPr>
                      <w:rFonts w:cs="Times New Roman"/>
                      <w:b/>
                      <w:sz w:val="21"/>
                      <w:szCs w:val="21"/>
                    </w:rPr>
                    <w:t>0.67</w:t>
                  </w:r>
                </w:p>
              </w:tc>
              <w:tc>
                <w:tcPr>
                  <w:tcW w:w="1212" w:type="dxa"/>
                  <w:vAlign w:val="center"/>
                </w:tcPr>
                <w:p w14:paraId="0013E286">
                  <w:pPr>
                    <w:spacing w:line="240" w:lineRule="auto"/>
                    <w:ind w:firstLine="0" w:firstLineChars="0"/>
                    <w:jc w:val="center"/>
                    <w:rPr>
                      <w:rFonts w:cs="Times New Roman"/>
                      <w:sz w:val="21"/>
                      <w:szCs w:val="21"/>
                    </w:rPr>
                  </w:pPr>
                  <w:r>
                    <w:rPr>
                      <w:rFonts w:cs="Times New Roman"/>
                      <w:sz w:val="21"/>
                      <w:szCs w:val="21"/>
                    </w:rPr>
                    <w:t>/</w:t>
                  </w:r>
                </w:p>
              </w:tc>
              <w:tc>
                <w:tcPr>
                  <w:tcW w:w="1026" w:type="dxa"/>
                  <w:vAlign w:val="center"/>
                </w:tcPr>
                <w:p w14:paraId="2D0E3AD9">
                  <w:pPr>
                    <w:spacing w:line="240" w:lineRule="auto"/>
                    <w:ind w:firstLine="0" w:firstLineChars="0"/>
                    <w:jc w:val="center"/>
                    <w:rPr>
                      <w:rFonts w:cs="Times New Roman"/>
                      <w:sz w:val="21"/>
                      <w:szCs w:val="21"/>
                    </w:rPr>
                  </w:pPr>
                  <w:r>
                    <w:rPr>
                      <w:rFonts w:cs="Times New Roman"/>
                      <w:sz w:val="21"/>
                      <w:szCs w:val="21"/>
                    </w:rPr>
                    <w:t>/</w:t>
                  </w:r>
                </w:p>
              </w:tc>
              <w:tc>
                <w:tcPr>
                  <w:tcW w:w="1224" w:type="dxa"/>
                  <w:vAlign w:val="center"/>
                </w:tcPr>
                <w:p w14:paraId="33BD201E">
                  <w:pPr>
                    <w:spacing w:line="240" w:lineRule="auto"/>
                    <w:ind w:firstLine="0" w:firstLineChars="0"/>
                    <w:jc w:val="center"/>
                    <w:rPr>
                      <w:rFonts w:cs="Times New Roman"/>
                      <w:sz w:val="21"/>
                      <w:szCs w:val="21"/>
                    </w:rPr>
                  </w:pPr>
                  <w:r>
                    <w:rPr>
                      <w:rFonts w:cs="Times New Roman"/>
                      <w:sz w:val="21"/>
                      <w:szCs w:val="21"/>
                    </w:rPr>
                    <w:t>/</w:t>
                  </w:r>
                </w:p>
              </w:tc>
              <w:tc>
                <w:tcPr>
                  <w:tcW w:w="993" w:type="dxa"/>
                  <w:vAlign w:val="center"/>
                </w:tcPr>
                <w:p w14:paraId="11FA7C64">
                  <w:pPr>
                    <w:spacing w:line="240" w:lineRule="auto"/>
                    <w:ind w:firstLine="0" w:firstLineChars="0"/>
                    <w:jc w:val="center"/>
                    <w:rPr>
                      <w:rFonts w:cs="Times New Roman"/>
                      <w:sz w:val="21"/>
                      <w:szCs w:val="21"/>
                    </w:rPr>
                  </w:pPr>
                  <w:r>
                    <w:rPr>
                      <w:rFonts w:cs="Times New Roman"/>
                      <w:sz w:val="21"/>
                      <w:szCs w:val="21"/>
                    </w:rPr>
                    <w:t>/</w:t>
                  </w:r>
                </w:p>
              </w:tc>
            </w:tr>
            <w:tr w14:paraId="18A1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D2D205C">
                  <w:pPr>
                    <w:spacing w:line="240" w:lineRule="auto"/>
                    <w:ind w:firstLine="0" w:firstLineChars="0"/>
                    <w:jc w:val="center"/>
                    <w:rPr>
                      <w:rFonts w:cs="Times New Roman"/>
                      <w:sz w:val="21"/>
                      <w:szCs w:val="21"/>
                    </w:rPr>
                  </w:pPr>
                  <w:r>
                    <w:rPr>
                      <w:rFonts w:cs="Times New Roman"/>
                      <w:sz w:val="21"/>
                      <w:szCs w:val="21"/>
                    </w:rPr>
                    <w:t>75</w:t>
                  </w:r>
                </w:p>
              </w:tc>
              <w:tc>
                <w:tcPr>
                  <w:tcW w:w="1199" w:type="dxa"/>
                  <w:vAlign w:val="center"/>
                </w:tcPr>
                <w:p w14:paraId="6A2F10DC">
                  <w:pPr>
                    <w:spacing w:line="240" w:lineRule="auto"/>
                    <w:ind w:firstLine="0" w:firstLineChars="0"/>
                    <w:jc w:val="center"/>
                    <w:rPr>
                      <w:rFonts w:cs="Times New Roman"/>
                      <w:sz w:val="21"/>
                      <w:szCs w:val="21"/>
                    </w:rPr>
                  </w:pPr>
                  <w:r>
                    <w:rPr>
                      <w:rFonts w:cs="Times New Roman"/>
                      <w:sz w:val="21"/>
                      <w:szCs w:val="21"/>
                    </w:rPr>
                    <w:t>0.063634</w:t>
                  </w:r>
                </w:p>
              </w:tc>
              <w:tc>
                <w:tcPr>
                  <w:tcW w:w="993" w:type="dxa"/>
                  <w:vAlign w:val="center"/>
                </w:tcPr>
                <w:p w14:paraId="766D6910">
                  <w:pPr>
                    <w:spacing w:line="240" w:lineRule="auto"/>
                    <w:ind w:firstLine="0" w:firstLineChars="0"/>
                    <w:jc w:val="center"/>
                    <w:rPr>
                      <w:rFonts w:cs="Times New Roman"/>
                      <w:sz w:val="21"/>
                      <w:szCs w:val="21"/>
                    </w:rPr>
                  </w:pPr>
                  <w:r>
                    <w:rPr>
                      <w:rFonts w:cs="Times New Roman"/>
                      <w:sz w:val="21"/>
                      <w:szCs w:val="21"/>
                    </w:rPr>
                    <w:t>7.07</w:t>
                  </w:r>
                </w:p>
              </w:tc>
              <w:tc>
                <w:tcPr>
                  <w:tcW w:w="1202" w:type="dxa"/>
                  <w:vAlign w:val="center"/>
                </w:tcPr>
                <w:p w14:paraId="42A5B291">
                  <w:pPr>
                    <w:spacing w:line="240" w:lineRule="auto"/>
                    <w:ind w:firstLine="0" w:firstLineChars="0"/>
                    <w:jc w:val="center"/>
                    <w:rPr>
                      <w:rFonts w:cs="Times New Roman"/>
                      <w:sz w:val="21"/>
                      <w:szCs w:val="21"/>
                    </w:rPr>
                  </w:pPr>
                  <w:r>
                    <w:rPr>
                      <w:rFonts w:cs="Times New Roman"/>
                      <w:sz w:val="21"/>
                      <w:szCs w:val="21"/>
                    </w:rPr>
                    <w:t>0.005671</w:t>
                  </w:r>
                </w:p>
              </w:tc>
              <w:tc>
                <w:tcPr>
                  <w:tcW w:w="993" w:type="dxa"/>
                  <w:vAlign w:val="center"/>
                </w:tcPr>
                <w:p w14:paraId="43271F03">
                  <w:pPr>
                    <w:spacing w:line="240" w:lineRule="auto"/>
                    <w:ind w:firstLine="0" w:firstLineChars="0"/>
                    <w:jc w:val="center"/>
                    <w:rPr>
                      <w:rFonts w:cs="Times New Roman"/>
                      <w:sz w:val="21"/>
                      <w:szCs w:val="21"/>
                    </w:rPr>
                  </w:pPr>
                  <w:r>
                    <w:rPr>
                      <w:rFonts w:cs="Times New Roman"/>
                      <w:sz w:val="21"/>
                      <w:szCs w:val="21"/>
                    </w:rPr>
                    <w:t>0.63</w:t>
                  </w:r>
                </w:p>
              </w:tc>
              <w:tc>
                <w:tcPr>
                  <w:tcW w:w="1212" w:type="dxa"/>
                  <w:vAlign w:val="center"/>
                </w:tcPr>
                <w:p w14:paraId="36E0D98B">
                  <w:pPr>
                    <w:spacing w:line="240" w:lineRule="auto"/>
                    <w:ind w:firstLine="0" w:firstLineChars="0"/>
                    <w:jc w:val="center"/>
                    <w:rPr>
                      <w:rFonts w:cs="Times New Roman"/>
                      <w:sz w:val="21"/>
                      <w:szCs w:val="21"/>
                    </w:rPr>
                  </w:pPr>
                  <w:r>
                    <w:rPr>
                      <w:rFonts w:cs="Times New Roman"/>
                      <w:sz w:val="21"/>
                      <w:szCs w:val="21"/>
                    </w:rPr>
                    <w:t>0.00086</w:t>
                  </w:r>
                </w:p>
              </w:tc>
              <w:tc>
                <w:tcPr>
                  <w:tcW w:w="1026" w:type="dxa"/>
                  <w:vAlign w:val="center"/>
                </w:tcPr>
                <w:p w14:paraId="1BFB345D">
                  <w:pPr>
                    <w:spacing w:line="240" w:lineRule="auto"/>
                    <w:ind w:firstLine="0" w:firstLineChars="0"/>
                    <w:jc w:val="center"/>
                    <w:rPr>
                      <w:rFonts w:cs="Times New Roman"/>
                      <w:sz w:val="21"/>
                      <w:szCs w:val="21"/>
                    </w:rPr>
                  </w:pPr>
                  <w:r>
                    <w:rPr>
                      <w:rFonts w:cs="Times New Roman"/>
                      <w:sz w:val="21"/>
                      <w:szCs w:val="21"/>
                    </w:rPr>
                    <w:t>0.1</w:t>
                  </w:r>
                </w:p>
              </w:tc>
              <w:tc>
                <w:tcPr>
                  <w:tcW w:w="1224" w:type="dxa"/>
                  <w:vAlign w:val="center"/>
                </w:tcPr>
                <w:p w14:paraId="263C97F0">
                  <w:pPr>
                    <w:spacing w:line="240" w:lineRule="auto"/>
                    <w:ind w:firstLine="0" w:firstLineChars="0"/>
                    <w:jc w:val="center"/>
                    <w:rPr>
                      <w:rFonts w:cs="Times New Roman"/>
                      <w:sz w:val="21"/>
                      <w:szCs w:val="21"/>
                    </w:rPr>
                  </w:pPr>
                  <w:r>
                    <w:rPr>
                      <w:rFonts w:cs="Times New Roman"/>
                      <w:sz w:val="21"/>
                      <w:szCs w:val="21"/>
                    </w:rPr>
                    <w:t>0.065674</w:t>
                  </w:r>
                </w:p>
              </w:tc>
              <w:tc>
                <w:tcPr>
                  <w:tcW w:w="993" w:type="dxa"/>
                  <w:vAlign w:val="center"/>
                </w:tcPr>
                <w:p w14:paraId="09CE325A">
                  <w:pPr>
                    <w:spacing w:line="240" w:lineRule="auto"/>
                    <w:ind w:firstLine="0" w:firstLineChars="0"/>
                    <w:jc w:val="center"/>
                    <w:rPr>
                      <w:rFonts w:cs="Times New Roman"/>
                      <w:sz w:val="21"/>
                      <w:szCs w:val="21"/>
                    </w:rPr>
                  </w:pPr>
                  <w:r>
                    <w:rPr>
                      <w:rFonts w:cs="Times New Roman"/>
                      <w:sz w:val="21"/>
                      <w:szCs w:val="21"/>
                    </w:rPr>
                    <w:t>7.3</w:t>
                  </w:r>
                </w:p>
              </w:tc>
            </w:tr>
            <w:tr w14:paraId="753E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11C6AFB">
                  <w:pPr>
                    <w:spacing w:line="240" w:lineRule="auto"/>
                    <w:ind w:firstLine="0" w:firstLineChars="0"/>
                    <w:jc w:val="center"/>
                    <w:rPr>
                      <w:rFonts w:cs="Times New Roman"/>
                      <w:sz w:val="21"/>
                      <w:szCs w:val="21"/>
                    </w:rPr>
                  </w:pPr>
                  <w:r>
                    <w:rPr>
                      <w:rFonts w:cs="Times New Roman"/>
                      <w:sz w:val="21"/>
                      <w:szCs w:val="21"/>
                    </w:rPr>
                    <w:t>100</w:t>
                  </w:r>
                </w:p>
              </w:tc>
              <w:tc>
                <w:tcPr>
                  <w:tcW w:w="1199" w:type="dxa"/>
                  <w:vAlign w:val="center"/>
                </w:tcPr>
                <w:p w14:paraId="4DBA90A9">
                  <w:pPr>
                    <w:spacing w:line="240" w:lineRule="auto"/>
                    <w:ind w:firstLine="0" w:firstLineChars="0"/>
                    <w:jc w:val="center"/>
                    <w:rPr>
                      <w:rFonts w:cs="Times New Roman"/>
                      <w:sz w:val="21"/>
                      <w:szCs w:val="21"/>
                    </w:rPr>
                  </w:pPr>
                  <w:r>
                    <w:rPr>
                      <w:rFonts w:cs="Times New Roman"/>
                      <w:sz w:val="21"/>
                      <w:szCs w:val="21"/>
                    </w:rPr>
                    <w:t>0.068566</w:t>
                  </w:r>
                </w:p>
              </w:tc>
              <w:tc>
                <w:tcPr>
                  <w:tcW w:w="993" w:type="dxa"/>
                  <w:vAlign w:val="center"/>
                </w:tcPr>
                <w:p w14:paraId="4FAE79FB">
                  <w:pPr>
                    <w:spacing w:line="240" w:lineRule="auto"/>
                    <w:ind w:firstLine="0" w:firstLineChars="0"/>
                    <w:jc w:val="center"/>
                    <w:rPr>
                      <w:rFonts w:cs="Times New Roman"/>
                      <w:sz w:val="21"/>
                      <w:szCs w:val="21"/>
                    </w:rPr>
                  </w:pPr>
                  <w:r>
                    <w:rPr>
                      <w:rFonts w:cs="Times New Roman"/>
                      <w:sz w:val="21"/>
                      <w:szCs w:val="21"/>
                    </w:rPr>
                    <w:t>7.62</w:t>
                  </w:r>
                </w:p>
              </w:tc>
              <w:tc>
                <w:tcPr>
                  <w:tcW w:w="1202" w:type="dxa"/>
                  <w:vAlign w:val="center"/>
                </w:tcPr>
                <w:p w14:paraId="4E6769A2">
                  <w:pPr>
                    <w:spacing w:line="240" w:lineRule="auto"/>
                    <w:ind w:firstLine="0" w:firstLineChars="0"/>
                    <w:jc w:val="center"/>
                    <w:rPr>
                      <w:rFonts w:cs="Times New Roman"/>
                      <w:sz w:val="21"/>
                      <w:szCs w:val="21"/>
                    </w:rPr>
                  </w:pPr>
                  <w:r>
                    <w:rPr>
                      <w:rFonts w:cs="Times New Roman"/>
                      <w:sz w:val="21"/>
                      <w:szCs w:val="21"/>
                    </w:rPr>
                    <w:t>0.005402</w:t>
                  </w:r>
                </w:p>
              </w:tc>
              <w:tc>
                <w:tcPr>
                  <w:tcW w:w="993" w:type="dxa"/>
                  <w:vAlign w:val="center"/>
                </w:tcPr>
                <w:p w14:paraId="670C539A">
                  <w:pPr>
                    <w:spacing w:line="240" w:lineRule="auto"/>
                    <w:ind w:firstLine="0" w:firstLineChars="0"/>
                    <w:jc w:val="center"/>
                    <w:rPr>
                      <w:rFonts w:cs="Times New Roman"/>
                      <w:sz w:val="21"/>
                      <w:szCs w:val="21"/>
                    </w:rPr>
                  </w:pPr>
                  <w:r>
                    <w:rPr>
                      <w:rFonts w:cs="Times New Roman"/>
                      <w:sz w:val="21"/>
                      <w:szCs w:val="21"/>
                    </w:rPr>
                    <w:t>0.6</w:t>
                  </w:r>
                </w:p>
              </w:tc>
              <w:tc>
                <w:tcPr>
                  <w:tcW w:w="1212" w:type="dxa"/>
                  <w:vAlign w:val="center"/>
                </w:tcPr>
                <w:p w14:paraId="26997B3C">
                  <w:pPr>
                    <w:spacing w:line="240" w:lineRule="auto"/>
                    <w:ind w:firstLine="0" w:firstLineChars="0"/>
                    <w:jc w:val="center"/>
                    <w:rPr>
                      <w:rFonts w:cs="Times New Roman"/>
                      <w:sz w:val="21"/>
                      <w:szCs w:val="21"/>
                    </w:rPr>
                  </w:pPr>
                  <w:r>
                    <w:rPr>
                      <w:rFonts w:cs="Times New Roman"/>
                      <w:sz w:val="21"/>
                      <w:szCs w:val="21"/>
                    </w:rPr>
                    <w:t>0.000951</w:t>
                  </w:r>
                </w:p>
              </w:tc>
              <w:tc>
                <w:tcPr>
                  <w:tcW w:w="1026" w:type="dxa"/>
                  <w:vAlign w:val="center"/>
                </w:tcPr>
                <w:p w14:paraId="19BD0174">
                  <w:pPr>
                    <w:spacing w:line="240" w:lineRule="auto"/>
                    <w:ind w:firstLine="0" w:firstLineChars="0"/>
                    <w:jc w:val="center"/>
                    <w:rPr>
                      <w:rFonts w:cs="Times New Roman"/>
                      <w:sz w:val="21"/>
                      <w:szCs w:val="21"/>
                    </w:rPr>
                  </w:pPr>
                  <w:r>
                    <w:rPr>
                      <w:rFonts w:cs="Times New Roman"/>
                      <w:sz w:val="21"/>
                      <w:szCs w:val="21"/>
                    </w:rPr>
                    <w:t>0.11</w:t>
                  </w:r>
                </w:p>
              </w:tc>
              <w:tc>
                <w:tcPr>
                  <w:tcW w:w="1224" w:type="dxa"/>
                  <w:vAlign w:val="center"/>
                </w:tcPr>
                <w:p w14:paraId="61E646E1">
                  <w:pPr>
                    <w:spacing w:line="240" w:lineRule="auto"/>
                    <w:ind w:firstLine="0" w:firstLineChars="0"/>
                    <w:jc w:val="center"/>
                    <w:rPr>
                      <w:rFonts w:cs="Times New Roman"/>
                      <w:sz w:val="21"/>
                      <w:szCs w:val="21"/>
                    </w:rPr>
                  </w:pPr>
                  <w:r>
                    <w:rPr>
                      <w:rFonts w:cs="Times New Roman"/>
                      <w:sz w:val="21"/>
                      <w:szCs w:val="21"/>
                    </w:rPr>
                    <w:t>0.069677</w:t>
                  </w:r>
                </w:p>
              </w:tc>
              <w:tc>
                <w:tcPr>
                  <w:tcW w:w="993" w:type="dxa"/>
                  <w:vAlign w:val="center"/>
                </w:tcPr>
                <w:p w14:paraId="241721A7">
                  <w:pPr>
                    <w:spacing w:line="240" w:lineRule="auto"/>
                    <w:ind w:firstLine="0" w:firstLineChars="0"/>
                    <w:jc w:val="center"/>
                    <w:rPr>
                      <w:rFonts w:cs="Times New Roman"/>
                      <w:sz w:val="21"/>
                      <w:szCs w:val="21"/>
                    </w:rPr>
                  </w:pPr>
                  <w:r>
                    <w:rPr>
                      <w:rFonts w:cs="Times New Roman"/>
                      <w:sz w:val="21"/>
                      <w:szCs w:val="21"/>
                    </w:rPr>
                    <w:t>7.74</w:t>
                  </w:r>
                </w:p>
              </w:tc>
            </w:tr>
            <w:tr w14:paraId="174C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54E028A">
                  <w:pPr>
                    <w:spacing w:line="240" w:lineRule="auto"/>
                    <w:ind w:firstLine="0" w:firstLineChars="0"/>
                    <w:jc w:val="center"/>
                    <w:rPr>
                      <w:rFonts w:cs="Times New Roman"/>
                      <w:b/>
                      <w:sz w:val="21"/>
                      <w:szCs w:val="21"/>
                    </w:rPr>
                  </w:pPr>
                  <w:r>
                    <w:rPr>
                      <w:rFonts w:cs="Times New Roman"/>
                      <w:b/>
                      <w:sz w:val="21"/>
                      <w:szCs w:val="21"/>
                    </w:rPr>
                    <w:t>107</w:t>
                  </w:r>
                </w:p>
              </w:tc>
              <w:tc>
                <w:tcPr>
                  <w:tcW w:w="1199" w:type="dxa"/>
                  <w:vAlign w:val="center"/>
                </w:tcPr>
                <w:p w14:paraId="6E7F8918">
                  <w:pPr>
                    <w:spacing w:line="240" w:lineRule="auto"/>
                    <w:ind w:firstLine="0" w:firstLineChars="0"/>
                    <w:jc w:val="center"/>
                    <w:rPr>
                      <w:rFonts w:cs="Times New Roman"/>
                      <w:b/>
                      <w:sz w:val="21"/>
                      <w:szCs w:val="21"/>
                    </w:rPr>
                  </w:pPr>
                  <w:r>
                    <w:rPr>
                      <w:rFonts w:cs="Times New Roman"/>
                      <w:b/>
                      <w:sz w:val="21"/>
                      <w:szCs w:val="21"/>
                    </w:rPr>
                    <w:t>/</w:t>
                  </w:r>
                </w:p>
              </w:tc>
              <w:tc>
                <w:tcPr>
                  <w:tcW w:w="993" w:type="dxa"/>
                  <w:vAlign w:val="center"/>
                </w:tcPr>
                <w:p w14:paraId="37FD0FC0">
                  <w:pPr>
                    <w:spacing w:line="240" w:lineRule="auto"/>
                    <w:ind w:firstLine="0" w:firstLineChars="0"/>
                    <w:jc w:val="center"/>
                    <w:rPr>
                      <w:rFonts w:cs="Times New Roman"/>
                      <w:b/>
                      <w:sz w:val="21"/>
                      <w:szCs w:val="21"/>
                    </w:rPr>
                  </w:pPr>
                  <w:r>
                    <w:rPr>
                      <w:rFonts w:cs="Times New Roman"/>
                      <w:b/>
                      <w:sz w:val="21"/>
                      <w:szCs w:val="21"/>
                    </w:rPr>
                    <w:t>/</w:t>
                  </w:r>
                </w:p>
              </w:tc>
              <w:tc>
                <w:tcPr>
                  <w:tcW w:w="1202" w:type="dxa"/>
                  <w:vAlign w:val="center"/>
                </w:tcPr>
                <w:p w14:paraId="41413F51">
                  <w:pPr>
                    <w:spacing w:line="240" w:lineRule="auto"/>
                    <w:ind w:firstLine="0" w:firstLineChars="0"/>
                    <w:jc w:val="center"/>
                    <w:rPr>
                      <w:rFonts w:cs="Times New Roman"/>
                      <w:b/>
                      <w:sz w:val="21"/>
                      <w:szCs w:val="21"/>
                    </w:rPr>
                  </w:pPr>
                  <w:r>
                    <w:rPr>
                      <w:rFonts w:cs="Times New Roman"/>
                      <w:b/>
                      <w:sz w:val="21"/>
                      <w:szCs w:val="21"/>
                    </w:rPr>
                    <w:t>/</w:t>
                  </w:r>
                </w:p>
              </w:tc>
              <w:tc>
                <w:tcPr>
                  <w:tcW w:w="993" w:type="dxa"/>
                  <w:vAlign w:val="center"/>
                </w:tcPr>
                <w:p w14:paraId="3AD8549B">
                  <w:pPr>
                    <w:spacing w:line="240" w:lineRule="auto"/>
                    <w:ind w:firstLine="0" w:firstLineChars="0"/>
                    <w:jc w:val="center"/>
                    <w:rPr>
                      <w:rFonts w:cs="Times New Roman"/>
                      <w:b/>
                      <w:sz w:val="21"/>
                      <w:szCs w:val="21"/>
                    </w:rPr>
                  </w:pPr>
                  <w:r>
                    <w:rPr>
                      <w:rFonts w:cs="Times New Roman"/>
                      <w:b/>
                      <w:sz w:val="21"/>
                      <w:szCs w:val="21"/>
                    </w:rPr>
                    <w:t>/</w:t>
                  </w:r>
                </w:p>
              </w:tc>
              <w:tc>
                <w:tcPr>
                  <w:tcW w:w="1212" w:type="dxa"/>
                  <w:vAlign w:val="center"/>
                </w:tcPr>
                <w:p w14:paraId="2D82F8D8">
                  <w:pPr>
                    <w:spacing w:line="240" w:lineRule="auto"/>
                    <w:ind w:firstLine="0" w:firstLineChars="0"/>
                    <w:jc w:val="center"/>
                    <w:rPr>
                      <w:rFonts w:cs="Times New Roman"/>
                      <w:b/>
                      <w:sz w:val="21"/>
                      <w:szCs w:val="21"/>
                    </w:rPr>
                  </w:pPr>
                  <w:r>
                    <w:rPr>
                      <w:rFonts w:cs="Times New Roman"/>
                      <w:b/>
                      <w:sz w:val="21"/>
                      <w:szCs w:val="21"/>
                    </w:rPr>
                    <w:t>0.000957</w:t>
                  </w:r>
                </w:p>
              </w:tc>
              <w:tc>
                <w:tcPr>
                  <w:tcW w:w="1026" w:type="dxa"/>
                  <w:vAlign w:val="center"/>
                </w:tcPr>
                <w:p w14:paraId="3232EA13">
                  <w:pPr>
                    <w:spacing w:line="240" w:lineRule="auto"/>
                    <w:ind w:firstLine="0" w:firstLineChars="0"/>
                    <w:jc w:val="center"/>
                    <w:rPr>
                      <w:rFonts w:cs="Times New Roman"/>
                      <w:b/>
                      <w:sz w:val="21"/>
                      <w:szCs w:val="21"/>
                    </w:rPr>
                  </w:pPr>
                  <w:r>
                    <w:rPr>
                      <w:rFonts w:cs="Times New Roman"/>
                      <w:b/>
                      <w:sz w:val="21"/>
                      <w:szCs w:val="21"/>
                    </w:rPr>
                    <w:t>0.11</w:t>
                  </w:r>
                </w:p>
              </w:tc>
              <w:tc>
                <w:tcPr>
                  <w:tcW w:w="1224" w:type="dxa"/>
                  <w:vAlign w:val="center"/>
                </w:tcPr>
                <w:p w14:paraId="221105D0">
                  <w:pPr>
                    <w:spacing w:line="240" w:lineRule="auto"/>
                    <w:ind w:firstLine="0" w:firstLineChars="0"/>
                    <w:jc w:val="center"/>
                    <w:rPr>
                      <w:rFonts w:cs="Times New Roman"/>
                      <w:sz w:val="21"/>
                      <w:szCs w:val="21"/>
                    </w:rPr>
                  </w:pPr>
                  <w:r>
                    <w:rPr>
                      <w:rFonts w:cs="Times New Roman"/>
                      <w:sz w:val="21"/>
                      <w:szCs w:val="21"/>
                    </w:rPr>
                    <w:t>/</w:t>
                  </w:r>
                </w:p>
              </w:tc>
              <w:tc>
                <w:tcPr>
                  <w:tcW w:w="993" w:type="dxa"/>
                  <w:vAlign w:val="center"/>
                </w:tcPr>
                <w:p w14:paraId="361E3291">
                  <w:pPr>
                    <w:spacing w:line="240" w:lineRule="auto"/>
                    <w:ind w:firstLine="0" w:firstLineChars="0"/>
                    <w:jc w:val="center"/>
                    <w:rPr>
                      <w:rFonts w:cs="Times New Roman"/>
                      <w:sz w:val="21"/>
                      <w:szCs w:val="21"/>
                    </w:rPr>
                  </w:pPr>
                  <w:r>
                    <w:rPr>
                      <w:rFonts w:cs="Times New Roman"/>
                      <w:sz w:val="21"/>
                      <w:szCs w:val="21"/>
                    </w:rPr>
                    <w:t>/</w:t>
                  </w:r>
                </w:p>
              </w:tc>
            </w:tr>
            <w:tr w14:paraId="68E3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0B854EA">
                  <w:pPr>
                    <w:spacing w:line="240" w:lineRule="auto"/>
                    <w:ind w:firstLine="0" w:firstLineChars="0"/>
                    <w:jc w:val="center"/>
                    <w:rPr>
                      <w:rFonts w:cs="Times New Roman"/>
                      <w:sz w:val="21"/>
                      <w:szCs w:val="21"/>
                    </w:rPr>
                  </w:pPr>
                  <w:r>
                    <w:rPr>
                      <w:rFonts w:cs="Times New Roman"/>
                      <w:sz w:val="21"/>
                      <w:szCs w:val="21"/>
                    </w:rPr>
                    <w:t>125</w:t>
                  </w:r>
                </w:p>
              </w:tc>
              <w:tc>
                <w:tcPr>
                  <w:tcW w:w="1199" w:type="dxa"/>
                  <w:vAlign w:val="center"/>
                </w:tcPr>
                <w:p w14:paraId="469A6C2A">
                  <w:pPr>
                    <w:spacing w:line="240" w:lineRule="auto"/>
                    <w:ind w:firstLine="0" w:firstLineChars="0"/>
                    <w:jc w:val="center"/>
                    <w:rPr>
                      <w:rFonts w:cs="Times New Roman"/>
                      <w:sz w:val="21"/>
                      <w:szCs w:val="21"/>
                    </w:rPr>
                  </w:pPr>
                  <w:r>
                    <w:rPr>
                      <w:rFonts w:cs="Times New Roman"/>
                      <w:sz w:val="21"/>
                      <w:szCs w:val="21"/>
                    </w:rPr>
                    <w:t>0.073153</w:t>
                  </w:r>
                </w:p>
              </w:tc>
              <w:tc>
                <w:tcPr>
                  <w:tcW w:w="993" w:type="dxa"/>
                  <w:vAlign w:val="center"/>
                </w:tcPr>
                <w:p w14:paraId="5E307BFD">
                  <w:pPr>
                    <w:spacing w:line="240" w:lineRule="auto"/>
                    <w:ind w:firstLine="0" w:firstLineChars="0"/>
                    <w:jc w:val="center"/>
                    <w:rPr>
                      <w:rFonts w:cs="Times New Roman"/>
                      <w:sz w:val="21"/>
                      <w:szCs w:val="21"/>
                    </w:rPr>
                  </w:pPr>
                  <w:r>
                    <w:rPr>
                      <w:rFonts w:cs="Times New Roman"/>
                      <w:sz w:val="21"/>
                      <w:szCs w:val="21"/>
                    </w:rPr>
                    <w:t>8.13</w:t>
                  </w:r>
                </w:p>
              </w:tc>
              <w:tc>
                <w:tcPr>
                  <w:tcW w:w="1202" w:type="dxa"/>
                  <w:vAlign w:val="center"/>
                </w:tcPr>
                <w:p w14:paraId="72C7D0FF">
                  <w:pPr>
                    <w:spacing w:line="240" w:lineRule="auto"/>
                    <w:ind w:firstLine="0" w:firstLineChars="0"/>
                    <w:jc w:val="center"/>
                    <w:rPr>
                      <w:rFonts w:cs="Times New Roman"/>
                      <w:sz w:val="21"/>
                      <w:szCs w:val="21"/>
                    </w:rPr>
                  </w:pPr>
                  <w:r>
                    <w:rPr>
                      <w:rFonts w:cs="Times New Roman"/>
                      <w:sz w:val="21"/>
                      <w:szCs w:val="21"/>
                    </w:rPr>
                    <w:t>0.004783</w:t>
                  </w:r>
                </w:p>
              </w:tc>
              <w:tc>
                <w:tcPr>
                  <w:tcW w:w="993" w:type="dxa"/>
                  <w:vAlign w:val="center"/>
                </w:tcPr>
                <w:p w14:paraId="4AD50723">
                  <w:pPr>
                    <w:spacing w:line="240" w:lineRule="auto"/>
                    <w:ind w:firstLine="0" w:firstLineChars="0"/>
                    <w:jc w:val="center"/>
                    <w:rPr>
                      <w:rFonts w:cs="Times New Roman"/>
                      <w:sz w:val="21"/>
                      <w:szCs w:val="21"/>
                    </w:rPr>
                  </w:pPr>
                  <w:r>
                    <w:rPr>
                      <w:rFonts w:cs="Times New Roman"/>
                      <w:sz w:val="21"/>
                      <w:szCs w:val="21"/>
                    </w:rPr>
                    <w:t>0.53</w:t>
                  </w:r>
                </w:p>
              </w:tc>
              <w:tc>
                <w:tcPr>
                  <w:tcW w:w="1212" w:type="dxa"/>
                  <w:vAlign w:val="center"/>
                </w:tcPr>
                <w:p w14:paraId="2328BAE8">
                  <w:pPr>
                    <w:spacing w:line="240" w:lineRule="auto"/>
                    <w:ind w:firstLine="0" w:firstLineChars="0"/>
                    <w:jc w:val="center"/>
                    <w:rPr>
                      <w:rFonts w:cs="Times New Roman"/>
                      <w:sz w:val="21"/>
                      <w:szCs w:val="21"/>
                    </w:rPr>
                  </w:pPr>
                  <w:r>
                    <w:rPr>
                      <w:rFonts w:cs="Times New Roman"/>
                      <w:sz w:val="21"/>
                      <w:szCs w:val="21"/>
                    </w:rPr>
                    <w:t>0.00094</w:t>
                  </w:r>
                </w:p>
              </w:tc>
              <w:tc>
                <w:tcPr>
                  <w:tcW w:w="1026" w:type="dxa"/>
                  <w:vAlign w:val="center"/>
                </w:tcPr>
                <w:p w14:paraId="3AC8D85F">
                  <w:pPr>
                    <w:spacing w:line="240" w:lineRule="auto"/>
                    <w:ind w:firstLine="0" w:firstLineChars="0"/>
                    <w:jc w:val="center"/>
                    <w:rPr>
                      <w:rFonts w:cs="Times New Roman"/>
                      <w:sz w:val="21"/>
                      <w:szCs w:val="21"/>
                    </w:rPr>
                  </w:pPr>
                  <w:r>
                    <w:rPr>
                      <w:rFonts w:cs="Times New Roman"/>
                      <w:sz w:val="21"/>
                      <w:szCs w:val="21"/>
                    </w:rPr>
                    <w:t>0.1</w:t>
                  </w:r>
                </w:p>
              </w:tc>
              <w:tc>
                <w:tcPr>
                  <w:tcW w:w="1224" w:type="dxa"/>
                  <w:vAlign w:val="center"/>
                </w:tcPr>
                <w:p w14:paraId="17E4AE19">
                  <w:pPr>
                    <w:spacing w:line="240" w:lineRule="auto"/>
                    <w:ind w:firstLine="0" w:firstLineChars="0"/>
                    <w:jc w:val="center"/>
                    <w:rPr>
                      <w:rFonts w:cs="Times New Roman"/>
                      <w:sz w:val="21"/>
                      <w:szCs w:val="21"/>
                    </w:rPr>
                  </w:pPr>
                  <w:r>
                    <w:rPr>
                      <w:rFonts w:cs="Times New Roman"/>
                      <w:sz w:val="21"/>
                      <w:szCs w:val="21"/>
                    </w:rPr>
                    <w:t>0.073423</w:t>
                  </w:r>
                </w:p>
              </w:tc>
              <w:tc>
                <w:tcPr>
                  <w:tcW w:w="993" w:type="dxa"/>
                  <w:vAlign w:val="center"/>
                </w:tcPr>
                <w:p w14:paraId="02C37421">
                  <w:pPr>
                    <w:spacing w:line="240" w:lineRule="auto"/>
                    <w:ind w:firstLine="0" w:firstLineChars="0"/>
                    <w:jc w:val="center"/>
                    <w:rPr>
                      <w:rFonts w:cs="Times New Roman"/>
                      <w:sz w:val="21"/>
                      <w:szCs w:val="21"/>
                    </w:rPr>
                  </w:pPr>
                  <w:r>
                    <w:rPr>
                      <w:rFonts w:cs="Times New Roman"/>
                      <w:sz w:val="21"/>
                      <w:szCs w:val="21"/>
                    </w:rPr>
                    <w:t>8.16</w:t>
                  </w:r>
                </w:p>
              </w:tc>
            </w:tr>
            <w:tr w14:paraId="74CF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7E32D0C">
                  <w:pPr>
                    <w:spacing w:line="240" w:lineRule="auto"/>
                    <w:ind w:firstLine="0" w:firstLineChars="0"/>
                    <w:jc w:val="center"/>
                    <w:rPr>
                      <w:rFonts w:cs="Times New Roman"/>
                      <w:sz w:val="21"/>
                      <w:szCs w:val="21"/>
                    </w:rPr>
                  </w:pPr>
                  <w:r>
                    <w:rPr>
                      <w:rFonts w:cs="Times New Roman"/>
                      <w:sz w:val="21"/>
                      <w:szCs w:val="21"/>
                    </w:rPr>
                    <w:t>150</w:t>
                  </w:r>
                </w:p>
              </w:tc>
              <w:tc>
                <w:tcPr>
                  <w:tcW w:w="1199" w:type="dxa"/>
                  <w:vAlign w:val="center"/>
                </w:tcPr>
                <w:p w14:paraId="061DDFAD">
                  <w:pPr>
                    <w:spacing w:line="240" w:lineRule="auto"/>
                    <w:ind w:firstLine="0" w:firstLineChars="0"/>
                    <w:jc w:val="center"/>
                    <w:rPr>
                      <w:rFonts w:cs="Times New Roman"/>
                      <w:sz w:val="21"/>
                      <w:szCs w:val="21"/>
                    </w:rPr>
                  </w:pPr>
                  <w:r>
                    <w:rPr>
                      <w:rFonts w:cs="Times New Roman"/>
                      <w:sz w:val="21"/>
                      <w:szCs w:val="21"/>
                    </w:rPr>
                    <w:t>0.077903</w:t>
                  </w:r>
                </w:p>
              </w:tc>
              <w:tc>
                <w:tcPr>
                  <w:tcW w:w="993" w:type="dxa"/>
                  <w:vAlign w:val="center"/>
                </w:tcPr>
                <w:p w14:paraId="00612E41">
                  <w:pPr>
                    <w:spacing w:line="240" w:lineRule="auto"/>
                    <w:ind w:firstLine="0" w:firstLineChars="0"/>
                    <w:jc w:val="center"/>
                    <w:rPr>
                      <w:rFonts w:cs="Times New Roman"/>
                      <w:sz w:val="21"/>
                      <w:szCs w:val="21"/>
                    </w:rPr>
                  </w:pPr>
                  <w:r>
                    <w:rPr>
                      <w:rFonts w:cs="Times New Roman"/>
                      <w:sz w:val="21"/>
                      <w:szCs w:val="21"/>
                    </w:rPr>
                    <w:t>8.66</w:t>
                  </w:r>
                </w:p>
              </w:tc>
              <w:tc>
                <w:tcPr>
                  <w:tcW w:w="1202" w:type="dxa"/>
                  <w:vAlign w:val="center"/>
                </w:tcPr>
                <w:p w14:paraId="5FE89B4B">
                  <w:pPr>
                    <w:spacing w:line="240" w:lineRule="auto"/>
                    <w:ind w:firstLine="0" w:firstLineChars="0"/>
                    <w:jc w:val="center"/>
                    <w:rPr>
                      <w:rFonts w:cs="Times New Roman"/>
                      <w:sz w:val="21"/>
                      <w:szCs w:val="21"/>
                    </w:rPr>
                  </w:pPr>
                  <w:r>
                    <w:rPr>
                      <w:rFonts w:cs="Times New Roman"/>
                      <w:sz w:val="21"/>
                      <w:szCs w:val="21"/>
                    </w:rPr>
                    <w:t>0.004179</w:t>
                  </w:r>
                </w:p>
              </w:tc>
              <w:tc>
                <w:tcPr>
                  <w:tcW w:w="993" w:type="dxa"/>
                  <w:vAlign w:val="center"/>
                </w:tcPr>
                <w:p w14:paraId="0DC2799B">
                  <w:pPr>
                    <w:spacing w:line="240" w:lineRule="auto"/>
                    <w:ind w:firstLine="0" w:firstLineChars="0"/>
                    <w:jc w:val="center"/>
                    <w:rPr>
                      <w:rFonts w:cs="Times New Roman"/>
                      <w:sz w:val="21"/>
                      <w:szCs w:val="21"/>
                    </w:rPr>
                  </w:pPr>
                  <w:r>
                    <w:rPr>
                      <w:rFonts w:cs="Times New Roman"/>
                      <w:sz w:val="21"/>
                      <w:szCs w:val="21"/>
                    </w:rPr>
                    <w:t>0.46</w:t>
                  </w:r>
                </w:p>
              </w:tc>
              <w:tc>
                <w:tcPr>
                  <w:tcW w:w="1212" w:type="dxa"/>
                  <w:vAlign w:val="center"/>
                </w:tcPr>
                <w:p w14:paraId="0614195F">
                  <w:pPr>
                    <w:spacing w:line="240" w:lineRule="auto"/>
                    <w:ind w:firstLine="0" w:firstLineChars="0"/>
                    <w:jc w:val="center"/>
                    <w:rPr>
                      <w:rFonts w:cs="Times New Roman"/>
                      <w:sz w:val="21"/>
                      <w:szCs w:val="21"/>
                    </w:rPr>
                  </w:pPr>
                  <w:r>
                    <w:rPr>
                      <w:rFonts w:cs="Times New Roman"/>
                      <w:sz w:val="21"/>
                      <w:szCs w:val="21"/>
                    </w:rPr>
                    <w:t>0.000894</w:t>
                  </w:r>
                </w:p>
              </w:tc>
              <w:tc>
                <w:tcPr>
                  <w:tcW w:w="1026" w:type="dxa"/>
                  <w:vAlign w:val="center"/>
                </w:tcPr>
                <w:p w14:paraId="57D7AD37">
                  <w:pPr>
                    <w:spacing w:line="240" w:lineRule="auto"/>
                    <w:ind w:firstLine="0" w:firstLineChars="0"/>
                    <w:jc w:val="center"/>
                    <w:rPr>
                      <w:rFonts w:cs="Times New Roman"/>
                      <w:sz w:val="21"/>
                      <w:szCs w:val="21"/>
                    </w:rPr>
                  </w:pPr>
                  <w:r>
                    <w:rPr>
                      <w:rFonts w:cs="Times New Roman"/>
                      <w:sz w:val="21"/>
                      <w:szCs w:val="21"/>
                    </w:rPr>
                    <w:t>0.1</w:t>
                  </w:r>
                </w:p>
              </w:tc>
              <w:tc>
                <w:tcPr>
                  <w:tcW w:w="1224" w:type="dxa"/>
                  <w:vAlign w:val="center"/>
                </w:tcPr>
                <w:p w14:paraId="16A5035B">
                  <w:pPr>
                    <w:spacing w:line="240" w:lineRule="auto"/>
                    <w:ind w:firstLine="0" w:firstLineChars="0"/>
                    <w:jc w:val="center"/>
                    <w:rPr>
                      <w:rFonts w:cs="Times New Roman"/>
                      <w:sz w:val="21"/>
                      <w:szCs w:val="21"/>
                    </w:rPr>
                  </w:pPr>
                  <w:r>
                    <w:rPr>
                      <w:rFonts w:cs="Times New Roman"/>
                      <w:sz w:val="21"/>
                      <w:szCs w:val="21"/>
                    </w:rPr>
                    <w:t>0.076984</w:t>
                  </w:r>
                </w:p>
              </w:tc>
              <w:tc>
                <w:tcPr>
                  <w:tcW w:w="993" w:type="dxa"/>
                  <w:vAlign w:val="center"/>
                </w:tcPr>
                <w:p w14:paraId="0492C5CE">
                  <w:pPr>
                    <w:spacing w:line="240" w:lineRule="auto"/>
                    <w:ind w:firstLine="0" w:firstLineChars="0"/>
                    <w:jc w:val="center"/>
                    <w:rPr>
                      <w:rFonts w:cs="Times New Roman"/>
                      <w:sz w:val="21"/>
                      <w:szCs w:val="21"/>
                    </w:rPr>
                  </w:pPr>
                  <w:r>
                    <w:rPr>
                      <w:rFonts w:cs="Times New Roman"/>
                      <w:sz w:val="21"/>
                      <w:szCs w:val="21"/>
                    </w:rPr>
                    <w:t>8.55</w:t>
                  </w:r>
                </w:p>
              </w:tc>
            </w:tr>
            <w:tr w14:paraId="45B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0A55E80">
                  <w:pPr>
                    <w:spacing w:line="240" w:lineRule="auto"/>
                    <w:ind w:firstLine="0" w:firstLineChars="0"/>
                    <w:jc w:val="center"/>
                    <w:rPr>
                      <w:rFonts w:cs="Times New Roman"/>
                      <w:b/>
                      <w:sz w:val="21"/>
                      <w:szCs w:val="21"/>
                    </w:rPr>
                  </w:pPr>
                  <w:r>
                    <w:rPr>
                      <w:rFonts w:cs="Times New Roman"/>
                      <w:b/>
                      <w:sz w:val="21"/>
                      <w:szCs w:val="21"/>
                    </w:rPr>
                    <w:t>151</w:t>
                  </w:r>
                </w:p>
              </w:tc>
              <w:tc>
                <w:tcPr>
                  <w:tcW w:w="1199" w:type="dxa"/>
                  <w:vAlign w:val="center"/>
                </w:tcPr>
                <w:p w14:paraId="4B302FB2">
                  <w:pPr>
                    <w:spacing w:line="240" w:lineRule="auto"/>
                    <w:ind w:firstLine="0" w:firstLineChars="0"/>
                    <w:jc w:val="center"/>
                    <w:rPr>
                      <w:rFonts w:cs="Times New Roman"/>
                      <w:b/>
                      <w:sz w:val="21"/>
                      <w:szCs w:val="21"/>
                    </w:rPr>
                  </w:pPr>
                  <w:r>
                    <w:rPr>
                      <w:rFonts w:cs="Times New Roman"/>
                      <w:b/>
                      <w:sz w:val="21"/>
                      <w:szCs w:val="21"/>
                    </w:rPr>
                    <w:t>0.078077</w:t>
                  </w:r>
                </w:p>
              </w:tc>
              <w:tc>
                <w:tcPr>
                  <w:tcW w:w="993" w:type="dxa"/>
                  <w:vAlign w:val="center"/>
                </w:tcPr>
                <w:p w14:paraId="5B72AD9A">
                  <w:pPr>
                    <w:spacing w:line="240" w:lineRule="auto"/>
                    <w:ind w:firstLine="0" w:firstLineChars="0"/>
                    <w:jc w:val="center"/>
                    <w:rPr>
                      <w:rFonts w:cs="Times New Roman"/>
                      <w:b/>
                      <w:sz w:val="21"/>
                      <w:szCs w:val="21"/>
                    </w:rPr>
                  </w:pPr>
                  <w:r>
                    <w:rPr>
                      <w:rFonts w:cs="Times New Roman"/>
                      <w:b/>
                      <w:sz w:val="21"/>
                      <w:szCs w:val="21"/>
                    </w:rPr>
                    <w:t>8.68</w:t>
                  </w:r>
                </w:p>
              </w:tc>
              <w:tc>
                <w:tcPr>
                  <w:tcW w:w="1202" w:type="dxa"/>
                  <w:vAlign w:val="center"/>
                </w:tcPr>
                <w:p w14:paraId="7831F87E">
                  <w:pPr>
                    <w:spacing w:line="240" w:lineRule="auto"/>
                    <w:ind w:firstLine="0" w:firstLineChars="0"/>
                    <w:jc w:val="center"/>
                    <w:rPr>
                      <w:rFonts w:cs="Times New Roman"/>
                      <w:sz w:val="21"/>
                      <w:szCs w:val="21"/>
                    </w:rPr>
                  </w:pPr>
                  <w:r>
                    <w:rPr>
                      <w:rFonts w:cs="Times New Roman"/>
                      <w:sz w:val="21"/>
                      <w:szCs w:val="21"/>
                    </w:rPr>
                    <w:t>/</w:t>
                  </w:r>
                </w:p>
              </w:tc>
              <w:tc>
                <w:tcPr>
                  <w:tcW w:w="993" w:type="dxa"/>
                  <w:vAlign w:val="center"/>
                </w:tcPr>
                <w:p w14:paraId="20C6D655">
                  <w:pPr>
                    <w:spacing w:line="240" w:lineRule="auto"/>
                    <w:ind w:firstLine="0" w:firstLineChars="0"/>
                    <w:jc w:val="center"/>
                    <w:rPr>
                      <w:rFonts w:cs="Times New Roman"/>
                      <w:sz w:val="21"/>
                      <w:szCs w:val="21"/>
                    </w:rPr>
                  </w:pPr>
                  <w:r>
                    <w:rPr>
                      <w:rFonts w:cs="Times New Roman"/>
                      <w:sz w:val="21"/>
                      <w:szCs w:val="21"/>
                    </w:rPr>
                    <w:t>/</w:t>
                  </w:r>
                </w:p>
              </w:tc>
              <w:tc>
                <w:tcPr>
                  <w:tcW w:w="1212" w:type="dxa"/>
                  <w:vAlign w:val="center"/>
                </w:tcPr>
                <w:p w14:paraId="6FAF1A83">
                  <w:pPr>
                    <w:spacing w:line="240" w:lineRule="auto"/>
                    <w:ind w:firstLine="0" w:firstLineChars="0"/>
                    <w:jc w:val="center"/>
                    <w:rPr>
                      <w:rFonts w:cs="Times New Roman"/>
                      <w:sz w:val="21"/>
                      <w:szCs w:val="21"/>
                    </w:rPr>
                  </w:pPr>
                  <w:r>
                    <w:rPr>
                      <w:rFonts w:cs="Times New Roman"/>
                      <w:sz w:val="21"/>
                      <w:szCs w:val="21"/>
                    </w:rPr>
                    <w:t>/</w:t>
                  </w:r>
                </w:p>
              </w:tc>
              <w:tc>
                <w:tcPr>
                  <w:tcW w:w="1026" w:type="dxa"/>
                  <w:vAlign w:val="center"/>
                </w:tcPr>
                <w:p w14:paraId="40C762B7">
                  <w:pPr>
                    <w:spacing w:line="240" w:lineRule="auto"/>
                    <w:ind w:firstLine="0" w:firstLineChars="0"/>
                    <w:jc w:val="center"/>
                    <w:rPr>
                      <w:rFonts w:cs="Times New Roman"/>
                      <w:sz w:val="21"/>
                      <w:szCs w:val="21"/>
                    </w:rPr>
                  </w:pPr>
                  <w:r>
                    <w:rPr>
                      <w:rFonts w:cs="Times New Roman"/>
                      <w:sz w:val="21"/>
                      <w:szCs w:val="21"/>
                    </w:rPr>
                    <w:t>/</w:t>
                  </w:r>
                </w:p>
              </w:tc>
              <w:tc>
                <w:tcPr>
                  <w:tcW w:w="1224" w:type="dxa"/>
                  <w:vAlign w:val="center"/>
                </w:tcPr>
                <w:p w14:paraId="2B814CB3">
                  <w:pPr>
                    <w:spacing w:line="240" w:lineRule="auto"/>
                    <w:ind w:firstLine="0" w:firstLineChars="0"/>
                    <w:jc w:val="center"/>
                    <w:rPr>
                      <w:rFonts w:cs="Times New Roman"/>
                      <w:sz w:val="21"/>
                      <w:szCs w:val="21"/>
                    </w:rPr>
                  </w:pPr>
                  <w:r>
                    <w:rPr>
                      <w:rFonts w:cs="Times New Roman"/>
                      <w:sz w:val="21"/>
                      <w:szCs w:val="21"/>
                    </w:rPr>
                    <w:t>/</w:t>
                  </w:r>
                </w:p>
              </w:tc>
              <w:tc>
                <w:tcPr>
                  <w:tcW w:w="993" w:type="dxa"/>
                  <w:vAlign w:val="center"/>
                </w:tcPr>
                <w:p w14:paraId="53AF3755">
                  <w:pPr>
                    <w:spacing w:line="240" w:lineRule="auto"/>
                    <w:ind w:firstLine="0" w:firstLineChars="0"/>
                    <w:jc w:val="center"/>
                    <w:rPr>
                      <w:rFonts w:cs="Times New Roman"/>
                      <w:sz w:val="21"/>
                      <w:szCs w:val="21"/>
                    </w:rPr>
                  </w:pPr>
                  <w:r>
                    <w:rPr>
                      <w:rFonts w:cs="Times New Roman"/>
                      <w:sz w:val="21"/>
                      <w:szCs w:val="21"/>
                    </w:rPr>
                    <w:t>/</w:t>
                  </w:r>
                </w:p>
              </w:tc>
            </w:tr>
            <w:tr w14:paraId="6EA5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B21F050">
                  <w:pPr>
                    <w:spacing w:line="240" w:lineRule="auto"/>
                    <w:ind w:firstLine="0" w:firstLineChars="0"/>
                    <w:jc w:val="center"/>
                    <w:rPr>
                      <w:rFonts w:cs="Times New Roman"/>
                      <w:sz w:val="21"/>
                      <w:szCs w:val="21"/>
                    </w:rPr>
                  </w:pPr>
                  <w:r>
                    <w:rPr>
                      <w:rFonts w:cs="Times New Roman"/>
                      <w:sz w:val="21"/>
                      <w:szCs w:val="21"/>
                    </w:rPr>
                    <w:t>175</w:t>
                  </w:r>
                </w:p>
              </w:tc>
              <w:tc>
                <w:tcPr>
                  <w:tcW w:w="1199" w:type="dxa"/>
                  <w:vAlign w:val="center"/>
                </w:tcPr>
                <w:p w14:paraId="2D32CF98">
                  <w:pPr>
                    <w:spacing w:line="240" w:lineRule="auto"/>
                    <w:ind w:firstLine="0" w:firstLineChars="0"/>
                    <w:jc w:val="center"/>
                    <w:rPr>
                      <w:rFonts w:cs="Times New Roman"/>
                      <w:sz w:val="21"/>
                      <w:szCs w:val="21"/>
                    </w:rPr>
                  </w:pPr>
                  <w:r>
                    <w:rPr>
                      <w:rFonts w:cs="Times New Roman"/>
                      <w:sz w:val="21"/>
                      <w:szCs w:val="21"/>
                    </w:rPr>
                    <w:t>0.075877</w:t>
                  </w:r>
                </w:p>
              </w:tc>
              <w:tc>
                <w:tcPr>
                  <w:tcW w:w="993" w:type="dxa"/>
                  <w:vAlign w:val="center"/>
                </w:tcPr>
                <w:p w14:paraId="281ECF32">
                  <w:pPr>
                    <w:spacing w:line="240" w:lineRule="auto"/>
                    <w:ind w:firstLine="0" w:firstLineChars="0"/>
                    <w:jc w:val="center"/>
                    <w:rPr>
                      <w:rFonts w:cs="Times New Roman"/>
                      <w:sz w:val="21"/>
                      <w:szCs w:val="21"/>
                    </w:rPr>
                  </w:pPr>
                  <w:r>
                    <w:rPr>
                      <w:rFonts w:cs="Times New Roman"/>
                      <w:sz w:val="21"/>
                      <w:szCs w:val="21"/>
                    </w:rPr>
                    <w:t>8.43</w:t>
                  </w:r>
                </w:p>
              </w:tc>
              <w:tc>
                <w:tcPr>
                  <w:tcW w:w="1202" w:type="dxa"/>
                  <w:vAlign w:val="center"/>
                </w:tcPr>
                <w:p w14:paraId="26633561">
                  <w:pPr>
                    <w:spacing w:line="240" w:lineRule="auto"/>
                    <w:ind w:firstLine="0" w:firstLineChars="0"/>
                    <w:jc w:val="center"/>
                    <w:rPr>
                      <w:rFonts w:cs="Times New Roman"/>
                      <w:sz w:val="21"/>
                      <w:szCs w:val="21"/>
                    </w:rPr>
                  </w:pPr>
                  <w:r>
                    <w:rPr>
                      <w:rFonts w:cs="Times New Roman"/>
                      <w:sz w:val="21"/>
                      <w:szCs w:val="21"/>
                    </w:rPr>
                    <w:t>0.003708</w:t>
                  </w:r>
                </w:p>
              </w:tc>
              <w:tc>
                <w:tcPr>
                  <w:tcW w:w="993" w:type="dxa"/>
                  <w:vAlign w:val="center"/>
                </w:tcPr>
                <w:p w14:paraId="40F05634">
                  <w:pPr>
                    <w:spacing w:line="240" w:lineRule="auto"/>
                    <w:ind w:firstLine="0" w:firstLineChars="0"/>
                    <w:jc w:val="center"/>
                    <w:rPr>
                      <w:rFonts w:cs="Times New Roman"/>
                      <w:sz w:val="21"/>
                      <w:szCs w:val="21"/>
                    </w:rPr>
                  </w:pPr>
                  <w:r>
                    <w:rPr>
                      <w:rFonts w:cs="Times New Roman"/>
                      <w:sz w:val="21"/>
                      <w:szCs w:val="21"/>
                    </w:rPr>
                    <w:t>0.41</w:t>
                  </w:r>
                </w:p>
              </w:tc>
              <w:tc>
                <w:tcPr>
                  <w:tcW w:w="1212" w:type="dxa"/>
                  <w:vAlign w:val="center"/>
                </w:tcPr>
                <w:p w14:paraId="1A729400">
                  <w:pPr>
                    <w:spacing w:line="240" w:lineRule="auto"/>
                    <w:ind w:firstLine="0" w:firstLineChars="0"/>
                    <w:jc w:val="center"/>
                    <w:rPr>
                      <w:rFonts w:cs="Times New Roman"/>
                      <w:sz w:val="21"/>
                      <w:szCs w:val="21"/>
                    </w:rPr>
                  </w:pPr>
                  <w:r>
                    <w:rPr>
                      <w:rFonts w:cs="Times New Roman"/>
                      <w:sz w:val="21"/>
                      <w:szCs w:val="21"/>
                    </w:rPr>
                    <w:t>0.000848</w:t>
                  </w:r>
                </w:p>
              </w:tc>
              <w:tc>
                <w:tcPr>
                  <w:tcW w:w="1026" w:type="dxa"/>
                  <w:vAlign w:val="center"/>
                </w:tcPr>
                <w:p w14:paraId="69F3BFF9">
                  <w:pPr>
                    <w:spacing w:line="240" w:lineRule="auto"/>
                    <w:ind w:firstLine="0" w:firstLineChars="0"/>
                    <w:jc w:val="center"/>
                    <w:rPr>
                      <w:rFonts w:cs="Times New Roman"/>
                      <w:sz w:val="21"/>
                      <w:szCs w:val="21"/>
                    </w:rPr>
                  </w:pPr>
                  <w:r>
                    <w:rPr>
                      <w:rFonts w:cs="Times New Roman"/>
                      <w:sz w:val="21"/>
                      <w:szCs w:val="21"/>
                    </w:rPr>
                    <w:t>0.09</w:t>
                  </w:r>
                </w:p>
              </w:tc>
              <w:tc>
                <w:tcPr>
                  <w:tcW w:w="1224" w:type="dxa"/>
                  <w:vAlign w:val="center"/>
                </w:tcPr>
                <w:p w14:paraId="65C98B90">
                  <w:pPr>
                    <w:spacing w:line="240" w:lineRule="auto"/>
                    <w:ind w:firstLine="0" w:firstLineChars="0"/>
                    <w:jc w:val="center"/>
                    <w:rPr>
                      <w:rFonts w:cs="Times New Roman"/>
                      <w:sz w:val="21"/>
                      <w:szCs w:val="21"/>
                    </w:rPr>
                  </w:pPr>
                  <w:r>
                    <w:rPr>
                      <w:rFonts w:cs="Times New Roman"/>
                      <w:sz w:val="21"/>
                      <w:szCs w:val="21"/>
                    </w:rPr>
                    <w:t>0.080348</w:t>
                  </w:r>
                </w:p>
              </w:tc>
              <w:tc>
                <w:tcPr>
                  <w:tcW w:w="993" w:type="dxa"/>
                  <w:vAlign w:val="center"/>
                </w:tcPr>
                <w:p w14:paraId="426D79CD">
                  <w:pPr>
                    <w:spacing w:line="240" w:lineRule="auto"/>
                    <w:ind w:firstLine="0" w:firstLineChars="0"/>
                    <w:jc w:val="center"/>
                    <w:rPr>
                      <w:rFonts w:cs="Times New Roman"/>
                      <w:sz w:val="21"/>
                      <w:szCs w:val="21"/>
                    </w:rPr>
                  </w:pPr>
                  <w:r>
                    <w:rPr>
                      <w:rFonts w:cs="Times New Roman"/>
                      <w:sz w:val="21"/>
                      <w:szCs w:val="21"/>
                    </w:rPr>
                    <w:t>8.93</w:t>
                  </w:r>
                </w:p>
              </w:tc>
            </w:tr>
            <w:tr w14:paraId="6C0A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F3AAA0C">
                  <w:pPr>
                    <w:spacing w:line="240" w:lineRule="auto"/>
                    <w:ind w:firstLine="0" w:firstLineChars="0"/>
                    <w:jc w:val="center"/>
                    <w:rPr>
                      <w:rFonts w:cs="Times New Roman"/>
                      <w:sz w:val="21"/>
                      <w:szCs w:val="21"/>
                    </w:rPr>
                  </w:pPr>
                  <w:r>
                    <w:rPr>
                      <w:rFonts w:cs="Times New Roman"/>
                      <w:sz w:val="21"/>
                      <w:szCs w:val="21"/>
                    </w:rPr>
                    <w:t>200</w:t>
                  </w:r>
                </w:p>
              </w:tc>
              <w:tc>
                <w:tcPr>
                  <w:tcW w:w="1199" w:type="dxa"/>
                  <w:vAlign w:val="center"/>
                </w:tcPr>
                <w:p w14:paraId="29E6094E">
                  <w:pPr>
                    <w:spacing w:line="240" w:lineRule="auto"/>
                    <w:ind w:firstLine="0" w:firstLineChars="0"/>
                    <w:jc w:val="center"/>
                    <w:rPr>
                      <w:rFonts w:cs="Times New Roman"/>
                      <w:sz w:val="21"/>
                      <w:szCs w:val="21"/>
                    </w:rPr>
                  </w:pPr>
                  <w:r>
                    <w:rPr>
                      <w:rFonts w:cs="Times New Roman"/>
                      <w:sz w:val="21"/>
                      <w:szCs w:val="21"/>
                    </w:rPr>
                    <w:t>0.072667</w:t>
                  </w:r>
                </w:p>
              </w:tc>
              <w:tc>
                <w:tcPr>
                  <w:tcW w:w="993" w:type="dxa"/>
                  <w:vAlign w:val="center"/>
                </w:tcPr>
                <w:p w14:paraId="691FAAA6">
                  <w:pPr>
                    <w:spacing w:line="240" w:lineRule="auto"/>
                    <w:ind w:firstLine="0" w:firstLineChars="0"/>
                    <w:jc w:val="center"/>
                    <w:rPr>
                      <w:rFonts w:cs="Times New Roman"/>
                      <w:sz w:val="21"/>
                      <w:szCs w:val="21"/>
                    </w:rPr>
                  </w:pPr>
                  <w:r>
                    <w:rPr>
                      <w:rFonts w:cs="Times New Roman"/>
                      <w:sz w:val="21"/>
                      <w:szCs w:val="21"/>
                    </w:rPr>
                    <w:t>8.07</w:t>
                  </w:r>
                </w:p>
              </w:tc>
              <w:tc>
                <w:tcPr>
                  <w:tcW w:w="1202" w:type="dxa"/>
                  <w:vAlign w:val="center"/>
                </w:tcPr>
                <w:p w14:paraId="4CBF1DA5">
                  <w:pPr>
                    <w:spacing w:line="240" w:lineRule="auto"/>
                    <w:ind w:firstLine="0" w:firstLineChars="0"/>
                    <w:jc w:val="center"/>
                    <w:rPr>
                      <w:rFonts w:cs="Times New Roman"/>
                      <w:sz w:val="21"/>
                      <w:szCs w:val="21"/>
                    </w:rPr>
                  </w:pPr>
                  <w:r>
                    <w:rPr>
                      <w:rFonts w:cs="Times New Roman"/>
                      <w:sz w:val="21"/>
                      <w:szCs w:val="21"/>
                    </w:rPr>
                    <w:t>0.003346</w:t>
                  </w:r>
                </w:p>
              </w:tc>
              <w:tc>
                <w:tcPr>
                  <w:tcW w:w="993" w:type="dxa"/>
                  <w:vAlign w:val="center"/>
                </w:tcPr>
                <w:p w14:paraId="523D9BED">
                  <w:pPr>
                    <w:spacing w:line="240" w:lineRule="auto"/>
                    <w:ind w:firstLine="0" w:firstLineChars="0"/>
                    <w:jc w:val="center"/>
                    <w:rPr>
                      <w:rFonts w:cs="Times New Roman"/>
                      <w:sz w:val="21"/>
                      <w:szCs w:val="21"/>
                    </w:rPr>
                  </w:pPr>
                  <w:r>
                    <w:rPr>
                      <w:rFonts w:cs="Times New Roman"/>
                      <w:sz w:val="21"/>
                      <w:szCs w:val="21"/>
                    </w:rPr>
                    <w:t>0.37</w:t>
                  </w:r>
                </w:p>
              </w:tc>
              <w:tc>
                <w:tcPr>
                  <w:tcW w:w="1212" w:type="dxa"/>
                  <w:vAlign w:val="center"/>
                </w:tcPr>
                <w:p w14:paraId="2C85280D">
                  <w:pPr>
                    <w:spacing w:line="240" w:lineRule="auto"/>
                    <w:ind w:firstLine="0" w:firstLineChars="0"/>
                    <w:jc w:val="center"/>
                    <w:rPr>
                      <w:rFonts w:cs="Times New Roman"/>
                      <w:sz w:val="21"/>
                      <w:szCs w:val="21"/>
                    </w:rPr>
                  </w:pPr>
                  <w:r>
                    <w:rPr>
                      <w:rFonts w:cs="Times New Roman"/>
                      <w:sz w:val="21"/>
                      <w:szCs w:val="21"/>
                    </w:rPr>
                    <w:t>0.000804</w:t>
                  </w:r>
                </w:p>
              </w:tc>
              <w:tc>
                <w:tcPr>
                  <w:tcW w:w="1026" w:type="dxa"/>
                  <w:vAlign w:val="center"/>
                </w:tcPr>
                <w:p w14:paraId="131FA65E">
                  <w:pPr>
                    <w:spacing w:line="240" w:lineRule="auto"/>
                    <w:ind w:firstLine="0" w:firstLineChars="0"/>
                    <w:jc w:val="center"/>
                    <w:rPr>
                      <w:rFonts w:cs="Times New Roman"/>
                      <w:sz w:val="21"/>
                      <w:szCs w:val="21"/>
                    </w:rPr>
                  </w:pPr>
                  <w:r>
                    <w:rPr>
                      <w:rFonts w:cs="Times New Roman"/>
                      <w:sz w:val="21"/>
                      <w:szCs w:val="21"/>
                    </w:rPr>
                    <w:t>0.09</w:t>
                  </w:r>
                </w:p>
              </w:tc>
              <w:tc>
                <w:tcPr>
                  <w:tcW w:w="1224" w:type="dxa"/>
                  <w:vAlign w:val="center"/>
                </w:tcPr>
                <w:p w14:paraId="7CA97B3B">
                  <w:pPr>
                    <w:spacing w:line="240" w:lineRule="auto"/>
                    <w:ind w:firstLine="0" w:firstLineChars="0"/>
                    <w:jc w:val="center"/>
                    <w:rPr>
                      <w:rFonts w:cs="Times New Roman"/>
                      <w:sz w:val="21"/>
                      <w:szCs w:val="21"/>
                    </w:rPr>
                  </w:pPr>
                  <w:r>
                    <w:rPr>
                      <w:rFonts w:cs="Times New Roman"/>
                      <w:sz w:val="21"/>
                      <w:szCs w:val="21"/>
                    </w:rPr>
                    <w:t>0.083585</w:t>
                  </w:r>
                </w:p>
              </w:tc>
              <w:tc>
                <w:tcPr>
                  <w:tcW w:w="993" w:type="dxa"/>
                  <w:vAlign w:val="center"/>
                </w:tcPr>
                <w:p w14:paraId="13542A62">
                  <w:pPr>
                    <w:spacing w:line="240" w:lineRule="auto"/>
                    <w:ind w:firstLine="0" w:firstLineChars="0"/>
                    <w:jc w:val="center"/>
                    <w:rPr>
                      <w:rFonts w:cs="Times New Roman"/>
                      <w:sz w:val="21"/>
                      <w:szCs w:val="21"/>
                    </w:rPr>
                  </w:pPr>
                  <w:r>
                    <w:rPr>
                      <w:rFonts w:cs="Times New Roman"/>
                      <w:sz w:val="21"/>
                      <w:szCs w:val="21"/>
                    </w:rPr>
                    <w:t>9.29</w:t>
                  </w:r>
                </w:p>
              </w:tc>
            </w:tr>
            <w:tr w14:paraId="25C8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E0E4202">
                  <w:pPr>
                    <w:spacing w:line="240" w:lineRule="auto"/>
                    <w:ind w:firstLine="0" w:firstLineChars="0"/>
                    <w:jc w:val="center"/>
                    <w:rPr>
                      <w:rFonts w:cs="Times New Roman"/>
                      <w:b/>
                      <w:sz w:val="21"/>
                      <w:szCs w:val="21"/>
                    </w:rPr>
                  </w:pPr>
                  <w:r>
                    <w:rPr>
                      <w:rFonts w:cs="Times New Roman"/>
                      <w:b/>
                      <w:sz w:val="21"/>
                      <w:szCs w:val="21"/>
                    </w:rPr>
                    <w:t>203</w:t>
                  </w:r>
                </w:p>
              </w:tc>
              <w:tc>
                <w:tcPr>
                  <w:tcW w:w="1199" w:type="dxa"/>
                  <w:vAlign w:val="center"/>
                </w:tcPr>
                <w:p w14:paraId="43DBF7A7">
                  <w:pPr>
                    <w:spacing w:line="240" w:lineRule="auto"/>
                    <w:ind w:firstLine="0" w:firstLineChars="0"/>
                    <w:jc w:val="center"/>
                    <w:rPr>
                      <w:rFonts w:cs="Times New Roman"/>
                      <w:b/>
                      <w:sz w:val="21"/>
                      <w:szCs w:val="21"/>
                    </w:rPr>
                  </w:pPr>
                  <w:r>
                    <w:rPr>
                      <w:rFonts w:cs="Times New Roman"/>
                      <w:b/>
                      <w:sz w:val="21"/>
                      <w:szCs w:val="21"/>
                    </w:rPr>
                    <w:t>/</w:t>
                  </w:r>
                </w:p>
              </w:tc>
              <w:tc>
                <w:tcPr>
                  <w:tcW w:w="993" w:type="dxa"/>
                  <w:vAlign w:val="center"/>
                </w:tcPr>
                <w:p w14:paraId="1040BF08">
                  <w:pPr>
                    <w:spacing w:line="240" w:lineRule="auto"/>
                    <w:ind w:firstLine="0" w:firstLineChars="0"/>
                    <w:jc w:val="center"/>
                    <w:rPr>
                      <w:rFonts w:cs="Times New Roman"/>
                      <w:b/>
                      <w:sz w:val="21"/>
                      <w:szCs w:val="21"/>
                    </w:rPr>
                  </w:pPr>
                  <w:r>
                    <w:rPr>
                      <w:rFonts w:cs="Times New Roman"/>
                      <w:b/>
                      <w:sz w:val="21"/>
                      <w:szCs w:val="21"/>
                    </w:rPr>
                    <w:t>/</w:t>
                  </w:r>
                </w:p>
              </w:tc>
              <w:tc>
                <w:tcPr>
                  <w:tcW w:w="1202" w:type="dxa"/>
                  <w:vAlign w:val="center"/>
                </w:tcPr>
                <w:p w14:paraId="5B0C363E">
                  <w:pPr>
                    <w:spacing w:line="240" w:lineRule="auto"/>
                    <w:ind w:firstLine="0" w:firstLineChars="0"/>
                    <w:jc w:val="center"/>
                    <w:rPr>
                      <w:rFonts w:cs="Times New Roman"/>
                      <w:b/>
                      <w:sz w:val="21"/>
                      <w:szCs w:val="21"/>
                    </w:rPr>
                  </w:pPr>
                  <w:r>
                    <w:rPr>
                      <w:rFonts w:cs="Times New Roman"/>
                      <w:b/>
                      <w:sz w:val="21"/>
                      <w:szCs w:val="21"/>
                    </w:rPr>
                    <w:t>/</w:t>
                  </w:r>
                </w:p>
              </w:tc>
              <w:tc>
                <w:tcPr>
                  <w:tcW w:w="993" w:type="dxa"/>
                  <w:vAlign w:val="center"/>
                </w:tcPr>
                <w:p w14:paraId="34AF74F2">
                  <w:pPr>
                    <w:spacing w:line="240" w:lineRule="auto"/>
                    <w:ind w:firstLine="0" w:firstLineChars="0"/>
                    <w:jc w:val="center"/>
                    <w:rPr>
                      <w:rFonts w:cs="Times New Roman"/>
                      <w:b/>
                      <w:sz w:val="21"/>
                      <w:szCs w:val="21"/>
                    </w:rPr>
                  </w:pPr>
                  <w:r>
                    <w:rPr>
                      <w:rFonts w:cs="Times New Roman"/>
                      <w:b/>
                      <w:sz w:val="21"/>
                      <w:szCs w:val="21"/>
                    </w:rPr>
                    <w:t>/</w:t>
                  </w:r>
                </w:p>
              </w:tc>
              <w:tc>
                <w:tcPr>
                  <w:tcW w:w="1212" w:type="dxa"/>
                  <w:vAlign w:val="center"/>
                </w:tcPr>
                <w:p w14:paraId="4C7AB6BF">
                  <w:pPr>
                    <w:spacing w:line="240" w:lineRule="auto"/>
                    <w:ind w:firstLine="0" w:firstLineChars="0"/>
                    <w:jc w:val="center"/>
                    <w:rPr>
                      <w:rFonts w:cs="Times New Roman"/>
                      <w:b/>
                      <w:sz w:val="21"/>
                      <w:szCs w:val="21"/>
                    </w:rPr>
                  </w:pPr>
                  <w:r>
                    <w:rPr>
                      <w:rFonts w:cs="Times New Roman"/>
                      <w:b/>
                      <w:sz w:val="21"/>
                      <w:szCs w:val="21"/>
                    </w:rPr>
                    <w:t>/</w:t>
                  </w:r>
                </w:p>
              </w:tc>
              <w:tc>
                <w:tcPr>
                  <w:tcW w:w="1026" w:type="dxa"/>
                  <w:vAlign w:val="center"/>
                </w:tcPr>
                <w:p w14:paraId="7EC31E45">
                  <w:pPr>
                    <w:spacing w:line="240" w:lineRule="auto"/>
                    <w:ind w:firstLine="0" w:firstLineChars="0"/>
                    <w:jc w:val="center"/>
                    <w:rPr>
                      <w:rFonts w:cs="Times New Roman"/>
                      <w:b/>
                      <w:sz w:val="21"/>
                      <w:szCs w:val="21"/>
                    </w:rPr>
                  </w:pPr>
                  <w:r>
                    <w:rPr>
                      <w:rFonts w:cs="Times New Roman"/>
                      <w:b/>
                      <w:sz w:val="21"/>
                      <w:szCs w:val="21"/>
                    </w:rPr>
                    <w:t>/</w:t>
                  </w:r>
                </w:p>
              </w:tc>
              <w:tc>
                <w:tcPr>
                  <w:tcW w:w="1224" w:type="dxa"/>
                  <w:vAlign w:val="center"/>
                </w:tcPr>
                <w:p w14:paraId="1695A03E">
                  <w:pPr>
                    <w:spacing w:line="240" w:lineRule="auto"/>
                    <w:ind w:firstLine="0" w:firstLineChars="0"/>
                    <w:jc w:val="center"/>
                    <w:rPr>
                      <w:rFonts w:cs="Times New Roman"/>
                      <w:b/>
                      <w:sz w:val="21"/>
                      <w:szCs w:val="21"/>
                    </w:rPr>
                  </w:pPr>
                  <w:r>
                    <w:rPr>
                      <w:rFonts w:cs="Times New Roman"/>
                      <w:b/>
                      <w:sz w:val="21"/>
                      <w:szCs w:val="21"/>
                    </w:rPr>
                    <w:t>0.083946</w:t>
                  </w:r>
                </w:p>
              </w:tc>
              <w:tc>
                <w:tcPr>
                  <w:tcW w:w="993" w:type="dxa"/>
                  <w:vAlign w:val="center"/>
                </w:tcPr>
                <w:p w14:paraId="69BE5D98">
                  <w:pPr>
                    <w:spacing w:line="240" w:lineRule="auto"/>
                    <w:ind w:firstLine="0" w:firstLineChars="0"/>
                    <w:jc w:val="center"/>
                    <w:rPr>
                      <w:rFonts w:cs="Times New Roman"/>
                      <w:b/>
                      <w:sz w:val="21"/>
                      <w:szCs w:val="21"/>
                    </w:rPr>
                  </w:pPr>
                  <w:r>
                    <w:rPr>
                      <w:rFonts w:cs="Times New Roman"/>
                      <w:b/>
                      <w:sz w:val="21"/>
                      <w:szCs w:val="21"/>
                    </w:rPr>
                    <w:t>9.33</w:t>
                  </w:r>
                </w:p>
              </w:tc>
            </w:tr>
            <w:tr w14:paraId="69D3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6FA747A">
                  <w:pPr>
                    <w:spacing w:line="240" w:lineRule="auto"/>
                    <w:ind w:firstLine="0" w:firstLineChars="0"/>
                    <w:jc w:val="center"/>
                    <w:rPr>
                      <w:rFonts w:cs="Times New Roman"/>
                      <w:sz w:val="21"/>
                      <w:szCs w:val="21"/>
                    </w:rPr>
                  </w:pPr>
                  <w:r>
                    <w:rPr>
                      <w:rFonts w:cs="Times New Roman"/>
                      <w:sz w:val="21"/>
                      <w:szCs w:val="21"/>
                    </w:rPr>
                    <w:t>225</w:t>
                  </w:r>
                </w:p>
              </w:tc>
              <w:tc>
                <w:tcPr>
                  <w:tcW w:w="1199" w:type="dxa"/>
                  <w:vAlign w:val="center"/>
                </w:tcPr>
                <w:p w14:paraId="71B07051">
                  <w:pPr>
                    <w:spacing w:line="240" w:lineRule="auto"/>
                    <w:ind w:firstLine="0" w:firstLineChars="0"/>
                    <w:jc w:val="center"/>
                    <w:rPr>
                      <w:rFonts w:cs="Times New Roman"/>
                      <w:sz w:val="21"/>
                      <w:szCs w:val="21"/>
                    </w:rPr>
                  </w:pPr>
                  <w:r>
                    <w:rPr>
                      <w:rFonts w:cs="Times New Roman"/>
                      <w:sz w:val="21"/>
                      <w:szCs w:val="21"/>
                    </w:rPr>
                    <w:t>0.068658</w:t>
                  </w:r>
                </w:p>
              </w:tc>
              <w:tc>
                <w:tcPr>
                  <w:tcW w:w="993" w:type="dxa"/>
                  <w:vAlign w:val="center"/>
                </w:tcPr>
                <w:p w14:paraId="563A8131">
                  <w:pPr>
                    <w:spacing w:line="240" w:lineRule="auto"/>
                    <w:ind w:firstLine="0" w:firstLineChars="0"/>
                    <w:jc w:val="center"/>
                    <w:rPr>
                      <w:rFonts w:cs="Times New Roman"/>
                      <w:sz w:val="21"/>
                      <w:szCs w:val="21"/>
                    </w:rPr>
                  </w:pPr>
                  <w:r>
                    <w:rPr>
                      <w:rFonts w:cs="Times New Roman"/>
                      <w:sz w:val="21"/>
                      <w:szCs w:val="21"/>
                    </w:rPr>
                    <w:t>7.63</w:t>
                  </w:r>
                </w:p>
              </w:tc>
              <w:tc>
                <w:tcPr>
                  <w:tcW w:w="1202" w:type="dxa"/>
                  <w:vAlign w:val="center"/>
                </w:tcPr>
                <w:p w14:paraId="39F2E332">
                  <w:pPr>
                    <w:spacing w:line="240" w:lineRule="auto"/>
                    <w:ind w:firstLine="0" w:firstLineChars="0"/>
                    <w:jc w:val="center"/>
                    <w:rPr>
                      <w:rFonts w:cs="Times New Roman"/>
                      <w:sz w:val="21"/>
                      <w:szCs w:val="21"/>
                    </w:rPr>
                  </w:pPr>
                  <w:r>
                    <w:rPr>
                      <w:rFonts w:cs="Times New Roman"/>
                      <w:sz w:val="21"/>
                      <w:szCs w:val="21"/>
                    </w:rPr>
                    <w:t>0.00305</w:t>
                  </w:r>
                </w:p>
              </w:tc>
              <w:tc>
                <w:tcPr>
                  <w:tcW w:w="993" w:type="dxa"/>
                  <w:vAlign w:val="center"/>
                </w:tcPr>
                <w:p w14:paraId="6F120776">
                  <w:pPr>
                    <w:spacing w:line="240" w:lineRule="auto"/>
                    <w:ind w:firstLine="0" w:firstLineChars="0"/>
                    <w:jc w:val="center"/>
                    <w:rPr>
                      <w:rFonts w:cs="Times New Roman"/>
                      <w:sz w:val="21"/>
                      <w:szCs w:val="21"/>
                    </w:rPr>
                  </w:pPr>
                  <w:r>
                    <w:rPr>
                      <w:rFonts w:cs="Times New Roman"/>
                      <w:sz w:val="21"/>
                      <w:szCs w:val="21"/>
                    </w:rPr>
                    <w:t>0.34</w:t>
                  </w:r>
                </w:p>
              </w:tc>
              <w:tc>
                <w:tcPr>
                  <w:tcW w:w="1212" w:type="dxa"/>
                  <w:vAlign w:val="center"/>
                </w:tcPr>
                <w:p w14:paraId="53F1DE53">
                  <w:pPr>
                    <w:spacing w:line="240" w:lineRule="auto"/>
                    <w:ind w:firstLine="0" w:firstLineChars="0"/>
                    <w:jc w:val="center"/>
                    <w:rPr>
                      <w:rFonts w:cs="Times New Roman"/>
                      <w:sz w:val="21"/>
                      <w:szCs w:val="21"/>
                    </w:rPr>
                  </w:pPr>
                  <w:r>
                    <w:rPr>
                      <w:rFonts w:cs="Times New Roman"/>
                      <w:sz w:val="21"/>
                      <w:szCs w:val="21"/>
                    </w:rPr>
                    <w:t>0.000764</w:t>
                  </w:r>
                </w:p>
              </w:tc>
              <w:tc>
                <w:tcPr>
                  <w:tcW w:w="1026" w:type="dxa"/>
                  <w:vAlign w:val="center"/>
                </w:tcPr>
                <w:p w14:paraId="7997488B">
                  <w:pPr>
                    <w:spacing w:line="240" w:lineRule="auto"/>
                    <w:ind w:firstLine="0" w:firstLineChars="0"/>
                    <w:jc w:val="center"/>
                    <w:rPr>
                      <w:rFonts w:cs="Times New Roman"/>
                      <w:sz w:val="21"/>
                      <w:szCs w:val="21"/>
                    </w:rPr>
                  </w:pPr>
                  <w:r>
                    <w:rPr>
                      <w:rFonts w:cs="Times New Roman"/>
                      <w:sz w:val="21"/>
                      <w:szCs w:val="21"/>
                    </w:rPr>
                    <w:t>0.08</w:t>
                  </w:r>
                </w:p>
              </w:tc>
              <w:tc>
                <w:tcPr>
                  <w:tcW w:w="1224" w:type="dxa"/>
                  <w:vAlign w:val="center"/>
                </w:tcPr>
                <w:p w14:paraId="2AC7CB3B">
                  <w:pPr>
                    <w:spacing w:line="240" w:lineRule="auto"/>
                    <w:ind w:firstLine="0" w:firstLineChars="0"/>
                    <w:jc w:val="center"/>
                    <w:rPr>
                      <w:rFonts w:cs="Times New Roman"/>
                      <w:sz w:val="21"/>
                      <w:szCs w:val="21"/>
                    </w:rPr>
                  </w:pPr>
                  <w:r>
                    <w:rPr>
                      <w:rFonts w:cs="Times New Roman"/>
                      <w:sz w:val="21"/>
                      <w:szCs w:val="21"/>
                    </w:rPr>
                    <w:t>0.080155</w:t>
                  </w:r>
                </w:p>
              </w:tc>
              <w:tc>
                <w:tcPr>
                  <w:tcW w:w="993" w:type="dxa"/>
                  <w:vAlign w:val="center"/>
                </w:tcPr>
                <w:p w14:paraId="2001F05C">
                  <w:pPr>
                    <w:spacing w:line="240" w:lineRule="auto"/>
                    <w:ind w:firstLine="0" w:firstLineChars="0"/>
                    <w:jc w:val="center"/>
                    <w:rPr>
                      <w:rFonts w:cs="Times New Roman"/>
                      <w:sz w:val="21"/>
                      <w:szCs w:val="21"/>
                    </w:rPr>
                  </w:pPr>
                  <w:r>
                    <w:rPr>
                      <w:rFonts w:cs="Times New Roman"/>
                      <w:sz w:val="21"/>
                      <w:szCs w:val="21"/>
                    </w:rPr>
                    <w:t>8.91</w:t>
                  </w:r>
                </w:p>
              </w:tc>
            </w:tr>
            <w:tr w14:paraId="7EAE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AC91A34">
                  <w:pPr>
                    <w:spacing w:line="240" w:lineRule="auto"/>
                    <w:ind w:firstLine="0" w:firstLineChars="0"/>
                    <w:jc w:val="center"/>
                    <w:rPr>
                      <w:rFonts w:cs="Times New Roman"/>
                      <w:sz w:val="21"/>
                      <w:szCs w:val="21"/>
                    </w:rPr>
                  </w:pPr>
                  <w:r>
                    <w:rPr>
                      <w:rFonts w:cs="Times New Roman"/>
                      <w:sz w:val="21"/>
                      <w:szCs w:val="21"/>
                    </w:rPr>
                    <w:t>250</w:t>
                  </w:r>
                </w:p>
              </w:tc>
              <w:tc>
                <w:tcPr>
                  <w:tcW w:w="1199" w:type="dxa"/>
                  <w:vAlign w:val="center"/>
                </w:tcPr>
                <w:p w14:paraId="6EA22921">
                  <w:pPr>
                    <w:spacing w:line="240" w:lineRule="auto"/>
                    <w:ind w:firstLine="0" w:firstLineChars="0"/>
                    <w:jc w:val="center"/>
                    <w:rPr>
                      <w:rFonts w:cs="Times New Roman"/>
                      <w:sz w:val="21"/>
                      <w:szCs w:val="21"/>
                    </w:rPr>
                  </w:pPr>
                  <w:r>
                    <w:rPr>
                      <w:rFonts w:cs="Times New Roman"/>
                      <w:sz w:val="21"/>
                      <w:szCs w:val="21"/>
                    </w:rPr>
                    <w:t>0.062568</w:t>
                  </w:r>
                </w:p>
              </w:tc>
              <w:tc>
                <w:tcPr>
                  <w:tcW w:w="993" w:type="dxa"/>
                  <w:vAlign w:val="center"/>
                </w:tcPr>
                <w:p w14:paraId="245EDAA8">
                  <w:pPr>
                    <w:spacing w:line="240" w:lineRule="auto"/>
                    <w:ind w:firstLine="0" w:firstLineChars="0"/>
                    <w:jc w:val="center"/>
                    <w:rPr>
                      <w:rFonts w:cs="Times New Roman"/>
                      <w:sz w:val="21"/>
                      <w:szCs w:val="21"/>
                    </w:rPr>
                  </w:pPr>
                  <w:r>
                    <w:rPr>
                      <w:rFonts w:cs="Times New Roman"/>
                      <w:sz w:val="21"/>
                      <w:szCs w:val="21"/>
                    </w:rPr>
                    <w:t>6.95</w:t>
                  </w:r>
                </w:p>
              </w:tc>
              <w:tc>
                <w:tcPr>
                  <w:tcW w:w="1202" w:type="dxa"/>
                  <w:vAlign w:val="center"/>
                </w:tcPr>
                <w:p w14:paraId="052C1C8A">
                  <w:pPr>
                    <w:spacing w:line="240" w:lineRule="auto"/>
                    <w:ind w:firstLine="0" w:firstLineChars="0"/>
                    <w:jc w:val="center"/>
                    <w:rPr>
                      <w:rFonts w:cs="Times New Roman"/>
                      <w:sz w:val="21"/>
                      <w:szCs w:val="21"/>
                    </w:rPr>
                  </w:pPr>
                  <w:r>
                    <w:rPr>
                      <w:rFonts w:cs="Times New Roman"/>
                      <w:sz w:val="21"/>
                      <w:szCs w:val="21"/>
                    </w:rPr>
                    <w:t>0.002825</w:t>
                  </w:r>
                </w:p>
              </w:tc>
              <w:tc>
                <w:tcPr>
                  <w:tcW w:w="993" w:type="dxa"/>
                  <w:vAlign w:val="center"/>
                </w:tcPr>
                <w:p w14:paraId="4FAFFB1A">
                  <w:pPr>
                    <w:spacing w:line="240" w:lineRule="auto"/>
                    <w:ind w:firstLine="0" w:firstLineChars="0"/>
                    <w:jc w:val="center"/>
                    <w:rPr>
                      <w:rFonts w:cs="Times New Roman"/>
                      <w:sz w:val="21"/>
                      <w:szCs w:val="21"/>
                    </w:rPr>
                  </w:pPr>
                  <w:r>
                    <w:rPr>
                      <w:rFonts w:cs="Times New Roman"/>
                      <w:sz w:val="21"/>
                      <w:szCs w:val="21"/>
                    </w:rPr>
                    <w:t>0.31</w:t>
                  </w:r>
                </w:p>
              </w:tc>
              <w:tc>
                <w:tcPr>
                  <w:tcW w:w="1212" w:type="dxa"/>
                  <w:vAlign w:val="center"/>
                </w:tcPr>
                <w:p w14:paraId="08CBA22D">
                  <w:pPr>
                    <w:spacing w:line="240" w:lineRule="auto"/>
                    <w:ind w:firstLine="0" w:firstLineChars="0"/>
                    <w:jc w:val="center"/>
                    <w:rPr>
                      <w:rFonts w:cs="Times New Roman"/>
                      <w:sz w:val="21"/>
                      <w:szCs w:val="21"/>
                    </w:rPr>
                  </w:pPr>
                  <w:r>
                    <w:rPr>
                      <w:rFonts w:cs="Times New Roman"/>
                      <w:sz w:val="21"/>
                      <w:szCs w:val="21"/>
                    </w:rPr>
                    <w:t>0.000726</w:t>
                  </w:r>
                </w:p>
              </w:tc>
              <w:tc>
                <w:tcPr>
                  <w:tcW w:w="1026" w:type="dxa"/>
                  <w:vAlign w:val="center"/>
                </w:tcPr>
                <w:p w14:paraId="54EC5F69">
                  <w:pPr>
                    <w:spacing w:line="240" w:lineRule="auto"/>
                    <w:ind w:firstLine="0" w:firstLineChars="0"/>
                    <w:jc w:val="center"/>
                    <w:rPr>
                      <w:rFonts w:cs="Times New Roman"/>
                      <w:sz w:val="21"/>
                      <w:szCs w:val="21"/>
                    </w:rPr>
                  </w:pPr>
                  <w:r>
                    <w:rPr>
                      <w:rFonts w:cs="Times New Roman"/>
                      <w:sz w:val="21"/>
                      <w:szCs w:val="21"/>
                    </w:rPr>
                    <w:t>0.08</w:t>
                  </w:r>
                </w:p>
              </w:tc>
              <w:tc>
                <w:tcPr>
                  <w:tcW w:w="1224" w:type="dxa"/>
                  <w:vAlign w:val="center"/>
                </w:tcPr>
                <w:p w14:paraId="43F226EE">
                  <w:pPr>
                    <w:spacing w:line="240" w:lineRule="auto"/>
                    <w:ind w:firstLine="0" w:firstLineChars="0"/>
                    <w:jc w:val="center"/>
                    <w:rPr>
                      <w:rFonts w:cs="Times New Roman"/>
                      <w:sz w:val="21"/>
                      <w:szCs w:val="21"/>
                    </w:rPr>
                  </w:pPr>
                  <w:r>
                    <w:rPr>
                      <w:rFonts w:cs="Times New Roman"/>
                      <w:sz w:val="21"/>
                      <w:szCs w:val="21"/>
                    </w:rPr>
                    <w:t>0.076446</w:t>
                  </w:r>
                </w:p>
              </w:tc>
              <w:tc>
                <w:tcPr>
                  <w:tcW w:w="993" w:type="dxa"/>
                  <w:vAlign w:val="center"/>
                </w:tcPr>
                <w:p w14:paraId="474EB54A">
                  <w:pPr>
                    <w:spacing w:line="240" w:lineRule="auto"/>
                    <w:ind w:firstLine="0" w:firstLineChars="0"/>
                    <w:jc w:val="center"/>
                    <w:rPr>
                      <w:rFonts w:cs="Times New Roman"/>
                      <w:sz w:val="21"/>
                      <w:szCs w:val="21"/>
                    </w:rPr>
                  </w:pPr>
                  <w:r>
                    <w:rPr>
                      <w:rFonts w:cs="Times New Roman"/>
                      <w:sz w:val="21"/>
                      <w:szCs w:val="21"/>
                    </w:rPr>
                    <w:t>8.49</w:t>
                  </w:r>
                </w:p>
              </w:tc>
            </w:tr>
            <w:tr w14:paraId="12BB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26AAF51">
                  <w:pPr>
                    <w:spacing w:line="240" w:lineRule="auto"/>
                    <w:ind w:firstLine="0" w:firstLineChars="0"/>
                    <w:jc w:val="center"/>
                    <w:rPr>
                      <w:rFonts w:cs="Times New Roman"/>
                      <w:sz w:val="21"/>
                      <w:szCs w:val="21"/>
                    </w:rPr>
                  </w:pPr>
                  <w:r>
                    <w:rPr>
                      <w:rFonts w:cs="Times New Roman"/>
                      <w:sz w:val="21"/>
                      <w:szCs w:val="21"/>
                    </w:rPr>
                    <w:t>275</w:t>
                  </w:r>
                </w:p>
              </w:tc>
              <w:tc>
                <w:tcPr>
                  <w:tcW w:w="1199" w:type="dxa"/>
                  <w:vAlign w:val="center"/>
                </w:tcPr>
                <w:p w14:paraId="600ADD86">
                  <w:pPr>
                    <w:spacing w:line="240" w:lineRule="auto"/>
                    <w:ind w:firstLine="0" w:firstLineChars="0"/>
                    <w:jc w:val="center"/>
                    <w:rPr>
                      <w:rFonts w:cs="Times New Roman"/>
                      <w:sz w:val="21"/>
                      <w:szCs w:val="21"/>
                    </w:rPr>
                  </w:pPr>
                  <w:r>
                    <w:rPr>
                      <w:rFonts w:cs="Times New Roman"/>
                      <w:sz w:val="21"/>
                      <w:szCs w:val="21"/>
                    </w:rPr>
                    <w:t>0.057685</w:t>
                  </w:r>
                </w:p>
              </w:tc>
              <w:tc>
                <w:tcPr>
                  <w:tcW w:w="993" w:type="dxa"/>
                  <w:vAlign w:val="center"/>
                </w:tcPr>
                <w:p w14:paraId="175B72BE">
                  <w:pPr>
                    <w:spacing w:line="240" w:lineRule="auto"/>
                    <w:ind w:firstLine="0" w:firstLineChars="0"/>
                    <w:jc w:val="center"/>
                    <w:rPr>
                      <w:rFonts w:cs="Times New Roman"/>
                      <w:sz w:val="21"/>
                      <w:szCs w:val="21"/>
                    </w:rPr>
                  </w:pPr>
                  <w:r>
                    <w:rPr>
                      <w:rFonts w:cs="Times New Roman"/>
                      <w:sz w:val="21"/>
                      <w:szCs w:val="21"/>
                    </w:rPr>
                    <w:t>6.41</w:t>
                  </w:r>
                </w:p>
              </w:tc>
              <w:tc>
                <w:tcPr>
                  <w:tcW w:w="1202" w:type="dxa"/>
                  <w:vAlign w:val="center"/>
                </w:tcPr>
                <w:p w14:paraId="01009F90">
                  <w:pPr>
                    <w:spacing w:line="240" w:lineRule="auto"/>
                    <w:ind w:firstLine="0" w:firstLineChars="0"/>
                    <w:jc w:val="center"/>
                    <w:rPr>
                      <w:rFonts w:cs="Times New Roman"/>
                      <w:sz w:val="21"/>
                      <w:szCs w:val="21"/>
                    </w:rPr>
                  </w:pPr>
                  <w:r>
                    <w:rPr>
                      <w:rFonts w:cs="Times New Roman"/>
                      <w:sz w:val="21"/>
                      <w:szCs w:val="21"/>
                    </w:rPr>
                    <w:t>0.002638</w:t>
                  </w:r>
                </w:p>
              </w:tc>
              <w:tc>
                <w:tcPr>
                  <w:tcW w:w="993" w:type="dxa"/>
                  <w:vAlign w:val="center"/>
                </w:tcPr>
                <w:p w14:paraId="4F8B1B95">
                  <w:pPr>
                    <w:spacing w:line="240" w:lineRule="auto"/>
                    <w:ind w:firstLine="0" w:firstLineChars="0"/>
                    <w:jc w:val="center"/>
                    <w:rPr>
                      <w:rFonts w:cs="Times New Roman"/>
                      <w:sz w:val="21"/>
                      <w:szCs w:val="21"/>
                    </w:rPr>
                  </w:pPr>
                  <w:r>
                    <w:rPr>
                      <w:rFonts w:cs="Times New Roman"/>
                      <w:sz w:val="21"/>
                      <w:szCs w:val="21"/>
                    </w:rPr>
                    <w:t>0.29</w:t>
                  </w:r>
                </w:p>
              </w:tc>
              <w:tc>
                <w:tcPr>
                  <w:tcW w:w="1212" w:type="dxa"/>
                  <w:vAlign w:val="center"/>
                </w:tcPr>
                <w:p w14:paraId="48CE2505">
                  <w:pPr>
                    <w:spacing w:line="240" w:lineRule="auto"/>
                    <w:ind w:firstLine="0" w:firstLineChars="0"/>
                    <w:jc w:val="center"/>
                    <w:rPr>
                      <w:rFonts w:cs="Times New Roman"/>
                      <w:sz w:val="21"/>
                      <w:szCs w:val="21"/>
                    </w:rPr>
                  </w:pPr>
                  <w:r>
                    <w:rPr>
                      <w:rFonts w:cs="Times New Roman"/>
                      <w:sz w:val="21"/>
                      <w:szCs w:val="21"/>
                    </w:rPr>
                    <w:t>0.000692</w:t>
                  </w:r>
                </w:p>
              </w:tc>
              <w:tc>
                <w:tcPr>
                  <w:tcW w:w="1026" w:type="dxa"/>
                  <w:vAlign w:val="center"/>
                </w:tcPr>
                <w:p w14:paraId="6995B9DD">
                  <w:pPr>
                    <w:spacing w:line="240" w:lineRule="auto"/>
                    <w:ind w:firstLine="0" w:firstLineChars="0"/>
                    <w:jc w:val="center"/>
                    <w:rPr>
                      <w:rFonts w:cs="Times New Roman"/>
                      <w:sz w:val="21"/>
                      <w:szCs w:val="21"/>
                    </w:rPr>
                  </w:pPr>
                  <w:r>
                    <w:rPr>
                      <w:rFonts w:cs="Times New Roman"/>
                      <w:sz w:val="21"/>
                      <w:szCs w:val="21"/>
                    </w:rPr>
                    <w:t>0.08</w:t>
                  </w:r>
                </w:p>
              </w:tc>
              <w:tc>
                <w:tcPr>
                  <w:tcW w:w="1224" w:type="dxa"/>
                  <w:vAlign w:val="center"/>
                </w:tcPr>
                <w:p w14:paraId="0ACB67C8">
                  <w:pPr>
                    <w:spacing w:line="240" w:lineRule="auto"/>
                    <w:ind w:firstLine="0" w:firstLineChars="0"/>
                    <w:jc w:val="center"/>
                    <w:rPr>
                      <w:rFonts w:cs="Times New Roman"/>
                      <w:sz w:val="21"/>
                      <w:szCs w:val="21"/>
                    </w:rPr>
                  </w:pPr>
                  <w:r>
                    <w:rPr>
                      <w:rFonts w:cs="Times New Roman"/>
                      <w:sz w:val="21"/>
                      <w:szCs w:val="21"/>
                    </w:rPr>
                    <w:t>0.073129</w:t>
                  </w:r>
                </w:p>
              </w:tc>
              <w:tc>
                <w:tcPr>
                  <w:tcW w:w="993" w:type="dxa"/>
                  <w:vAlign w:val="center"/>
                </w:tcPr>
                <w:p w14:paraId="79967051">
                  <w:pPr>
                    <w:spacing w:line="240" w:lineRule="auto"/>
                    <w:ind w:firstLine="0" w:firstLineChars="0"/>
                    <w:jc w:val="center"/>
                    <w:rPr>
                      <w:rFonts w:cs="Times New Roman"/>
                      <w:sz w:val="21"/>
                      <w:szCs w:val="21"/>
                    </w:rPr>
                  </w:pPr>
                  <w:r>
                    <w:rPr>
                      <w:rFonts w:cs="Times New Roman"/>
                      <w:sz w:val="21"/>
                      <w:szCs w:val="21"/>
                    </w:rPr>
                    <w:t>8.13</w:t>
                  </w:r>
                </w:p>
              </w:tc>
            </w:tr>
            <w:tr w14:paraId="0ACF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4B4A652">
                  <w:pPr>
                    <w:spacing w:line="240" w:lineRule="auto"/>
                    <w:ind w:firstLine="0" w:firstLineChars="0"/>
                    <w:jc w:val="center"/>
                    <w:rPr>
                      <w:rFonts w:cs="Times New Roman"/>
                      <w:sz w:val="21"/>
                      <w:szCs w:val="21"/>
                    </w:rPr>
                  </w:pPr>
                  <w:r>
                    <w:rPr>
                      <w:rFonts w:cs="Times New Roman"/>
                      <w:sz w:val="21"/>
                      <w:szCs w:val="21"/>
                    </w:rPr>
                    <w:t>300</w:t>
                  </w:r>
                </w:p>
              </w:tc>
              <w:tc>
                <w:tcPr>
                  <w:tcW w:w="1199" w:type="dxa"/>
                  <w:vAlign w:val="center"/>
                </w:tcPr>
                <w:p w14:paraId="207C2589">
                  <w:pPr>
                    <w:spacing w:line="240" w:lineRule="auto"/>
                    <w:ind w:firstLine="0" w:firstLineChars="0"/>
                    <w:jc w:val="center"/>
                    <w:rPr>
                      <w:rFonts w:cs="Times New Roman"/>
                      <w:sz w:val="21"/>
                      <w:szCs w:val="21"/>
                    </w:rPr>
                  </w:pPr>
                  <w:r>
                    <w:rPr>
                      <w:rFonts w:cs="Times New Roman"/>
                      <w:sz w:val="21"/>
                      <w:szCs w:val="21"/>
                    </w:rPr>
                    <w:t>0.05361</w:t>
                  </w:r>
                </w:p>
              </w:tc>
              <w:tc>
                <w:tcPr>
                  <w:tcW w:w="993" w:type="dxa"/>
                  <w:vAlign w:val="center"/>
                </w:tcPr>
                <w:p w14:paraId="58517AD6">
                  <w:pPr>
                    <w:spacing w:line="240" w:lineRule="auto"/>
                    <w:ind w:firstLine="0" w:firstLineChars="0"/>
                    <w:jc w:val="center"/>
                    <w:rPr>
                      <w:rFonts w:cs="Times New Roman"/>
                      <w:sz w:val="21"/>
                      <w:szCs w:val="21"/>
                    </w:rPr>
                  </w:pPr>
                  <w:r>
                    <w:rPr>
                      <w:rFonts w:cs="Times New Roman"/>
                      <w:sz w:val="21"/>
                      <w:szCs w:val="21"/>
                    </w:rPr>
                    <w:t>5.96</w:t>
                  </w:r>
                </w:p>
              </w:tc>
              <w:tc>
                <w:tcPr>
                  <w:tcW w:w="1202" w:type="dxa"/>
                  <w:vAlign w:val="center"/>
                </w:tcPr>
                <w:p w14:paraId="5C715673">
                  <w:pPr>
                    <w:spacing w:line="240" w:lineRule="auto"/>
                    <w:ind w:firstLine="0" w:firstLineChars="0"/>
                    <w:jc w:val="center"/>
                    <w:rPr>
                      <w:rFonts w:cs="Times New Roman"/>
                      <w:sz w:val="21"/>
                      <w:szCs w:val="21"/>
                    </w:rPr>
                  </w:pPr>
                  <w:r>
                    <w:rPr>
                      <w:rFonts w:cs="Times New Roman"/>
                      <w:sz w:val="21"/>
                      <w:szCs w:val="21"/>
                    </w:rPr>
                    <w:t>0.002478</w:t>
                  </w:r>
                </w:p>
              </w:tc>
              <w:tc>
                <w:tcPr>
                  <w:tcW w:w="993" w:type="dxa"/>
                  <w:vAlign w:val="center"/>
                </w:tcPr>
                <w:p w14:paraId="7B9722A4">
                  <w:pPr>
                    <w:spacing w:line="240" w:lineRule="auto"/>
                    <w:ind w:firstLine="0" w:firstLineChars="0"/>
                    <w:jc w:val="center"/>
                    <w:rPr>
                      <w:rFonts w:cs="Times New Roman"/>
                      <w:sz w:val="21"/>
                      <w:szCs w:val="21"/>
                    </w:rPr>
                  </w:pPr>
                  <w:r>
                    <w:rPr>
                      <w:rFonts w:cs="Times New Roman"/>
                      <w:sz w:val="21"/>
                      <w:szCs w:val="21"/>
                    </w:rPr>
                    <w:t>0.28</w:t>
                  </w:r>
                </w:p>
              </w:tc>
              <w:tc>
                <w:tcPr>
                  <w:tcW w:w="1212" w:type="dxa"/>
                  <w:vAlign w:val="center"/>
                </w:tcPr>
                <w:p w14:paraId="1F010EED">
                  <w:pPr>
                    <w:spacing w:line="240" w:lineRule="auto"/>
                    <w:ind w:firstLine="0" w:firstLineChars="0"/>
                    <w:jc w:val="center"/>
                    <w:rPr>
                      <w:rFonts w:cs="Times New Roman"/>
                      <w:sz w:val="21"/>
                      <w:szCs w:val="21"/>
                    </w:rPr>
                  </w:pPr>
                  <w:r>
                    <w:rPr>
                      <w:rFonts w:cs="Times New Roman"/>
                      <w:sz w:val="21"/>
                      <w:szCs w:val="21"/>
                    </w:rPr>
                    <w:t>0.000661</w:t>
                  </w:r>
                </w:p>
              </w:tc>
              <w:tc>
                <w:tcPr>
                  <w:tcW w:w="1026" w:type="dxa"/>
                  <w:vAlign w:val="center"/>
                </w:tcPr>
                <w:p w14:paraId="119264B5">
                  <w:pPr>
                    <w:spacing w:line="240" w:lineRule="auto"/>
                    <w:ind w:firstLine="0" w:firstLineChars="0"/>
                    <w:jc w:val="center"/>
                    <w:rPr>
                      <w:rFonts w:cs="Times New Roman"/>
                      <w:sz w:val="21"/>
                      <w:szCs w:val="21"/>
                    </w:rPr>
                  </w:pPr>
                  <w:r>
                    <w:rPr>
                      <w:rFonts w:cs="Times New Roman"/>
                      <w:sz w:val="21"/>
                      <w:szCs w:val="21"/>
                    </w:rPr>
                    <w:t>0.07</w:t>
                  </w:r>
                </w:p>
              </w:tc>
              <w:tc>
                <w:tcPr>
                  <w:tcW w:w="1224" w:type="dxa"/>
                  <w:vAlign w:val="center"/>
                </w:tcPr>
                <w:p w14:paraId="3611354B">
                  <w:pPr>
                    <w:spacing w:line="240" w:lineRule="auto"/>
                    <w:ind w:firstLine="0" w:firstLineChars="0"/>
                    <w:jc w:val="center"/>
                    <w:rPr>
                      <w:rFonts w:cs="Times New Roman"/>
                      <w:sz w:val="21"/>
                      <w:szCs w:val="21"/>
                    </w:rPr>
                  </w:pPr>
                  <w:r>
                    <w:rPr>
                      <w:rFonts w:cs="Times New Roman"/>
                      <w:sz w:val="21"/>
                      <w:szCs w:val="21"/>
                    </w:rPr>
                    <w:t>0.070044</w:t>
                  </w:r>
                </w:p>
              </w:tc>
              <w:tc>
                <w:tcPr>
                  <w:tcW w:w="993" w:type="dxa"/>
                  <w:vAlign w:val="center"/>
                </w:tcPr>
                <w:p w14:paraId="37965D60">
                  <w:pPr>
                    <w:spacing w:line="240" w:lineRule="auto"/>
                    <w:ind w:firstLine="0" w:firstLineChars="0"/>
                    <w:jc w:val="center"/>
                    <w:rPr>
                      <w:rFonts w:cs="Times New Roman"/>
                      <w:sz w:val="21"/>
                      <w:szCs w:val="21"/>
                    </w:rPr>
                  </w:pPr>
                  <w:r>
                    <w:rPr>
                      <w:rFonts w:cs="Times New Roman"/>
                      <w:sz w:val="21"/>
                      <w:szCs w:val="21"/>
                    </w:rPr>
                    <w:t>7.78</w:t>
                  </w:r>
                </w:p>
              </w:tc>
            </w:tr>
            <w:tr w14:paraId="0EF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231C45B">
                  <w:pPr>
                    <w:spacing w:line="240" w:lineRule="auto"/>
                    <w:ind w:firstLine="0" w:firstLineChars="0"/>
                    <w:jc w:val="center"/>
                    <w:rPr>
                      <w:rFonts w:cs="Times New Roman"/>
                      <w:sz w:val="21"/>
                      <w:szCs w:val="21"/>
                    </w:rPr>
                  </w:pPr>
                  <w:r>
                    <w:rPr>
                      <w:rFonts w:cs="Times New Roman"/>
                      <w:sz w:val="21"/>
                      <w:szCs w:val="21"/>
                    </w:rPr>
                    <w:t>325</w:t>
                  </w:r>
                </w:p>
              </w:tc>
              <w:tc>
                <w:tcPr>
                  <w:tcW w:w="1199" w:type="dxa"/>
                  <w:vAlign w:val="center"/>
                </w:tcPr>
                <w:p w14:paraId="60234B73">
                  <w:pPr>
                    <w:spacing w:line="240" w:lineRule="auto"/>
                    <w:ind w:firstLine="0" w:firstLineChars="0"/>
                    <w:jc w:val="center"/>
                    <w:rPr>
                      <w:rFonts w:cs="Times New Roman"/>
                      <w:sz w:val="21"/>
                      <w:szCs w:val="21"/>
                    </w:rPr>
                  </w:pPr>
                  <w:r>
                    <w:rPr>
                      <w:rFonts w:cs="Times New Roman"/>
                      <w:sz w:val="21"/>
                      <w:szCs w:val="21"/>
                    </w:rPr>
                    <w:t>0.050221</w:t>
                  </w:r>
                </w:p>
              </w:tc>
              <w:tc>
                <w:tcPr>
                  <w:tcW w:w="993" w:type="dxa"/>
                  <w:vAlign w:val="center"/>
                </w:tcPr>
                <w:p w14:paraId="1DA0C981">
                  <w:pPr>
                    <w:spacing w:line="240" w:lineRule="auto"/>
                    <w:ind w:firstLine="0" w:firstLineChars="0"/>
                    <w:jc w:val="center"/>
                    <w:rPr>
                      <w:rFonts w:cs="Times New Roman"/>
                      <w:sz w:val="21"/>
                      <w:szCs w:val="21"/>
                    </w:rPr>
                  </w:pPr>
                  <w:r>
                    <w:rPr>
                      <w:rFonts w:cs="Times New Roman"/>
                      <w:sz w:val="21"/>
                      <w:szCs w:val="21"/>
                    </w:rPr>
                    <w:t>5.58</w:t>
                  </w:r>
                </w:p>
              </w:tc>
              <w:tc>
                <w:tcPr>
                  <w:tcW w:w="1202" w:type="dxa"/>
                  <w:vAlign w:val="center"/>
                </w:tcPr>
                <w:p w14:paraId="21AE9205">
                  <w:pPr>
                    <w:spacing w:line="240" w:lineRule="auto"/>
                    <w:ind w:firstLine="0" w:firstLineChars="0"/>
                    <w:jc w:val="center"/>
                    <w:rPr>
                      <w:rFonts w:cs="Times New Roman"/>
                      <w:sz w:val="21"/>
                      <w:szCs w:val="21"/>
                    </w:rPr>
                  </w:pPr>
                  <w:r>
                    <w:rPr>
                      <w:rFonts w:cs="Times New Roman"/>
                      <w:sz w:val="21"/>
                      <w:szCs w:val="21"/>
                    </w:rPr>
                    <w:t>0.00234</w:t>
                  </w:r>
                </w:p>
              </w:tc>
              <w:tc>
                <w:tcPr>
                  <w:tcW w:w="993" w:type="dxa"/>
                  <w:vAlign w:val="center"/>
                </w:tcPr>
                <w:p w14:paraId="3966AF1A">
                  <w:pPr>
                    <w:spacing w:line="240" w:lineRule="auto"/>
                    <w:ind w:firstLine="0" w:firstLineChars="0"/>
                    <w:jc w:val="center"/>
                    <w:rPr>
                      <w:rFonts w:cs="Times New Roman"/>
                      <w:sz w:val="21"/>
                      <w:szCs w:val="21"/>
                    </w:rPr>
                  </w:pPr>
                  <w:r>
                    <w:rPr>
                      <w:rFonts w:cs="Times New Roman"/>
                      <w:sz w:val="21"/>
                      <w:szCs w:val="21"/>
                    </w:rPr>
                    <w:t>0.26</w:t>
                  </w:r>
                </w:p>
              </w:tc>
              <w:tc>
                <w:tcPr>
                  <w:tcW w:w="1212" w:type="dxa"/>
                  <w:vAlign w:val="center"/>
                </w:tcPr>
                <w:p w14:paraId="083BEB35">
                  <w:pPr>
                    <w:spacing w:line="240" w:lineRule="auto"/>
                    <w:ind w:firstLine="0" w:firstLineChars="0"/>
                    <w:jc w:val="center"/>
                    <w:rPr>
                      <w:rFonts w:cs="Times New Roman"/>
                      <w:sz w:val="21"/>
                      <w:szCs w:val="21"/>
                    </w:rPr>
                  </w:pPr>
                  <w:r>
                    <w:rPr>
                      <w:rFonts w:cs="Times New Roman"/>
                      <w:sz w:val="21"/>
                      <w:szCs w:val="21"/>
                    </w:rPr>
                    <w:t>0.000633</w:t>
                  </w:r>
                </w:p>
              </w:tc>
              <w:tc>
                <w:tcPr>
                  <w:tcW w:w="1026" w:type="dxa"/>
                  <w:vAlign w:val="center"/>
                </w:tcPr>
                <w:p w14:paraId="31A52420">
                  <w:pPr>
                    <w:spacing w:line="240" w:lineRule="auto"/>
                    <w:ind w:firstLine="0" w:firstLineChars="0"/>
                    <w:jc w:val="center"/>
                    <w:rPr>
                      <w:rFonts w:cs="Times New Roman"/>
                      <w:sz w:val="21"/>
                      <w:szCs w:val="21"/>
                    </w:rPr>
                  </w:pPr>
                  <w:r>
                    <w:rPr>
                      <w:rFonts w:cs="Times New Roman"/>
                      <w:sz w:val="21"/>
                      <w:szCs w:val="21"/>
                    </w:rPr>
                    <w:t>0.07</w:t>
                  </w:r>
                </w:p>
              </w:tc>
              <w:tc>
                <w:tcPr>
                  <w:tcW w:w="1224" w:type="dxa"/>
                  <w:vAlign w:val="center"/>
                </w:tcPr>
                <w:p w14:paraId="1354D423">
                  <w:pPr>
                    <w:spacing w:line="240" w:lineRule="auto"/>
                    <w:ind w:firstLine="0" w:firstLineChars="0"/>
                    <w:jc w:val="center"/>
                    <w:rPr>
                      <w:rFonts w:cs="Times New Roman"/>
                      <w:sz w:val="21"/>
                      <w:szCs w:val="21"/>
                    </w:rPr>
                  </w:pPr>
                  <w:r>
                    <w:rPr>
                      <w:rFonts w:cs="Times New Roman"/>
                      <w:sz w:val="21"/>
                      <w:szCs w:val="21"/>
                    </w:rPr>
                    <w:t>0.064969</w:t>
                  </w:r>
                </w:p>
              </w:tc>
              <w:tc>
                <w:tcPr>
                  <w:tcW w:w="993" w:type="dxa"/>
                  <w:vAlign w:val="center"/>
                </w:tcPr>
                <w:p w14:paraId="4106C50C">
                  <w:pPr>
                    <w:spacing w:line="240" w:lineRule="auto"/>
                    <w:ind w:firstLine="0" w:firstLineChars="0"/>
                    <w:jc w:val="center"/>
                    <w:rPr>
                      <w:rFonts w:cs="Times New Roman"/>
                      <w:sz w:val="21"/>
                      <w:szCs w:val="21"/>
                    </w:rPr>
                  </w:pPr>
                  <w:r>
                    <w:rPr>
                      <w:rFonts w:cs="Times New Roman"/>
                      <w:sz w:val="21"/>
                      <w:szCs w:val="21"/>
                    </w:rPr>
                    <w:t>7.22</w:t>
                  </w:r>
                </w:p>
              </w:tc>
            </w:tr>
            <w:tr w14:paraId="6777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4D1146F">
                  <w:pPr>
                    <w:spacing w:line="240" w:lineRule="auto"/>
                    <w:ind w:firstLine="0" w:firstLineChars="0"/>
                    <w:jc w:val="center"/>
                    <w:rPr>
                      <w:rFonts w:cs="Times New Roman"/>
                      <w:sz w:val="21"/>
                      <w:szCs w:val="21"/>
                    </w:rPr>
                  </w:pPr>
                  <w:r>
                    <w:rPr>
                      <w:rFonts w:cs="Times New Roman"/>
                      <w:sz w:val="21"/>
                      <w:szCs w:val="21"/>
                    </w:rPr>
                    <w:t>350</w:t>
                  </w:r>
                </w:p>
              </w:tc>
              <w:tc>
                <w:tcPr>
                  <w:tcW w:w="1199" w:type="dxa"/>
                  <w:vAlign w:val="center"/>
                </w:tcPr>
                <w:p w14:paraId="7594558F">
                  <w:pPr>
                    <w:spacing w:line="240" w:lineRule="auto"/>
                    <w:ind w:firstLine="0" w:firstLineChars="0"/>
                    <w:jc w:val="center"/>
                    <w:rPr>
                      <w:rFonts w:cs="Times New Roman"/>
                      <w:sz w:val="21"/>
                      <w:szCs w:val="21"/>
                    </w:rPr>
                  </w:pPr>
                  <w:r>
                    <w:rPr>
                      <w:rFonts w:cs="Times New Roman"/>
                      <w:sz w:val="21"/>
                      <w:szCs w:val="21"/>
                    </w:rPr>
                    <w:t>0.047342</w:t>
                  </w:r>
                </w:p>
              </w:tc>
              <w:tc>
                <w:tcPr>
                  <w:tcW w:w="993" w:type="dxa"/>
                  <w:vAlign w:val="center"/>
                </w:tcPr>
                <w:p w14:paraId="7C539994">
                  <w:pPr>
                    <w:spacing w:line="240" w:lineRule="auto"/>
                    <w:ind w:firstLine="0" w:firstLineChars="0"/>
                    <w:jc w:val="center"/>
                    <w:rPr>
                      <w:rFonts w:cs="Times New Roman"/>
                      <w:sz w:val="21"/>
                      <w:szCs w:val="21"/>
                    </w:rPr>
                  </w:pPr>
                  <w:r>
                    <w:rPr>
                      <w:rFonts w:cs="Times New Roman"/>
                      <w:sz w:val="21"/>
                      <w:szCs w:val="21"/>
                    </w:rPr>
                    <w:t>5.26</w:t>
                  </w:r>
                </w:p>
              </w:tc>
              <w:tc>
                <w:tcPr>
                  <w:tcW w:w="1202" w:type="dxa"/>
                  <w:vAlign w:val="center"/>
                </w:tcPr>
                <w:p w14:paraId="78B3815A">
                  <w:pPr>
                    <w:spacing w:line="240" w:lineRule="auto"/>
                    <w:ind w:firstLine="0" w:firstLineChars="0"/>
                    <w:jc w:val="center"/>
                    <w:rPr>
                      <w:rFonts w:cs="Times New Roman"/>
                      <w:sz w:val="21"/>
                      <w:szCs w:val="21"/>
                    </w:rPr>
                  </w:pPr>
                  <w:r>
                    <w:rPr>
                      <w:rFonts w:cs="Times New Roman"/>
                      <w:sz w:val="21"/>
                      <w:szCs w:val="21"/>
                    </w:rPr>
                    <w:t>0.00222</w:t>
                  </w:r>
                </w:p>
              </w:tc>
              <w:tc>
                <w:tcPr>
                  <w:tcW w:w="993" w:type="dxa"/>
                  <w:vAlign w:val="center"/>
                </w:tcPr>
                <w:p w14:paraId="4D7B46F1">
                  <w:pPr>
                    <w:spacing w:line="240" w:lineRule="auto"/>
                    <w:ind w:firstLine="0" w:firstLineChars="0"/>
                    <w:jc w:val="center"/>
                    <w:rPr>
                      <w:rFonts w:cs="Times New Roman"/>
                      <w:sz w:val="21"/>
                      <w:szCs w:val="21"/>
                    </w:rPr>
                  </w:pPr>
                  <w:r>
                    <w:rPr>
                      <w:rFonts w:cs="Times New Roman"/>
                      <w:sz w:val="21"/>
                      <w:szCs w:val="21"/>
                    </w:rPr>
                    <w:t>0.25</w:t>
                  </w:r>
                </w:p>
              </w:tc>
              <w:tc>
                <w:tcPr>
                  <w:tcW w:w="1212" w:type="dxa"/>
                  <w:vAlign w:val="center"/>
                </w:tcPr>
                <w:p w14:paraId="229C3CEB">
                  <w:pPr>
                    <w:spacing w:line="240" w:lineRule="auto"/>
                    <w:ind w:firstLine="0" w:firstLineChars="0"/>
                    <w:jc w:val="center"/>
                    <w:rPr>
                      <w:rFonts w:cs="Times New Roman"/>
                      <w:sz w:val="21"/>
                      <w:szCs w:val="21"/>
                    </w:rPr>
                  </w:pPr>
                  <w:r>
                    <w:rPr>
                      <w:rFonts w:cs="Times New Roman"/>
                      <w:sz w:val="21"/>
                      <w:szCs w:val="21"/>
                    </w:rPr>
                    <w:t>0.000607</w:t>
                  </w:r>
                </w:p>
              </w:tc>
              <w:tc>
                <w:tcPr>
                  <w:tcW w:w="1026" w:type="dxa"/>
                  <w:vAlign w:val="center"/>
                </w:tcPr>
                <w:p w14:paraId="6CFEA30E">
                  <w:pPr>
                    <w:spacing w:line="240" w:lineRule="auto"/>
                    <w:ind w:firstLine="0" w:firstLineChars="0"/>
                    <w:jc w:val="center"/>
                    <w:rPr>
                      <w:rFonts w:cs="Times New Roman"/>
                      <w:sz w:val="21"/>
                      <w:szCs w:val="21"/>
                    </w:rPr>
                  </w:pPr>
                  <w:r>
                    <w:rPr>
                      <w:rFonts w:cs="Times New Roman"/>
                      <w:sz w:val="21"/>
                      <w:szCs w:val="21"/>
                    </w:rPr>
                    <w:t>0.07</w:t>
                  </w:r>
                </w:p>
              </w:tc>
              <w:tc>
                <w:tcPr>
                  <w:tcW w:w="1224" w:type="dxa"/>
                  <w:vAlign w:val="center"/>
                </w:tcPr>
                <w:p w14:paraId="18E10F7C">
                  <w:pPr>
                    <w:spacing w:line="240" w:lineRule="auto"/>
                    <w:ind w:firstLine="0" w:firstLineChars="0"/>
                    <w:jc w:val="center"/>
                    <w:rPr>
                      <w:rFonts w:cs="Times New Roman"/>
                      <w:sz w:val="21"/>
                      <w:szCs w:val="21"/>
                    </w:rPr>
                  </w:pPr>
                  <w:r>
                    <w:rPr>
                      <w:rFonts w:cs="Times New Roman"/>
                      <w:sz w:val="21"/>
                      <w:szCs w:val="21"/>
                    </w:rPr>
                    <w:t>0.060683</w:t>
                  </w:r>
                </w:p>
              </w:tc>
              <w:tc>
                <w:tcPr>
                  <w:tcW w:w="993" w:type="dxa"/>
                  <w:vAlign w:val="center"/>
                </w:tcPr>
                <w:p w14:paraId="549DE7C1">
                  <w:pPr>
                    <w:spacing w:line="240" w:lineRule="auto"/>
                    <w:ind w:firstLine="0" w:firstLineChars="0"/>
                    <w:jc w:val="center"/>
                    <w:rPr>
                      <w:rFonts w:cs="Times New Roman"/>
                      <w:sz w:val="21"/>
                      <w:szCs w:val="21"/>
                    </w:rPr>
                  </w:pPr>
                  <w:r>
                    <w:rPr>
                      <w:rFonts w:cs="Times New Roman"/>
                      <w:sz w:val="21"/>
                      <w:szCs w:val="21"/>
                    </w:rPr>
                    <w:t>6.74</w:t>
                  </w:r>
                </w:p>
              </w:tc>
            </w:tr>
            <w:tr w14:paraId="5CC6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BA2951F">
                  <w:pPr>
                    <w:spacing w:line="240" w:lineRule="auto"/>
                    <w:ind w:firstLine="0" w:firstLineChars="0"/>
                    <w:jc w:val="center"/>
                    <w:rPr>
                      <w:rFonts w:cs="Times New Roman"/>
                      <w:sz w:val="21"/>
                      <w:szCs w:val="21"/>
                    </w:rPr>
                  </w:pPr>
                  <w:r>
                    <w:rPr>
                      <w:rFonts w:cs="Times New Roman"/>
                      <w:sz w:val="21"/>
                      <w:szCs w:val="21"/>
                    </w:rPr>
                    <w:t>375</w:t>
                  </w:r>
                </w:p>
              </w:tc>
              <w:tc>
                <w:tcPr>
                  <w:tcW w:w="1199" w:type="dxa"/>
                  <w:vAlign w:val="center"/>
                </w:tcPr>
                <w:p w14:paraId="09F3A33C">
                  <w:pPr>
                    <w:spacing w:line="240" w:lineRule="auto"/>
                    <w:ind w:firstLine="0" w:firstLineChars="0"/>
                    <w:jc w:val="center"/>
                    <w:rPr>
                      <w:rFonts w:cs="Times New Roman"/>
                      <w:sz w:val="21"/>
                      <w:szCs w:val="21"/>
                    </w:rPr>
                  </w:pPr>
                  <w:r>
                    <w:rPr>
                      <w:rFonts w:cs="Times New Roman"/>
                      <w:sz w:val="21"/>
                      <w:szCs w:val="21"/>
                    </w:rPr>
                    <w:t>0.044856</w:t>
                  </w:r>
                </w:p>
              </w:tc>
              <w:tc>
                <w:tcPr>
                  <w:tcW w:w="993" w:type="dxa"/>
                  <w:vAlign w:val="center"/>
                </w:tcPr>
                <w:p w14:paraId="28C39B8C">
                  <w:pPr>
                    <w:spacing w:line="240" w:lineRule="auto"/>
                    <w:ind w:firstLine="0" w:firstLineChars="0"/>
                    <w:jc w:val="center"/>
                    <w:rPr>
                      <w:rFonts w:cs="Times New Roman"/>
                      <w:sz w:val="21"/>
                      <w:szCs w:val="21"/>
                    </w:rPr>
                  </w:pPr>
                  <w:r>
                    <w:rPr>
                      <w:rFonts w:cs="Times New Roman"/>
                      <w:sz w:val="21"/>
                      <w:szCs w:val="21"/>
                    </w:rPr>
                    <w:t>4.98</w:t>
                  </w:r>
                </w:p>
              </w:tc>
              <w:tc>
                <w:tcPr>
                  <w:tcW w:w="1202" w:type="dxa"/>
                  <w:vAlign w:val="center"/>
                </w:tcPr>
                <w:p w14:paraId="71E7D8EB">
                  <w:pPr>
                    <w:spacing w:line="240" w:lineRule="auto"/>
                    <w:ind w:firstLine="0" w:firstLineChars="0"/>
                    <w:jc w:val="center"/>
                    <w:rPr>
                      <w:rFonts w:cs="Times New Roman"/>
                      <w:sz w:val="21"/>
                      <w:szCs w:val="21"/>
                    </w:rPr>
                  </w:pPr>
                  <w:r>
                    <w:rPr>
                      <w:rFonts w:cs="Times New Roman"/>
                      <w:sz w:val="21"/>
                      <w:szCs w:val="21"/>
                    </w:rPr>
                    <w:t>0.002113</w:t>
                  </w:r>
                </w:p>
              </w:tc>
              <w:tc>
                <w:tcPr>
                  <w:tcW w:w="993" w:type="dxa"/>
                  <w:vAlign w:val="center"/>
                </w:tcPr>
                <w:p w14:paraId="29B65CAD">
                  <w:pPr>
                    <w:spacing w:line="240" w:lineRule="auto"/>
                    <w:ind w:firstLine="0" w:firstLineChars="0"/>
                    <w:jc w:val="center"/>
                    <w:rPr>
                      <w:rFonts w:cs="Times New Roman"/>
                      <w:sz w:val="21"/>
                      <w:szCs w:val="21"/>
                    </w:rPr>
                  </w:pPr>
                  <w:r>
                    <w:rPr>
                      <w:rFonts w:cs="Times New Roman"/>
                      <w:sz w:val="21"/>
                      <w:szCs w:val="21"/>
                    </w:rPr>
                    <w:t>0.23</w:t>
                  </w:r>
                </w:p>
              </w:tc>
              <w:tc>
                <w:tcPr>
                  <w:tcW w:w="1212" w:type="dxa"/>
                  <w:vAlign w:val="center"/>
                </w:tcPr>
                <w:p w14:paraId="68BB6395">
                  <w:pPr>
                    <w:spacing w:line="240" w:lineRule="auto"/>
                    <w:ind w:firstLine="0" w:firstLineChars="0"/>
                    <w:jc w:val="center"/>
                    <w:rPr>
                      <w:rFonts w:cs="Times New Roman"/>
                      <w:sz w:val="21"/>
                      <w:szCs w:val="21"/>
                    </w:rPr>
                  </w:pPr>
                  <w:r>
                    <w:rPr>
                      <w:rFonts w:cs="Times New Roman"/>
                      <w:sz w:val="21"/>
                      <w:szCs w:val="21"/>
                    </w:rPr>
                    <w:t>0.000584</w:t>
                  </w:r>
                </w:p>
              </w:tc>
              <w:tc>
                <w:tcPr>
                  <w:tcW w:w="1026" w:type="dxa"/>
                  <w:vAlign w:val="center"/>
                </w:tcPr>
                <w:p w14:paraId="77E5E442">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346FE117">
                  <w:pPr>
                    <w:spacing w:line="240" w:lineRule="auto"/>
                    <w:ind w:firstLine="0" w:firstLineChars="0"/>
                    <w:jc w:val="center"/>
                    <w:rPr>
                      <w:rFonts w:cs="Times New Roman"/>
                      <w:sz w:val="21"/>
                      <w:szCs w:val="21"/>
                    </w:rPr>
                  </w:pPr>
                  <w:r>
                    <w:rPr>
                      <w:rFonts w:cs="Times New Roman"/>
                      <w:sz w:val="21"/>
                      <w:szCs w:val="21"/>
                    </w:rPr>
                    <w:t>0.057094</w:t>
                  </w:r>
                </w:p>
              </w:tc>
              <w:tc>
                <w:tcPr>
                  <w:tcW w:w="993" w:type="dxa"/>
                  <w:vAlign w:val="center"/>
                </w:tcPr>
                <w:p w14:paraId="48D57818">
                  <w:pPr>
                    <w:spacing w:line="240" w:lineRule="auto"/>
                    <w:ind w:firstLine="0" w:firstLineChars="0"/>
                    <w:jc w:val="center"/>
                    <w:rPr>
                      <w:rFonts w:cs="Times New Roman"/>
                      <w:sz w:val="21"/>
                      <w:szCs w:val="21"/>
                    </w:rPr>
                  </w:pPr>
                  <w:r>
                    <w:rPr>
                      <w:rFonts w:cs="Times New Roman"/>
                      <w:sz w:val="21"/>
                      <w:szCs w:val="21"/>
                    </w:rPr>
                    <w:t>6.34</w:t>
                  </w:r>
                </w:p>
              </w:tc>
            </w:tr>
            <w:tr w14:paraId="04B5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8F40CED">
                  <w:pPr>
                    <w:spacing w:line="240" w:lineRule="auto"/>
                    <w:ind w:firstLine="0" w:firstLineChars="0"/>
                    <w:jc w:val="center"/>
                    <w:rPr>
                      <w:rFonts w:cs="Times New Roman"/>
                      <w:sz w:val="21"/>
                      <w:szCs w:val="21"/>
                    </w:rPr>
                  </w:pPr>
                  <w:r>
                    <w:rPr>
                      <w:rFonts w:cs="Times New Roman"/>
                      <w:sz w:val="21"/>
                      <w:szCs w:val="21"/>
                    </w:rPr>
                    <w:t>400</w:t>
                  </w:r>
                </w:p>
              </w:tc>
              <w:tc>
                <w:tcPr>
                  <w:tcW w:w="1199" w:type="dxa"/>
                  <w:vAlign w:val="center"/>
                </w:tcPr>
                <w:p w14:paraId="799330D9">
                  <w:pPr>
                    <w:spacing w:line="240" w:lineRule="auto"/>
                    <w:ind w:firstLine="0" w:firstLineChars="0"/>
                    <w:jc w:val="center"/>
                    <w:rPr>
                      <w:rFonts w:cs="Times New Roman"/>
                      <w:sz w:val="21"/>
                      <w:szCs w:val="21"/>
                    </w:rPr>
                  </w:pPr>
                  <w:r>
                    <w:rPr>
                      <w:rFonts w:cs="Times New Roman"/>
                      <w:sz w:val="21"/>
                      <w:szCs w:val="21"/>
                    </w:rPr>
                    <w:t>0.042683</w:t>
                  </w:r>
                </w:p>
              </w:tc>
              <w:tc>
                <w:tcPr>
                  <w:tcW w:w="993" w:type="dxa"/>
                  <w:vAlign w:val="center"/>
                </w:tcPr>
                <w:p w14:paraId="00FECF42">
                  <w:pPr>
                    <w:spacing w:line="240" w:lineRule="auto"/>
                    <w:ind w:firstLine="0" w:firstLineChars="0"/>
                    <w:jc w:val="center"/>
                    <w:rPr>
                      <w:rFonts w:cs="Times New Roman"/>
                      <w:sz w:val="21"/>
                      <w:szCs w:val="21"/>
                    </w:rPr>
                  </w:pPr>
                  <w:r>
                    <w:rPr>
                      <w:rFonts w:cs="Times New Roman"/>
                      <w:sz w:val="21"/>
                      <w:szCs w:val="21"/>
                    </w:rPr>
                    <w:t>4.74</w:t>
                  </w:r>
                </w:p>
              </w:tc>
              <w:tc>
                <w:tcPr>
                  <w:tcW w:w="1202" w:type="dxa"/>
                  <w:vAlign w:val="center"/>
                </w:tcPr>
                <w:p w14:paraId="1A39B434">
                  <w:pPr>
                    <w:spacing w:line="240" w:lineRule="auto"/>
                    <w:ind w:firstLine="0" w:firstLineChars="0"/>
                    <w:jc w:val="center"/>
                    <w:rPr>
                      <w:rFonts w:cs="Times New Roman"/>
                      <w:sz w:val="21"/>
                      <w:szCs w:val="21"/>
                    </w:rPr>
                  </w:pPr>
                  <w:r>
                    <w:rPr>
                      <w:rFonts w:cs="Times New Roman"/>
                      <w:sz w:val="21"/>
                      <w:szCs w:val="21"/>
                    </w:rPr>
                    <w:t>0.002018</w:t>
                  </w:r>
                </w:p>
              </w:tc>
              <w:tc>
                <w:tcPr>
                  <w:tcW w:w="993" w:type="dxa"/>
                  <w:vAlign w:val="center"/>
                </w:tcPr>
                <w:p w14:paraId="6C4E3C40">
                  <w:pPr>
                    <w:spacing w:line="240" w:lineRule="auto"/>
                    <w:ind w:firstLine="0" w:firstLineChars="0"/>
                    <w:jc w:val="center"/>
                    <w:rPr>
                      <w:rFonts w:cs="Times New Roman"/>
                      <w:sz w:val="21"/>
                      <w:szCs w:val="21"/>
                    </w:rPr>
                  </w:pPr>
                  <w:r>
                    <w:rPr>
                      <w:rFonts w:cs="Times New Roman"/>
                      <w:sz w:val="21"/>
                      <w:szCs w:val="21"/>
                    </w:rPr>
                    <w:t>0.22</w:t>
                  </w:r>
                </w:p>
              </w:tc>
              <w:tc>
                <w:tcPr>
                  <w:tcW w:w="1212" w:type="dxa"/>
                  <w:vAlign w:val="center"/>
                </w:tcPr>
                <w:p w14:paraId="43EDD00C">
                  <w:pPr>
                    <w:spacing w:line="240" w:lineRule="auto"/>
                    <w:ind w:firstLine="0" w:firstLineChars="0"/>
                    <w:jc w:val="center"/>
                    <w:rPr>
                      <w:rFonts w:cs="Times New Roman"/>
                      <w:sz w:val="21"/>
                      <w:szCs w:val="21"/>
                    </w:rPr>
                  </w:pPr>
                  <w:r>
                    <w:rPr>
                      <w:rFonts w:cs="Times New Roman"/>
                      <w:sz w:val="21"/>
                      <w:szCs w:val="21"/>
                    </w:rPr>
                    <w:t>0.000563</w:t>
                  </w:r>
                </w:p>
              </w:tc>
              <w:tc>
                <w:tcPr>
                  <w:tcW w:w="1026" w:type="dxa"/>
                  <w:vAlign w:val="center"/>
                </w:tcPr>
                <w:p w14:paraId="5DEB1488">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20048CC3">
                  <w:pPr>
                    <w:spacing w:line="240" w:lineRule="auto"/>
                    <w:ind w:firstLine="0" w:firstLineChars="0"/>
                    <w:jc w:val="center"/>
                    <w:rPr>
                      <w:rFonts w:cs="Times New Roman"/>
                      <w:sz w:val="21"/>
                      <w:szCs w:val="21"/>
                    </w:rPr>
                  </w:pPr>
                  <w:r>
                    <w:rPr>
                      <w:rFonts w:cs="Times New Roman"/>
                      <w:sz w:val="21"/>
                      <w:szCs w:val="21"/>
                    </w:rPr>
                    <w:t>0.053956</w:t>
                  </w:r>
                </w:p>
              </w:tc>
              <w:tc>
                <w:tcPr>
                  <w:tcW w:w="993" w:type="dxa"/>
                  <w:vAlign w:val="center"/>
                </w:tcPr>
                <w:p w14:paraId="5DAE911A">
                  <w:pPr>
                    <w:spacing w:line="240" w:lineRule="auto"/>
                    <w:ind w:firstLine="0" w:firstLineChars="0"/>
                    <w:jc w:val="center"/>
                    <w:rPr>
                      <w:rFonts w:cs="Times New Roman"/>
                      <w:sz w:val="21"/>
                      <w:szCs w:val="21"/>
                    </w:rPr>
                  </w:pPr>
                  <w:r>
                    <w:rPr>
                      <w:rFonts w:cs="Times New Roman"/>
                      <w:sz w:val="21"/>
                      <w:szCs w:val="21"/>
                    </w:rPr>
                    <w:t>6</w:t>
                  </w:r>
                </w:p>
              </w:tc>
            </w:tr>
            <w:tr w14:paraId="5517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50C08D8">
                  <w:pPr>
                    <w:spacing w:line="240" w:lineRule="auto"/>
                    <w:ind w:firstLine="0" w:firstLineChars="0"/>
                    <w:jc w:val="center"/>
                    <w:rPr>
                      <w:rFonts w:cs="Times New Roman"/>
                      <w:sz w:val="21"/>
                      <w:szCs w:val="21"/>
                    </w:rPr>
                  </w:pPr>
                  <w:r>
                    <w:rPr>
                      <w:rFonts w:cs="Times New Roman"/>
                      <w:sz w:val="21"/>
                      <w:szCs w:val="21"/>
                    </w:rPr>
                    <w:t>425</w:t>
                  </w:r>
                </w:p>
              </w:tc>
              <w:tc>
                <w:tcPr>
                  <w:tcW w:w="1199" w:type="dxa"/>
                  <w:vAlign w:val="center"/>
                </w:tcPr>
                <w:p w14:paraId="75D50E72">
                  <w:pPr>
                    <w:spacing w:line="240" w:lineRule="auto"/>
                    <w:ind w:firstLine="0" w:firstLineChars="0"/>
                    <w:jc w:val="center"/>
                    <w:rPr>
                      <w:rFonts w:cs="Times New Roman"/>
                      <w:sz w:val="21"/>
                      <w:szCs w:val="21"/>
                    </w:rPr>
                  </w:pPr>
                  <w:r>
                    <w:rPr>
                      <w:rFonts w:cs="Times New Roman"/>
                      <w:sz w:val="21"/>
                      <w:szCs w:val="21"/>
                    </w:rPr>
                    <w:t>0.040748</w:t>
                  </w:r>
                </w:p>
              </w:tc>
              <w:tc>
                <w:tcPr>
                  <w:tcW w:w="993" w:type="dxa"/>
                  <w:vAlign w:val="center"/>
                </w:tcPr>
                <w:p w14:paraId="42B92693">
                  <w:pPr>
                    <w:spacing w:line="240" w:lineRule="auto"/>
                    <w:ind w:firstLine="0" w:firstLineChars="0"/>
                    <w:jc w:val="center"/>
                    <w:rPr>
                      <w:rFonts w:cs="Times New Roman"/>
                      <w:sz w:val="21"/>
                      <w:szCs w:val="21"/>
                    </w:rPr>
                  </w:pPr>
                  <w:r>
                    <w:rPr>
                      <w:rFonts w:cs="Times New Roman"/>
                      <w:sz w:val="21"/>
                      <w:szCs w:val="21"/>
                    </w:rPr>
                    <w:t>4.53</w:t>
                  </w:r>
                </w:p>
              </w:tc>
              <w:tc>
                <w:tcPr>
                  <w:tcW w:w="1202" w:type="dxa"/>
                  <w:vAlign w:val="center"/>
                </w:tcPr>
                <w:p w14:paraId="0E00B1E5">
                  <w:pPr>
                    <w:spacing w:line="240" w:lineRule="auto"/>
                    <w:ind w:firstLine="0" w:firstLineChars="0"/>
                    <w:jc w:val="center"/>
                    <w:rPr>
                      <w:rFonts w:cs="Times New Roman"/>
                      <w:sz w:val="21"/>
                      <w:szCs w:val="21"/>
                    </w:rPr>
                  </w:pPr>
                  <w:r>
                    <w:rPr>
                      <w:rFonts w:cs="Times New Roman"/>
                      <w:sz w:val="21"/>
                      <w:szCs w:val="21"/>
                    </w:rPr>
                    <w:t>0.001933</w:t>
                  </w:r>
                </w:p>
              </w:tc>
              <w:tc>
                <w:tcPr>
                  <w:tcW w:w="993" w:type="dxa"/>
                  <w:vAlign w:val="center"/>
                </w:tcPr>
                <w:p w14:paraId="2919310B">
                  <w:pPr>
                    <w:spacing w:line="240" w:lineRule="auto"/>
                    <w:ind w:firstLine="0" w:firstLineChars="0"/>
                    <w:jc w:val="center"/>
                    <w:rPr>
                      <w:rFonts w:cs="Times New Roman"/>
                      <w:sz w:val="21"/>
                      <w:szCs w:val="21"/>
                    </w:rPr>
                  </w:pPr>
                  <w:r>
                    <w:rPr>
                      <w:rFonts w:cs="Times New Roman"/>
                      <w:sz w:val="21"/>
                      <w:szCs w:val="21"/>
                    </w:rPr>
                    <w:t>0.21</w:t>
                  </w:r>
                </w:p>
              </w:tc>
              <w:tc>
                <w:tcPr>
                  <w:tcW w:w="1212" w:type="dxa"/>
                  <w:vAlign w:val="center"/>
                </w:tcPr>
                <w:p w14:paraId="5680F23D">
                  <w:pPr>
                    <w:spacing w:line="240" w:lineRule="auto"/>
                    <w:ind w:firstLine="0" w:firstLineChars="0"/>
                    <w:jc w:val="center"/>
                    <w:rPr>
                      <w:rFonts w:cs="Times New Roman"/>
                      <w:sz w:val="21"/>
                      <w:szCs w:val="21"/>
                    </w:rPr>
                  </w:pPr>
                  <w:r>
                    <w:rPr>
                      <w:rFonts w:cs="Times New Roman"/>
                      <w:sz w:val="21"/>
                      <w:szCs w:val="21"/>
                    </w:rPr>
                    <w:t>0.000542</w:t>
                  </w:r>
                </w:p>
              </w:tc>
              <w:tc>
                <w:tcPr>
                  <w:tcW w:w="1026" w:type="dxa"/>
                  <w:vAlign w:val="center"/>
                </w:tcPr>
                <w:p w14:paraId="413AFC7B">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71C1FFBC">
                  <w:pPr>
                    <w:spacing w:line="240" w:lineRule="auto"/>
                    <w:ind w:firstLine="0" w:firstLineChars="0"/>
                    <w:jc w:val="center"/>
                    <w:rPr>
                      <w:rFonts w:cs="Times New Roman"/>
                      <w:sz w:val="21"/>
                      <w:szCs w:val="21"/>
                    </w:rPr>
                  </w:pPr>
                  <w:r>
                    <w:rPr>
                      <w:rFonts w:cs="Times New Roman"/>
                      <w:sz w:val="21"/>
                      <w:szCs w:val="21"/>
                    </w:rPr>
                    <w:t>0.051233</w:t>
                  </w:r>
                </w:p>
              </w:tc>
              <w:tc>
                <w:tcPr>
                  <w:tcW w:w="993" w:type="dxa"/>
                  <w:vAlign w:val="center"/>
                </w:tcPr>
                <w:p w14:paraId="47BD8B1E">
                  <w:pPr>
                    <w:spacing w:line="240" w:lineRule="auto"/>
                    <w:ind w:firstLine="0" w:firstLineChars="0"/>
                    <w:jc w:val="center"/>
                    <w:rPr>
                      <w:rFonts w:cs="Times New Roman"/>
                      <w:sz w:val="21"/>
                      <w:szCs w:val="21"/>
                    </w:rPr>
                  </w:pPr>
                  <w:r>
                    <w:rPr>
                      <w:rFonts w:cs="Times New Roman"/>
                      <w:sz w:val="21"/>
                      <w:szCs w:val="21"/>
                    </w:rPr>
                    <w:t>5.69</w:t>
                  </w:r>
                </w:p>
              </w:tc>
            </w:tr>
            <w:tr w14:paraId="641F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3999071">
                  <w:pPr>
                    <w:spacing w:line="240" w:lineRule="auto"/>
                    <w:ind w:firstLine="0" w:firstLineChars="0"/>
                    <w:jc w:val="center"/>
                    <w:rPr>
                      <w:rFonts w:cs="Times New Roman"/>
                      <w:sz w:val="21"/>
                      <w:szCs w:val="21"/>
                    </w:rPr>
                  </w:pPr>
                  <w:r>
                    <w:rPr>
                      <w:rFonts w:cs="Times New Roman"/>
                      <w:sz w:val="21"/>
                      <w:szCs w:val="21"/>
                    </w:rPr>
                    <w:t>450</w:t>
                  </w:r>
                </w:p>
              </w:tc>
              <w:tc>
                <w:tcPr>
                  <w:tcW w:w="1199" w:type="dxa"/>
                  <w:vAlign w:val="center"/>
                </w:tcPr>
                <w:p w14:paraId="466CB863">
                  <w:pPr>
                    <w:spacing w:line="240" w:lineRule="auto"/>
                    <w:ind w:firstLine="0" w:firstLineChars="0"/>
                    <w:jc w:val="center"/>
                    <w:rPr>
                      <w:rFonts w:cs="Times New Roman"/>
                      <w:sz w:val="21"/>
                      <w:szCs w:val="21"/>
                    </w:rPr>
                  </w:pPr>
                  <w:r>
                    <w:rPr>
                      <w:rFonts w:cs="Times New Roman"/>
                      <w:sz w:val="21"/>
                      <w:szCs w:val="21"/>
                    </w:rPr>
                    <w:t>0.039008</w:t>
                  </w:r>
                </w:p>
              </w:tc>
              <w:tc>
                <w:tcPr>
                  <w:tcW w:w="993" w:type="dxa"/>
                  <w:vAlign w:val="center"/>
                </w:tcPr>
                <w:p w14:paraId="5F25AADE">
                  <w:pPr>
                    <w:spacing w:line="240" w:lineRule="auto"/>
                    <w:ind w:firstLine="0" w:firstLineChars="0"/>
                    <w:jc w:val="center"/>
                    <w:rPr>
                      <w:rFonts w:cs="Times New Roman"/>
                      <w:sz w:val="21"/>
                      <w:szCs w:val="21"/>
                    </w:rPr>
                  </w:pPr>
                  <w:r>
                    <w:rPr>
                      <w:rFonts w:cs="Times New Roman"/>
                      <w:sz w:val="21"/>
                      <w:szCs w:val="21"/>
                    </w:rPr>
                    <w:t>4.33</w:t>
                  </w:r>
                </w:p>
              </w:tc>
              <w:tc>
                <w:tcPr>
                  <w:tcW w:w="1202" w:type="dxa"/>
                  <w:vAlign w:val="center"/>
                </w:tcPr>
                <w:p w14:paraId="74BA2CFC">
                  <w:pPr>
                    <w:spacing w:line="240" w:lineRule="auto"/>
                    <w:ind w:firstLine="0" w:firstLineChars="0"/>
                    <w:jc w:val="center"/>
                    <w:rPr>
                      <w:rFonts w:cs="Times New Roman"/>
                      <w:sz w:val="21"/>
                      <w:szCs w:val="21"/>
                    </w:rPr>
                  </w:pPr>
                  <w:r>
                    <w:rPr>
                      <w:rFonts w:cs="Times New Roman"/>
                      <w:sz w:val="21"/>
                      <w:szCs w:val="21"/>
                    </w:rPr>
                    <w:t>0.001856</w:t>
                  </w:r>
                </w:p>
              </w:tc>
              <w:tc>
                <w:tcPr>
                  <w:tcW w:w="993" w:type="dxa"/>
                  <w:vAlign w:val="center"/>
                </w:tcPr>
                <w:p w14:paraId="1CFAD894">
                  <w:pPr>
                    <w:spacing w:line="240" w:lineRule="auto"/>
                    <w:ind w:firstLine="0" w:firstLineChars="0"/>
                    <w:jc w:val="center"/>
                    <w:rPr>
                      <w:rFonts w:cs="Times New Roman"/>
                      <w:sz w:val="21"/>
                      <w:szCs w:val="21"/>
                    </w:rPr>
                  </w:pPr>
                  <w:r>
                    <w:rPr>
                      <w:rFonts w:cs="Times New Roman"/>
                      <w:sz w:val="21"/>
                      <w:szCs w:val="21"/>
                    </w:rPr>
                    <w:t>0.21</w:t>
                  </w:r>
                </w:p>
              </w:tc>
              <w:tc>
                <w:tcPr>
                  <w:tcW w:w="1212" w:type="dxa"/>
                  <w:vAlign w:val="center"/>
                </w:tcPr>
                <w:p w14:paraId="46EE9592">
                  <w:pPr>
                    <w:spacing w:line="240" w:lineRule="auto"/>
                    <w:ind w:firstLine="0" w:firstLineChars="0"/>
                    <w:jc w:val="center"/>
                    <w:rPr>
                      <w:rFonts w:cs="Times New Roman"/>
                      <w:sz w:val="21"/>
                      <w:szCs w:val="21"/>
                    </w:rPr>
                  </w:pPr>
                  <w:r>
                    <w:rPr>
                      <w:rFonts w:cs="Times New Roman"/>
                      <w:sz w:val="21"/>
                      <w:szCs w:val="21"/>
                    </w:rPr>
                    <w:t>0.000524</w:t>
                  </w:r>
                </w:p>
              </w:tc>
              <w:tc>
                <w:tcPr>
                  <w:tcW w:w="1026" w:type="dxa"/>
                  <w:vAlign w:val="center"/>
                </w:tcPr>
                <w:p w14:paraId="1FCFF680">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0A28CF08">
                  <w:pPr>
                    <w:spacing w:line="240" w:lineRule="auto"/>
                    <w:ind w:firstLine="0" w:firstLineChars="0"/>
                    <w:jc w:val="center"/>
                    <w:rPr>
                      <w:rFonts w:cs="Times New Roman"/>
                      <w:sz w:val="21"/>
                      <w:szCs w:val="21"/>
                    </w:rPr>
                  </w:pPr>
                  <w:r>
                    <w:rPr>
                      <w:rFonts w:cs="Times New Roman"/>
                      <w:sz w:val="21"/>
                      <w:szCs w:val="21"/>
                    </w:rPr>
                    <w:t>0.04884</w:t>
                  </w:r>
                </w:p>
              </w:tc>
              <w:tc>
                <w:tcPr>
                  <w:tcW w:w="993" w:type="dxa"/>
                  <w:vAlign w:val="center"/>
                </w:tcPr>
                <w:p w14:paraId="7C86EDBE">
                  <w:pPr>
                    <w:spacing w:line="240" w:lineRule="auto"/>
                    <w:ind w:firstLine="0" w:firstLineChars="0"/>
                    <w:jc w:val="center"/>
                    <w:rPr>
                      <w:rFonts w:cs="Times New Roman"/>
                      <w:sz w:val="21"/>
                      <w:szCs w:val="21"/>
                    </w:rPr>
                  </w:pPr>
                  <w:r>
                    <w:rPr>
                      <w:rFonts w:cs="Times New Roman"/>
                      <w:sz w:val="21"/>
                      <w:szCs w:val="21"/>
                    </w:rPr>
                    <w:t>5.43</w:t>
                  </w:r>
                </w:p>
              </w:tc>
            </w:tr>
            <w:tr w14:paraId="08B8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AF4567F">
                  <w:pPr>
                    <w:spacing w:line="240" w:lineRule="auto"/>
                    <w:ind w:firstLine="0" w:firstLineChars="0"/>
                    <w:jc w:val="center"/>
                    <w:rPr>
                      <w:rFonts w:cs="Times New Roman"/>
                      <w:sz w:val="21"/>
                      <w:szCs w:val="21"/>
                    </w:rPr>
                  </w:pPr>
                  <w:r>
                    <w:rPr>
                      <w:rFonts w:cs="Times New Roman"/>
                      <w:sz w:val="21"/>
                      <w:szCs w:val="21"/>
                    </w:rPr>
                    <w:t>475</w:t>
                  </w:r>
                </w:p>
              </w:tc>
              <w:tc>
                <w:tcPr>
                  <w:tcW w:w="1199" w:type="dxa"/>
                  <w:vAlign w:val="center"/>
                </w:tcPr>
                <w:p w14:paraId="03A2C581">
                  <w:pPr>
                    <w:spacing w:line="240" w:lineRule="auto"/>
                    <w:ind w:firstLine="0" w:firstLineChars="0"/>
                    <w:jc w:val="center"/>
                    <w:rPr>
                      <w:rFonts w:cs="Times New Roman"/>
                      <w:sz w:val="21"/>
                      <w:szCs w:val="21"/>
                    </w:rPr>
                  </w:pPr>
                  <w:r>
                    <w:rPr>
                      <w:rFonts w:cs="Times New Roman"/>
                      <w:sz w:val="21"/>
                      <w:szCs w:val="21"/>
                    </w:rPr>
                    <w:t>0.037444</w:t>
                  </w:r>
                </w:p>
              </w:tc>
              <w:tc>
                <w:tcPr>
                  <w:tcW w:w="993" w:type="dxa"/>
                  <w:vAlign w:val="center"/>
                </w:tcPr>
                <w:p w14:paraId="34C98AF8">
                  <w:pPr>
                    <w:spacing w:line="240" w:lineRule="auto"/>
                    <w:ind w:firstLine="0" w:firstLineChars="0"/>
                    <w:jc w:val="center"/>
                    <w:rPr>
                      <w:rFonts w:cs="Times New Roman"/>
                      <w:sz w:val="21"/>
                      <w:szCs w:val="21"/>
                    </w:rPr>
                  </w:pPr>
                  <w:r>
                    <w:rPr>
                      <w:rFonts w:cs="Times New Roman"/>
                      <w:sz w:val="21"/>
                      <w:szCs w:val="21"/>
                    </w:rPr>
                    <w:t>4.16</w:t>
                  </w:r>
                </w:p>
              </w:tc>
              <w:tc>
                <w:tcPr>
                  <w:tcW w:w="1202" w:type="dxa"/>
                  <w:vAlign w:val="center"/>
                </w:tcPr>
                <w:p w14:paraId="64D45117">
                  <w:pPr>
                    <w:spacing w:line="240" w:lineRule="auto"/>
                    <w:ind w:firstLine="0" w:firstLineChars="0"/>
                    <w:jc w:val="center"/>
                    <w:rPr>
                      <w:rFonts w:cs="Times New Roman"/>
                      <w:sz w:val="21"/>
                      <w:szCs w:val="21"/>
                    </w:rPr>
                  </w:pPr>
                  <w:r>
                    <w:rPr>
                      <w:rFonts w:cs="Times New Roman"/>
                      <w:sz w:val="21"/>
                      <w:szCs w:val="21"/>
                    </w:rPr>
                    <w:t>0.001786</w:t>
                  </w:r>
                </w:p>
              </w:tc>
              <w:tc>
                <w:tcPr>
                  <w:tcW w:w="993" w:type="dxa"/>
                  <w:vAlign w:val="center"/>
                </w:tcPr>
                <w:p w14:paraId="54A7D00D">
                  <w:pPr>
                    <w:spacing w:line="240" w:lineRule="auto"/>
                    <w:ind w:firstLine="0" w:firstLineChars="0"/>
                    <w:jc w:val="center"/>
                    <w:rPr>
                      <w:rFonts w:cs="Times New Roman"/>
                      <w:sz w:val="21"/>
                      <w:szCs w:val="21"/>
                    </w:rPr>
                  </w:pPr>
                  <w:r>
                    <w:rPr>
                      <w:rFonts w:cs="Times New Roman"/>
                      <w:sz w:val="21"/>
                      <w:szCs w:val="21"/>
                    </w:rPr>
                    <w:t>0.2</w:t>
                  </w:r>
                </w:p>
              </w:tc>
              <w:tc>
                <w:tcPr>
                  <w:tcW w:w="1212" w:type="dxa"/>
                  <w:vAlign w:val="center"/>
                </w:tcPr>
                <w:p w14:paraId="7820D724">
                  <w:pPr>
                    <w:spacing w:line="240" w:lineRule="auto"/>
                    <w:ind w:firstLine="0" w:firstLineChars="0"/>
                    <w:jc w:val="center"/>
                    <w:rPr>
                      <w:rFonts w:cs="Times New Roman"/>
                      <w:sz w:val="21"/>
                      <w:szCs w:val="21"/>
                    </w:rPr>
                  </w:pPr>
                  <w:r>
                    <w:rPr>
                      <w:rFonts w:cs="Times New Roman"/>
                      <w:sz w:val="21"/>
                      <w:szCs w:val="21"/>
                    </w:rPr>
                    <w:t>0.000544</w:t>
                  </w:r>
                </w:p>
              </w:tc>
              <w:tc>
                <w:tcPr>
                  <w:tcW w:w="1026" w:type="dxa"/>
                  <w:vAlign w:val="center"/>
                </w:tcPr>
                <w:p w14:paraId="166F3FC8">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6024013D">
                  <w:pPr>
                    <w:spacing w:line="240" w:lineRule="auto"/>
                    <w:ind w:firstLine="0" w:firstLineChars="0"/>
                    <w:jc w:val="center"/>
                    <w:rPr>
                      <w:rFonts w:cs="Times New Roman"/>
                      <w:sz w:val="21"/>
                      <w:szCs w:val="21"/>
                    </w:rPr>
                  </w:pPr>
                  <w:r>
                    <w:rPr>
                      <w:rFonts w:cs="Times New Roman"/>
                      <w:sz w:val="21"/>
                      <w:szCs w:val="21"/>
                    </w:rPr>
                    <w:t>0.046716</w:t>
                  </w:r>
                </w:p>
              </w:tc>
              <w:tc>
                <w:tcPr>
                  <w:tcW w:w="993" w:type="dxa"/>
                  <w:vAlign w:val="center"/>
                </w:tcPr>
                <w:p w14:paraId="70DFA199">
                  <w:pPr>
                    <w:spacing w:line="240" w:lineRule="auto"/>
                    <w:ind w:firstLine="0" w:firstLineChars="0"/>
                    <w:jc w:val="center"/>
                    <w:rPr>
                      <w:rFonts w:cs="Times New Roman"/>
                      <w:sz w:val="21"/>
                      <w:szCs w:val="21"/>
                    </w:rPr>
                  </w:pPr>
                  <w:r>
                    <w:rPr>
                      <w:rFonts w:cs="Times New Roman"/>
                      <w:sz w:val="21"/>
                      <w:szCs w:val="21"/>
                    </w:rPr>
                    <w:t>5.19</w:t>
                  </w:r>
                </w:p>
              </w:tc>
            </w:tr>
            <w:tr w14:paraId="35D7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03CF018">
                  <w:pPr>
                    <w:spacing w:line="240" w:lineRule="auto"/>
                    <w:ind w:firstLine="0" w:firstLineChars="0"/>
                    <w:jc w:val="center"/>
                    <w:rPr>
                      <w:rFonts w:cs="Times New Roman"/>
                      <w:sz w:val="21"/>
                      <w:szCs w:val="21"/>
                    </w:rPr>
                  </w:pPr>
                  <w:r>
                    <w:rPr>
                      <w:rFonts w:cs="Times New Roman"/>
                      <w:sz w:val="21"/>
                      <w:szCs w:val="21"/>
                    </w:rPr>
                    <w:t>500</w:t>
                  </w:r>
                </w:p>
              </w:tc>
              <w:tc>
                <w:tcPr>
                  <w:tcW w:w="1199" w:type="dxa"/>
                  <w:vAlign w:val="center"/>
                </w:tcPr>
                <w:p w14:paraId="65DE0EF2">
                  <w:pPr>
                    <w:spacing w:line="240" w:lineRule="auto"/>
                    <w:ind w:firstLine="0" w:firstLineChars="0"/>
                    <w:jc w:val="center"/>
                    <w:rPr>
                      <w:rFonts w:cs="Times New Roman"/>
                      <w:sz w:val="21"/>
                      <w:szCs w:val="21"/>
                    </w:rPr>
                  </w:pPr>
                  <w:r>
                    <w:rPr>
                      <w:rFonts w:cs="Times New Roman"/>
                      <w:sz w:val="21"/>
                      <w:szCs w:val="21"/>
                    </w:rPr>
                    <w:t>0.036029</w:t>
                  </w:r>
                </w:p>
              </w:tc>
              <w:tc>
                <w:tcPr>
                  <w:tcW w:w="993" w:type="dxa"/>
                  <w:vAlign w:val="center"/>
                </w:tcPr>
                <w:p w14:paraId="042B3319">
                  <w:pPr>
                    <w:spacing w:line="240" w:lineRule="auto"/>
                    <w:ind w:firstLine="0" w:firstLineChars="0"/>
                    <w:jc w:val="center"/>
                    <w:rPr>
                      <w:rFonts w:cs="Times New Roman"/>
                      <w:sz w:val="21"/>
                      <w:szCs w:val="21"/>
                    </w:rPr>
                  </w:pPr>
                  <w:r>
                    <w:rPr>
                      <w:rFonts w:cs="Times New Roman"/>
                      <w:sz w:val="21"/>
                      <w:szCs w:val="21"/>
                    </w:rPr>
                    <w:t>4</w:t>
                  </w:r>
                </w:p>
              </w:tc>
              <w:tc>
                <w:tcPr>
                  <w:tcW w:w="1202" w:type="dxa"/>
                  <w:vAlign w:val="center"/>
                </w:tcPr>
                <w:p w14:paraId="02915309">
                  <w:pPr>
                    <w:spacing w:line="240" w:lineRule="auto"/>
                    <w:ind w:firstLine="0" w:firstLineChars="0"/>
                    <w:jc w:val="center"/>
                    <w:rPr>
                      <w:rFonts w:cs="Times New Roman"/>
                      <w:sz w:val="21"/>
                      <w:szCs w:val="21"/>
                    </w:rPr>
                  </w:pPr>
                  <w:r>
                    <w:rPr>
                      <w:rFonts w:cs="Times New Roman"/>
                      <w:sz w:val="21"/>
                      <w:szCs w:val="21"/>
                    </w:rPr>
                    <w:t>0.001722</w:t>
                  </w:r>
                </w:p>
              </w:tc>
              <w:tc>
                <w:tcPr>
                  <w:tcW w:w="993" w:type="dxa"/>
                  <w:vAlign w:val="center"/>
                </w:tcPr>
                <w:p w14:paraId="07CE4FA3">
                  <w:pPr>
                    <w:spacing w:line="240" w:lineRule="auto"/>
                    <w:ind w:firstLine="0" w:firstLineChars="0"/>
                    <w:jc w:val="center"/>
                    <w:rPr>
                      <w:rFonts w:cs="Times New Roman"/>
                      <w:sz w:val="21"/>
                      <w:szCs w:val="21"/>
                    </w:rPr>
                  </w:pPr>
                  <w:r>
                    <w:rPr>
                      <w:rFonts w:cs="Times New Roman"/>
                      <w:sz w:val="21"/>
                      <w:szCs w:val="21"/>
                    </w:rPr>
                    <w:t>0.19</w:t>
                  </w:r>
                </w:p>
              </w:tc>
              <w:tc>
                <w:tcPr>
                  <w:tcW w:w="1212" w:type="dxa"/>
                  <w:vAlign w:val="center"/>
                </w:tcPr>
                <w:p w14:paraId="5311BF72">
                  <w:pPr>
                    <w:spacing w:line="240" w:lineRule="auto"/>
                    <w:ind w:firstLine="0" w:firstLineChars="0"/>
                    <w:jc w:val="center"/>
                    <w:rPr>
                      <w:rFonts w:cs="Times New Roman"/>
                      <w:sz w:val="21"/>
                      <w:szCs w:val="21"/>
                    </w:rPr>
                  </w:pPr>
                  <w:r>
                    <w:rPr>
                      <w:rFonts w:cs="Times New Roman"/>
                      <w:sz w:val="21"/>
                      <w:szCs w:val="21"/>
                    </w:rPr>
                    <w:t>0.000524</w:t>
                  </w:r>
                </w:p>
              </w:tc>
              <w:tc>
                <w:tcPr>
                  <w:tcW w:w="1026" w:type="dxa"/>
                  <w:vAlign w:val="center"/>
                </w:tcPr>
                <w:p w14:paraId="58439CE5">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664920BD">
                  <w:pPr>
                    <w:spacing w:line="240" w:lineRule="auto"/>
                    <w:ind w:firstLine="0" w:firstLineChars="0"/>
                    <w:jc w:val="center"/>
                    <w:rPr>
                      <w:rFonts w:cs="Times New Roman"/>
                      <w:sz w:val="21"/>
                      <w:szCs w:val="21"/>
                    </w:rPr>
                  </w:pPr>
                  <w:r>
                    <w:rPr>
                      <w:rFonts w:cs="Times New Roman"/>
                      <w:sz w:val="21"/>
                      <w:szCs w:val="21"/>
                    </w:rPr>
                    <w:t>0.044812</w:t>
                  </w:r>
                </w:p>
              </w:tc>
              <w:tc>
                <w:tcPr>
                  <w:tcW w:w="993" w:type="dxa"/>
                  <w:vAlign w:val="center"/>
                </w:tcPr>
                <w:p w14:paraId="1914622D">
                  <w:pPr>
                    <w:spacing w:line="240" w:lineRule="auto"/>
                    <w:ind w:firstLine="0" w:firstLineChars="0"/>
                    <w:jc w:val="center"/>
                    <w:rPr>
                      <w:rFonts w:cs="Times New Roman"/>
                      <w:sz w:val="21"/>
                      <w:szCs w:val="21"/>
                    </w:rPr>
                  </w:pPr>
                  <w:r>
                    <w:rPr>
                      <w:rFonts w:cs="Times New Roman"/>
                      <w:sz w:val="21"/>
                      <w:szCs w:val="21"/>
                    </w:rPr>
                    <w:t>4.98</w:t>
                  </w:r>
                </w:p>
              </w:tc>
            </w:tr>
            <w:tr w14:paraId="509F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A47C475">
                  <w:pPr>
                    <w:spacing w:line="240" w:lineRule="auto"/>
                    <w:ind w:firstLine="0" w:firstLineChars="0"/>
                    <w:jc w:val="center"/>
                    <w:rPr>
                      <w:rFonts w:cs="Times New Roman"/>
                      <w:sz w:val="21"/>
                      <w:szCs w:val="21"/>
                    </w:rPr>
                  </w:pPr>
                  <w:r>
                    <w:rPr>
                      <w:rFonts w:cs="Times New Roman"/>
                      <w:sz w:val="21"/>
                      <w:szCs w:val="21"/>
                    </w:rPr>
                    <w:t>525</w:t>
                  </w:r>
                </w:p>
              </w:tc>
              <w:tc>
                <w:tcPr>
                  <w:tcW w:w="1199" w:type="dxa"/>
                  <w:vAlign w:val="center"/>
                </w:tcPr>
                <w:p w14:paraId="3B098323">
                  <w:pPr>
                    <w:spacing w:line="240" w:lineRule="auto"/>
                    <w:ind w:firstLine="0" w:firstLineChars="0"/>
                    <w:jc w:val="center"/>
                    <w:rPr>
                      <w:rFonts w:cs="Times New Roman"/>
                      <w:sz w:val="21"/>
                      <w:szCs w:val="21"/>
                    </w:rPr>
                  </w:pPr>
                  <w:r>
                    <w:rPr>
                      <w:rFonts w:cs="Times New Roman"/>
                      <w:sz w:val="21"/>
                      <w:szCs w:val="21"/>
                    </w:rPr>
                    <w:t>0.034741</w:t>
                  </w:r>
                </w:p>
              </w:tc>
              <w:tc>
                <w:tcPr>
                  <w:tcW w:w="993" w:type="dxa"/>
                  <w:vAlign w:val="center"/>
                </w:tcPr>
                <w:p w14:paraId="324E0B29">
                  <w:pPr>
                    <w:spacing w:line="240" w:lineRule="auto"/>
                    <w:ind w:firstLine="0" w:firstLineChars="0"/>
                    <w:jc w:val="center"/>
                    <w:rPr>
                      <w:rFonts w:cs="Times New Roman"/>
                      <w:sz w:val="21"/>
                      <w:szCs w:val="21"/>
                    </w:rPr>
                  </w:pPr>
                  <w:r>
                    <w:rPr>
                      <w:rFonts w:cs="Times New Roman"/>
                      <w:sz w:val="21"/>
                      <w:szCs w:val="21"/>
                    </w:rPr>
                    <w:t>3.86</w:t>
                  </w:r>
                </w:p>
              </w:tc>
              <w:tc>
                <w:tcPr>
                  <w:tcW w:w="1202" w:type="dxa"/>
                  <w:vAlign w:val="center"/>
                </w:tcPr>
                <w:p w14:paraId="1E5F5FCD">
                  <w:pPr>
                    <w:spacing w:line="240" w:lineRule="auto"/>
                    <w:ind w:firstLine="0" w:firstLineChars="0"/>
                    <w:jc w:val="center"/>
                    <w:rPr>
                      <w:rFonts w:cs="Times New Roman"/>
                      <w:sz w:val="21"/>
                      <w:szCs w:val="21"/>
                    </w:rPr>
                  </w:pPr>
                  <w:r>
                    <w:rPr>
                      <w:rFonts w:cs="Times New Roman"/>
                      <w:sz w:val="21"/>
                      <w:szCs w:val="21"/>
                    </w:rPr>
                    <w:t>0.001663</w:t>
                  </w:r>
                </w:p>
              </w:tc>
              <w:tc>
                <w:tcPr>
                  <w:tcW w:w="993" w:type="dxa"/>
                  <w:vAlign w:val="center"/>
                </w:tcPr>
                <w:p w14:paraId="43BB0A02">
                  <w:pPr>
                    <w:spacing w:line="240" w:lineRule="auto"/>
                    <w:ind w:firstLine="0" w:firstLineChars="0"/>
                    <w:jc w:val="center"/>
                    <w:rPr>
                      <w:rFonts w:cs="Times New Roman"/>
                      <w:sz w:val="21"/>
                      <w:szCs w:val="21"/>
                    </w:rPr>
                  </w:pPr>
                  <w:r>
                    <w:rPr>
                      <w:rFonts w:cs="Times New Roman"/>
                      <w:sz w:val="21"/>
                      <w:szCs w:val="21"/>
                    </w:rPr>
                    <w:t>0.18</w:t>
                  </w:r>
                </w:p>
              </w:tc>
              <w:tc>
                <w:tcPr>
                  <w:tcW w:w="1212" w:type="dxa"/>
                  <w:vAlign w:val="center"/>
                </w:tcPr>
                <w:p w14:paraId="3D337113">
                  <w:pPr>
                    <w:spacing w:line="240" w:lineRule="auto"/>
                    <w:ind w:firstLine="0" w:firstLineChars="0"/>
                    <w:jc w:val="center"/>
                    <w:rPr>
                      <w:rFonts w:cs="Times New Roman"/>
                      <w:sz w:val="21"/>
                      <w:szCs w:val="21"/>
                    </w:rPr>
                  </w:pPr>
                  <w:r>
                    <w:rPr>
                      <w:rFonts w:cs="Times New Roman"/>
                      <w:sz w:val="21"/>
                      <w:szCs w:val="21"/>
                    </w:rPr>
                    <w:t>0.000507</w:t>
                  </w:r>
                </w:p>
              </w:tc>
              <w:tc>
                <w:tcPr>
                  <w:tcW w:w="1026" w:type="dxa"/>
                  <w:vAlign w:val="center"/>
                </w:tcPr>
                <w:p w14:paraId="12116AA2">
                  <w:pPr>
                    <w:spacing w:line="240" w:lineRule="auto"/>
                    <w:ind w:firstLine="0" w:firstLineChars="0"/>
                    <w:jc w:val="center"/>
                    <w:rPr>
                      <w:rFonts w:cs="Times New Roman"/>
                      <w:sz w:val="21"/>
                      <w:szCs w:val="21"/>
                    </w:rPr>
                  </w:pPr>
                  <w:r>
                    <w:rPr>
                      <w:rFonts w:cs="Times New Roman"/>
                      <w:sz w:val="21"/>
                      <w:szCs w:val="21"/>
                    </w:rPr>
                    <w:t>0.06</w:t>
                  </w:r>
                </w:p>
              </w:tc>
              <w:tc>
                <w:tcPr>
                  <w:tcW w:w="1224" w:type="dxa"/>
                  <w:vAlign w:val="center"/>
                </w:tcPr>
                <w:p w14:paraId="23A0013E">
                  <w:pPr>
                    <w:spacing w:line="240" w:lineRule="auto"/>
                    <w:ind w:firstLine="0" w:firstLineChars="0"/>
                    <w:jc w:val="center"/>
                    <w:rPr>
                      <w:rFonts w:cs="Times New Roman"/>
                      <w:sz w:val="21"/>
                      <w:szCs w:val="21"/>
                    </w:rPr>
                  </w:pPr>
                  <w:r>
                    <w:rPr>
                      <w:rFonts w:cs="Times New Roman"/>
                      <w:sz w:val="21"/>
                      <w:szCs w:val="21"/>
                    </w:rPr>
                    <w:t>0.043096</w:t>
                  </w:r>
                </w:p>
              </w:tc>
              <w:tc>
                <w:tcPr>
                  <w:tcW w:w="993" w:type="dxa"/>
                  <w:vAlign w:val="center"/>
                </w:tcPr>
                <w:p w14:paraId="3ECB2012">
                  <w:pPr>
                    <w:spacing w:line="240" w:lineRule="auto"/>
                    <w:ind w:firstLine="0" w:firstLineChars="0"/>
                    <w:jc w:val="center"/>
                    <w:rPr>
                      <w:rFonts w:cs="Times New Roman"/>
                      <w:sz w:val="21"/>
                      <w:szCs w:val="21"/>
                    </w:rPr>
                  </w:pPr>
                  <w:r>
                    <w:rPr>
                      <w:rFonts w:cs="Times New Roman"/>
                      <w:sz w:val="21"/>
                      <w:szCs w:val="21"/>
                    </w:rPr>
                    <w:t>4.79</w:t>
                  </w:r>
                </w:p>
              </w:tc>
            </w:tr>
            <w:tr w14:paraId="6BCC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4FF901E">
                  <w:pPr>
                    <w:spacing w:line="240" w:lineRule="auto"/>
                    <w:ind w:firstLine="0" w:firstLineChars="0"/>
                    <w:jc w:val="center"/>
                    <w:rPr>
                      <w:rFonts w:cs="Times New Roman"/>
                      <w:sz w:val="21"/>
                      <w:szCs w:val="21"/>
                    </w:rPr>
                  </w:pPr>
                  <w:r>
                    <w:rPr>
                      <w:rFonts w:cs="Times New Roman"/>
                      <w:sz w:val="21"/>
                      <w:szCs w:val="21"/>
                    </w:rPr>
                    <w:t>550</w:t>
                  </w:r>
                </w:p>
              </w:tc>
              <w:tc>
                <w:tcPr>
                  <w:tcW w:w="1199" w:type="dxa"/>
                  <w:vAlign w:val="center"/>
                </w:tcPr>
                <w:p w14:paraId="7CF6F2D9">
                  <w:pPr>
                    <w:spacing w:line="240" w:lineRule="auto"/>
                    <w:ind w:firstLine="0" w:firstLineChars="0"/>
                    <w:jc w:val="center"/>
                    <w:rPr>
                      <w:rFonts w:cs="Times New Roman"/>
                      <w:sz w:val="21"/>
                      <w:szCs w:val="21"/>
                    </w:rPr>
                  </w:pPr>
                  <w:r>
                    <w:rPr>
                      <w:rFonts w:cs="Times New Roman"/>
                      <w:sz w:val="21"/>
                      <w:szCs w:val="21"/>
                    </w:rPr>
                    <w:t>0.033451</w:t>
                  </w:r>
                </w:p>
              </w:tc>
              <w:tc>
                <w:tcPr>
                  <w:tcW w:w="993" w:type="dxa"/>
                  <w:vAlign w:val="center"/>
                </w:tcPr>
                <w:p w14:paraId="6D758B27">
                  <w:pPr>
                    <w:spacing w:line="240" w:lineRule="auto"/>
                    <w:ind w:firstLine="0" w:firstLineChars="0"/>
                    <w:jc w:val="center"/>
                    <w:rPr>
                      <w:rFonts w:cs="Times New Roman"/>
                      <w:sz w:val="21"/>
                      <w:szCs w:val="21"/>
                    </w:rPr>
                  </w:pPr>
                  <w:r>
                    <w:rPr>
                      <w:rFonts w:cs="Times New Roman"/>
                      <w:sz w:val="21"/>
                      <w:szCs w:val="21"/>
                    </w:rPr>
                    <w:t>3.72</w:t>
                  </w:r>
                </w:p>
              </w:tc>
              <w:tc>
                <w:tcPr>
                  <w:tcW w:w="1202" w:type="dxa"/>
                  <w:vAlign w:val="center"/>
                </w:tcPr>
                <w:p w14:paraId="1D6AF338">
                  <w:pPr>
                    <w:spacing w:line="240" w:lineRule="auto"/>
                    <w:ind w:firstLine="0" w:firstLineChars="0"/>
                    <w:jc w:val="center"/>
                    <w:rPr>
                      <w:rFonts w:cs="Times New Roman"/>
                      <w:sz w:val="21"/>
                      <w:szCs w:val="21"/>
                    </w:rPr>
                  </w:pPr>
                  <w:r>
                    <w:rPr>
                      <w:rFonts w:cs="Times New Roman"/>
                      <w:sz w:val="21"/>
                      <w:szCs w:val="21"/>
                    </w:rPr>
                    <w:t>0.001609</w:t>
                  </w:r>
                </w:p>
              </w:tc>
              <w:tc>
                <w:tcPr>
                  <w:tcW w:w="993" w:type="dxa"/>
                  <w:vAlign w:val="center"/>
                </w:tcPr>
                <w:p w14:paraId="294709CC">
                  <w:pPr>
                    <w:spacing w:line="240" w:lineRule="auto"/>
                    <w:ind w:firstLine="0" w:firstLineChars="0"/>
                    <w:jc w:val="center"/>
                    <w:rPr>
                      <w:rFonts w:cs="Times New Roman"/>
                      <w:sz w:val="21"/>
                      <w:szCs w:val="21"/>
                    </w:rPr>
                  </w:pPr>
                  <w:r>
                    <w:rPr>
                      <w:rFonts w:cs="Times New Roman"/>
                      <w:sz w:val="21"/>
                      <w:szCs w:val="21"/>
                    </w:rPr>
                    <w:t>0.18</w:t>
                  </w:r>
                </w:p>
              </w:tc>
              <w:tc>
                <w:tcPr>
                  <w:tcW w:w="1212" w:type="dxa"/>
                  <w:vAlign w:val="center"/>
                </w:tcPr>
                <w:p w14:paraId="2CCD9172">
                  <w:pPr>
                    <w:spacing w:line="240" w:lineRule="auto"/>
                    <w:ind w:firstLine="0" w:firstLineChars="0"/>
                    <w:jc w:val="center"/>
                    <w:rPr>
                      <w:rFonts w:cs="Times New Roman"/>
                      <w:sz w:val="21"/>
                      <w:szCs w:val="21"/>
                    </w:rPr>
                  </w:pPr>
                  <w:r>
                    <w:rPr>
                      <w:rFonts w:cs="Times New Roman"/>
                      <w:sz w:val="21"/>
                      <w:szCs w:val="21"/>
                    </w:rPr>
                    <w:t>0.00049</w:t>
                  </w:r>
                </w:p>
              </w:tc>
              <w:tc>
                <w:tcPr>
                  <w:tcW w:w="1026" w:type="dxa"/>
                  <w:vAlign w:val="center"/>
                </w:tcPr>
                <w:p w14:paraId="1B4492CE">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4070A6B7">
                  <w:pPr>
                    <w:spacing w:line="240" w:lineRule="auto"/>
                    <w:ind w:firstLine="0" w:firstLineChars="0"/>
                    <w:jc w:val="center"/>
                    <w:rPr>
                      <w:rFonts w:cs="Times New Roman"/>
                      <w:sz w:val="21"/>
                      <w:szCs w:val="21"/>
                    </w:rPr>
                  </w:pPr>
                  <w:r>
                    <w:rPr>
                      <w:rFonts w:cs="Times New Roman"/>
                      <w:sz w:val="21"/>
                      <w:szCs w:val="21"/>
                    </w:rPr>
                    <w:t>0.041536</w:t>
                  </w:r>
                </w:p>
              </w:tc>
              <w:tc>
                <w:tcPr>
                  <w:tcW w:w="993" w:type="dxa"/>
                  <w:vAlign w:val="center"/>
                </w:tcPr>
                <w:p w14:paraId="5EAC7346">
                  <w:pPr>
                    <w:spacing w:line="240" w:lineRule="auto"/>
                    <w:ind w:firstLine="0" w:firstLineChars="0"/>
                    <w:jc w:val="center"/>
                    <w:rPr>
                      <w:rFonts w:cs="Times New Roman"/>
                      <w:sz w:val="21"/>
                      <w:szCs w:val="21"/>
                    </w:rPr>
                  </w:pPr>
                  <w:r>
                    <w:rPr>
                      <w:rFonts w:cs="Times New Roman"/>
                      <w:sz w:val="21"/>
                      <w:szCs w:val="21"/>
                    </w:rPr>
                    <w:t>4.62</w:t>
                  </w:r>
                </w:p>
              </w:tc>
            </w:tr>
            <w:tr w14:paraId="4870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7EE616D">
                  <w:pPr>
                    <w:spacing w:line="240" w:lineRule="auto"/>
                    <w:ind w:firstLine="0" w:firstLineChars="0"/>
                    <w:jc w:val="center"/>
                    <w:rPr>
                      <w:rFonts w:cs="Times New Roman"/>
                      <w:sz w:val="21"/>
                      <w:szCs w:val="21"/>
                    </w:rPr>
                  </w:pPr>
                  <w:r>
                    <w:rPr>
                      <w:rFonts w:cs="Times New Roman"/>
                      <w:sz w:val="21"/>
                      <w:szCs w:val="21"/>
                    </w:rPr>
                    <w:t>575</w:t>
                  </w:r>
                </w:p>
              </w:tc>
              <w:tc>
                <w:tcPr>
                  <w:tcW w:w="1199" w:type="dxa"/>
                  <w:vAlign w:val="center"/>
                </w:tcPr>
                <w:p w14:paraId="029DB9A9">
                  <w:pPr>
                    <w:spacing w:line="240" w:lineRule="auto"/>
                    <w:ind w:firstLine="0" w:firstLineChars="0"/>
                    <w:jc w:val="center"/>
                    <w:rPr>
                      <w:rFonts w:cs="Times New Roman"/>
                      <w:sz w:val="21"/>
                      <w:szCs w:val="21"/>
                    </w:rPr>
                  </w:pPr>
                  <w:r>
                    <w:rPr>
                      <w:rFonts w:cs="Times New Roman"/>
                      <w:sz w:val="21"/>
                      <w:szCs w:val="21"/>
                    </w:rPr>
                    <w:t>0.03238</w:t>
                  </w:r>
                </w:p>
              </w:tc>
              <w:tc>
                <w:tcPr>
                  <w:tcW w:w="993" w:type="dxa"/>
                  <w:vAlign w:val="center"/>
                </w:tcPr>
                <w:p w14:paraId="5AE6D55A">
                  <w:pPr>
                    <w:spacing w:line="240" w:lineRule="auto"/>
                    <w:ind w:firstLine="0" w:firstLineChars="0"/>
                    <w:jc w:val="center"/>
                    <w:rPr>
                      <w:rFonts w:cs="Times New Roman"/>
                      <w:sz w:val="21"/>
                      <w:szCs w:val="21"/>
                    </w:rPr>
                  </w:pPr>
                  <w:r>
                    <w:rPr>
                      <w:rFonts w:cs="Times New Roman"/>
                      <w:sz w:val="21"/>
                      <w:szCs w:val="21"/>
                    </w:rPr>
                    <w:t>3.6</w:t>
                  </w:r>
                </w:p>
              </w:tc>
              <w:tc>
                <w:tcPr>
                  <w:tcW w:w="1202" w:type="dxa"/>
                  <w:vAlign w:val="center"/>
                </w:tcPr>
                <w:p w14:paraId="037407CD">
                  <w:pPr>
                    <w:spacing w:line="240" w:lineRule="auto"/>
                    <w:ind w:firstLine="0" w:firstLineChars="0"/>
                    <w:jc w:val="center"/>
                    <w:rPr>
                      <w:rFonts w:cs="Times New Roman"/>
                      <w:sz w:val="21"/>
                      <w:szCs w:val="21"/>
                    </w:rPr>
                  </w:pPr>
                  <w:r>
                    <w:rPr>
                      <w:rFonts w:cs="Times New Roman"/>
                      <w:sz w:val="21"/>
                      <w:szCs w:val="21"/>
                    </w:rPr>
                    <w:t>0.001559</w:t>
                  </w:r>
                </w:p>
              </w:tc>
              <w:tc>
                <w:tcPr>
                  <w:tcW w:w="993" w:type="dxa"/>
                  <w:vAlign w:val="center"/>
                </w:tcPr>
                <w:p w14:paraId="689CAAD7">
                  <w:pPr>
                    <w:spacing w:line="240" w:lineRule="auto"/>
                    <w:ind w:firstLine="0" w:firstLineChars="0"/>
                    <w:jc w:val="center"/>
                    <w:rPr>
                      <w:rFonts w:cs="Times New Roman"/>
                      <w:sz w:val="21"/>
                      <w:szCs w:val="21"/>
                    </w:rPr>
                  </w:pPr>
                  <w:r>
                    <w:rPr>
                      <w:rFonts w:cs="Times New Roman"/>
                      <w:sz w:val="21"/>
                      <w:szCs w:val="21"/>
                    </w:rPr>
                    <w:t>0.17</w:t>
                  </w:r>
                </w:p>
              </w:tc>
              <w:tc>
                <w:tcPr>
                  <w:tcW w:w="1212" w:type="dxa"/>
                  <w:vAlign w:val="center"/>
                </w:tcPr>
                <w:p w14:paraId="7B8C969C">
                  <w:pPr>
                    <w:spacing w:line="240" w:lineRule="auto"/>
                    <w:ind w:firstLine="0" w:firstLineChars="0"/>
                    <w:jc w:val="center"/>
                    <w:rPr>
                      <w:rFonts w:cs="Times New Roman"/>
                      <w:sz w:val="21"/>
                      <w:szCs w:val="21"/>
                    </w:rPr>
                  </w:pPr>
                  <w:r>
                    <w:rPr>
                      <w:rFonts w:cs="Times New Roman"/>
                      <w:sz w:val="21"/>
                      <w:szCs w:val="21"/>
                    </w:rPr>
                    <w:t>0.000475</w:t>
                  </w:r>
                </w:p>
              </w:tc>
              <w:tc>
                <w:tcPr>
                  <w:tcW w:w="1026" w:type="dxa"/>
                  <w:vAlign w:val="center"/>
                </w:tcPr>
                <w:p w14:paraId="6040DD37">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61C8D021">
                  <w:pPr>
                    <w:spacing w:line="240" w:lineRule="auto"/>
                    <w:ind w:firstLine="0" w:firstLineChars="0"/>
                    <w:jc w:val="center"/>
                    <w:rPr>
                      <w:rFonts w:cs="Times New Roman"/>
                      <w:sz w:val="21"/>
                      <w:szCs w:val="21"/>
                    </w:rPr>
                  </w:pPr>
                  <w:r>
                    <w:rPr>
                      <w:rFonts w:cs="Times New Roman"/>
                      <w:sz w:val="21"/>
                      <w:szCs w:val="21"/>
                    </w:rPr>
                    <w:t>0.040105</w:t>
                  </w:r>
                </w:p>
              </w:tc>
              <w:tc>
                <w:tcPr>
                  <w:tcW w:w="993" w:type="dxa"/>
                  <w:vAlign w:val="center"/>
                </w:tcPr>
                <w:p w14:paraId="4667081B">
                  <w:pPr>
                    <w:spacing w:line="240" w:lineRule="auto"/>
                    <w:ind w:firstLine="0" w:firstLineChars="0"/>
                    <w:jc w:val="center"/>
                    <w:rPr>
                      <w:rFonts w:cs="Times New Roman"/>
                      <w:sz w:val="21"/>
                      <w:szCs w:val="21"/>
                    </w:rPr>
                  </w:pPr>
                  <w:r>
                    <w:rPr>
                      <w:rFonts w:cs="Times New Roman"/>
                      <w:sz w:val="21"/>
                      <w:szCs w:val="21"/>
                    </w:rPr>
                    <w:t>4.46</w:t>
                  </w:r>
                </w:p>
              </w:tc>
            </w:tr>
            <w:tr w14:paraId="1631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3DD24D3">
                  <w:pPr>
                    <w:spacing w:line="240" w:lineRule="auto"/>
                    <w:ind w:firstLine="0" w:firstLineChars="0"/>
                    <w:jc w:val="center"/>
                    <w:rPr>
                      <w:rFonts w:cs="Times New Roman"/>
                      <w:sz w:val="21"/>
                      <w:szCs w:val="21"/>
                    </w:rPr>
                  </w:pPr>
                  <w:r>
                    <w:rPr>
                      <w:rFonts w:cs="Times New Roman"/>
                      <w:sz w:val="21"/>
                      <w:szCs w:val="21"/>
                    </w:rPr>
                    <w:t>600</w:t>
                  </w:r>
                </w:p>
              </w:tc>
              <w:tc>
                <w:tcPr>
                  <w:tcW w:w="1199" w:type="dxa"/>
                  <w:vAlign w:val="center"/>
                </w:tcPr>
                <w:p w14:paraId="2551AD88">
                  <w:pPr>
                    <w:spacing w:line="240" w:lineRule="auto"/>
                    <w:ind w:firstLine="0" w:firstLineChars="0"/>
                    <w:jc w:val="center"/>
                    <w:rPr>
                      <w:rFonts w:cs="Times New Roman"/>
                      <w:sz w:val="21"/>
                      <w:szCs w:val="21"/>
                    </w:rPr>
                  </w:pPr>
                  <w:r>
                    <w:rPr>
                      <w:rFonts w:cs="Times New Roman"/>
                      <w:sz w:val="21"/>
                      <w:szCs w:val="21"/>
                    </w:rPr>
                    <w:t>0.031389</w:t>
                  </w:r>
                </w:p>
              </w:tc>
              <w:tc>
                <w:tcPr>
                  <w:tcW w:w="993" w:type="dxa"/>
                  <w:vAlign w:val="center"/>
                </w:tcPr>
                <w:p w14:paraId="0A7A271F">
                  <w:pPr>
                    <w:spacing w:line="240" w:lineRule="auto"/>
                    <w:ind w:firstLine="0" w:firstLineChars="0"/>
                    <w:jc w:val="center"/>
                    <w:rPr>
                      <w:rFonts w:cs="Times New Roman"/>
                      <w:sz w:val="21"/>
                      <w:szCs w:val="21"/>
                    </w:rPr>
                  </w:pPr>
                  <w:r>
                    <w:rPr>
                      <w:rFonts w:cs="Times New Roman"/>
                      <w:sz w:val="21"/>
                      <w:szCs w:val="21"/>
                    </w:rPr>
                    <w:t>3.49</w:t>
                  </w:r>
                </w:p>
              </w:tc>
              <w:tc>
                <w:tcPr>
                  <w:tcW w:w="1202" w:type="dxa"/>
                  <w:vAlign w:val="center"/>
                </w:tcPr>
                <w:p w14:paraId="37CE253C">
                  <w:pPr>
                    <w:spacing w:line="240" w:lineRule="auto"/>
                    <w:ind w:firstLine="0" w:firstLineChars="0"/>
                    <w:jc w:val="center"/>
                    <w:rPr>
                      <w:rFonts w:cs="Times New Roman"/>
                      <w:sz w:val="21"/>
                      <w:szCs w:val="21"/>
                    </w:rPr>
                  </w:pPr>
                  <w:r>
                    <w:rPr>
                      <w:rFonts w:cs="Times New Roman"/>
                      <w:sz w:val="21"/>
                      <w:szCs w:val="21"/>
                    </w:rPr>
                    <w:t>0.001513</w:t>
                  </w:r>
                </w:p>
              </w:tc>
              <w:tc>
                <w:tcPr>
                  <w:tcW w:w="993" w:type="dxa"/>
                  <w:vAlign w:val="center"/>
                </w:tcPr>
                <w:p w14:paraId="55D3889B">
                  <w:pPr>
                    <w:spacing w:line="240" w:lineRule="auto"/>
                    <w:ind w:firstLine="0" w:firstLineChars="0"/>
                    <w:jc w:val="center"/>
                    <w:rPr>
                      <w:rFonts w:cs="Times New Roman"/>
                      <w:sz w:val="21"/>
                      <w:szCs w:val="21"/>
                    </w:rPr>
                  </w:pPr>
                  <w:r>
                    <w:rPr>
                      <w:rFonts w:cs="Times New Roman"/>
                      <w:sz w:val="21"/>
                      <w:szCs w:val="21"/>
                    </w:rPr>
                    <w:t>0.17</w:t>
                  </w:r>
                </w:p>
              </w:tc>
              <w:tc>
                <w:tcPr>
                  <w:tcW w:w="1212" w:type="dxa"/>
                  <w:vAlign w:val="center"/>
                </w:tcPr>
                <w:p w14:paraId="3E68A617">
                  <w:pPr>
                    <w:spacing w:line="240" w:lineRule="auto"/>
                    <w:ind w:firstLine="0" w:firstLineChars="0"/>
                    <w:jc w:val="center"/>
                    <w:rPr>
                      <w:rFonts w:cs="Times New Roman"/>
                      <w:sz w:val="21"/>
                      <w:szCs w:val="21"/>
                    </w:rPr>
                  </w:pPr>
                  <w:r>
                    <w:rPr>
                      <w:rFonts w:cs="Times New Roman"/>
                      <w:sz w:val="21"/>
                      <w:szCs w:val="21"/>
                    </w:rPr>
                    <w:t>0.000461</w:t>
                  </w:r>
                </w:p>
              </w:tc>
              <w:tc>
                <w:tcPr>
                  <w:tcW w:w="1026" w:type="dxa"/>
                  <w:vAlign w:val="center"/>
                </w:tcPr>
                <w:p w14:paraId="4FF2D9C7">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51C3ABB6">
                  <w:pPr>
                    <w:spacing w:line="240" w:lineRule="auto"/>
                    <w:ind w:firstLine="0" w:firstLineChars="0"/>
                    <w:jc w:val="center"/>
                    <w:rPr>
                      <w:rFonts w:cs="Times New Roman"/>
                      <w:sz w:val="21"/>
                      <w:szCs w:val="21"/>
                    </w:rPr>
                  </w:pPr>
                  <w:r>
                    <w:rPr>
                      <w:rFonts w:cs="Times New Roman"/>
                      <w:sz w:val="21"/>
                      <w:szCs w:val="21"/>
                    </w:rPr>
                    <w:t>0.038792</w:t>
                  </w:r>
                </w:p>
              </w:tc>
              <w:tc>
                <w:tcPr>
                  <w:tcW w:w="993" w:type="dxa"/>
                  <w:vAlign w:val="center"/>
                </w:tcPr>
                <w:p w14:paraId="7B42C709">
                  <w:pPr>
                    <w:spacing w:line="240" w:lineRule="auto"/>
                    <w:ind w:firstLine="0" w:firstLineChars="0"/>
                    <w:jc w:val="center"/>
                    <w:rPr>
                      <w:rFonts w:cs="Times New Roman"/>
                      <w:sz w:val="21"/>
                      <w:szCs w:val="21"/>
                    </w:rPr>
                  </w:pPr>
                  <w:r>
                    <w:rPr>
                      <w:rFonts w:cs="Times New Roman"/>
                      <w:sz w:val="21"/>
                      <w:szCs w:val="21"/>
                    </w:rPr>
                    <w:t>4.31</w:t>
                  </w:r>
                </w:p>
              </w:tc>
            </w:tr>
            <w:tr w14:paraId="4F2B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9F5A6D4">
                  <w:pPr>
                    <w:spacing w:line="240" w:lineRule="auto"/>
                    <w:ind w:firstLine="0" w:firstLineChars="0"/>
                    <w:jc w:val="center"/>
                    <w:rPr>
                      <w:rFonts w:cs="Times New Roman"/>
                      <w:sz w:val="21"/>
                      <w:szCs w:val="21"/>
                    </w:rPr>
                  </w:pPr>
                  <w:r>
                    <w:rPr>
                      <w:rFonts w:cs="Times New Roman"/>
                      <w:sz w:val="21"/>
                      <w:szCs w:val="21"/>
                    </w:rPr>
                    <w:t>625</w:t>
                  </w:r>
                </w:p>
              </w:tc>
              <w:tc>
                <w:tcPr>
                  <w:tcW w:w="1199" w:type="dxa"/>
                  <w:vAlign w:val="center"/>
                </w:tcPr>
                <w:p w14:paraId="17BD9C6C">
                  <w:pPr>
                    <w:spacing w:line="240" w:lineRule="auto"/>
                    <w:ind w:firstLine="0" w:firstLineChars="0"/>
                    <w:jc w:val="center"/>
                    <w:rPr>
                      <w:rFonts w:cs="Times New Roman"/>
                      <w:sz w:val="21"/>
                      <w:szCs w:val="21"/>
                    </w:rPr>
                  </w:pPr>
                  <w:r>
                    <w:rPr>
                      <w:rFonts w:cs="Times New Roman"/>
                      <w:sz w:val="21"/>
                      <w:szCs w:val="21"/>
                    </w:rPr>
                    <w:t>0.030472</w:t>
                  </w:r>
                </w:p>
              </w:tc>
              <w:tc>
                <w:tcPr>
                  <w:tcW w:w="993" w:type="dxa"/>
                  <w:vAlign w:val="center"/>
                </w:tcPr>
                <w:p w14:paraId="384EAB18">
                  <w:pPr>
                    <w:spacing w:line="240" w:lineRule="auto"/>
                    <w:ind w:firstLine="0" w:firstLineChars="0"/>
                    <w:jc w:val="center"/>
                    <w:rPr>
                      <w:rFonts w:cs="Times New Roman"/>
                      <w:sz w:val="21"/>
                      <w:szCs w:val="21"/>
                    </w:rPr>
                  </w:pPr>
                  <w:r>
                    <w:rPr>
                      <w:rFonts w:cs="Times New Roman"/>
                      <w:sz w:val="21"/>
                      <w:szCs w:val="21"/>
                    </w:rPr>
                    <w:t>3.39</w:t>
                  </w:r>
                </w:p>
              </w:tc>
              <w:tc>
                <w:tcPr>
                  <w:tcW w:w="1202" w:type="dxa"/>
                  <w:vAlign w:val="center"/>
                </w:tcPr>
                <w:p w14:paraId="67CD0BD3">
                  <w:pPr>
                    <w:spacing w:line="240" w:lineRule="auto"/>
                    <w:ind w:firstLine="0" w:firstLineChars="0"/>
                    <w:jc w:val="center"/>
                    <w:rPr>
                      <w:rFonts w:cs="Times New Roman"/>
                      <w:sz w:val="21"/>
                      <w:szCs w:val="21"/>
                    </w:rPr>
                  </w:pPr>
                  <w:r>
                    <w:rPr>
                      <w:rFonts w:cs="Times New Roman"/>
                      <w:sz w:val="21"/>
                      <w:szCs w:val="21"/>
                    </w:rPr>
                    <w:t>0.00147</w:t>
                  </w:r>
                </w:p>
              </w:tc>
              <w:tc>
                <w:tcPr>
                  <w:tcW w:w="993" w:type="dxa"/>
                  <w:vAlign w:val="center"/>
                </w:tcPr>
                <w:p w14:paraId="6D7B7FF4">
                  <w:pPr>
                    <w:spacing w:line="240" w:lineRule="auto"/>
                    <w:ind w:firstLine="0" w:firstLineChars="0"/>
                    <w:jc w:val="center"/>
                    <w:rPr>
                      <w:rFonts w:cs="Times New Roman"/>
                      <w:sz w:val="21"/>
                      <w:szCs w:val="21"/>
                    </w:rPr>
                  </w:pPr>
                  <w:r>
                    <w:rPr>
                      <w:rFonts w:cs="Times New Roman"/>
                      <w:sz w:val="21"/>
                      <w:szCs w:val="21"/>
                    </w:rPr>
                    <w:t>0.16</w:t>
                  </w:r>
                </w:p>
              </w:tc>
              <w:tc>
                <w:tcPr>
                  <w:tcW w:w="1212" w:type="dxa"/>
                  <w:vAlign w:val="center"/>
                </w:tcPr>
                <w:p w14:paraId="65B6D670">
                  <w:pPr>
                    <w:spacing w:line="240" w:lineRule="auto"/>
                    <w:ind w:firstLine="0" w:firstLineChars="0"/>
                    <w:jc w:val="center"/>
                    <w:rPr>
                      <w:rFonts w:cs="Times New Roman"/>
                      <w:sz w:val="21"/>
                      <w:szCs w:val="21"/>
                    </w:rPr>
                  </w:pPr>
                  <w:r>
                    <w:rPr>
                      <w:rFonts w:cs="Times New Roman"/>
                      <w:sz w:val="21"/>
                      <w:szCs w:val="21"/>
                    </w:rPr>
                    <w:t>0.000448</w:t>
                  </w:r>
                </w:p>
              </w:tc>
              <w:tc>
                <w:tcPr>
                  <w:tcW w:w="1026" w:type="dxa"/>
                  <w:vAlign w:val="center"/>
                </w:tcPr>
                <w:p w14:paraId="763B43DA">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4A995544">
                  <w:pPr>
                    <w:spacing w:line="240" w:lineRule="auto"/>
                    <w:ind w:firstLine="0" w:firstLineChars="0"/>
                    <w:jc w:val="center"/>
                    <w:rPr>
                      <w:rFonts w:cs="Times New Roman"/>
                      <w:sz w:val="21"/>
                      <w:szCs w:val="21"/>
                    </w:rPr>
                  </w:pPr>
                  <w:r>
                    <w:rPr>
                      <w:rFonts w:cs="Times New Roman"/>
                      <w:sz w:val="21"/>
                      <w:szCs w:val="21"/>
                    </w:rPr>
                    <w:t>0.037581</w:t>
                  </w:r>
                </w:p>
              </w:tc>
              <w:tc>
                <w:tcPr>
                  <w:tcW w:w="993" w:type="dxa"/>
                  <w:vAlign w:val="center"/>
                </w:tcPr>
                <w:p w14:paraId="3A29F53C">
                  <w:pPr>
                    <w:spacing w:line="240" w:lineRule="auto"/>
                    <w:ind w:firstLine="0" w:firstLineChars="0"/>
                    <w:jc w:val="center"/>
                    <w:rPr>
                      <w:rFonts w:cs="Times New Roman"/>
                      <w:sz w:val="21"/>
                      <w:szCs w:val="21"/>
                    </w:rPr>
                  </w:pPr>
                  <w:r>
                    <w:rPr>
                      <w:rFonts w:cs="Times New Roman"/>
                      <w:sz w:val="21"/>
                      <w:szCs w:val="21"/>
                    </w:rPr>
                    <w:t>4.18</w:t>
                  </w:r>
                </w:p>
              </w:tc>
            </w:tr>
            <w:tr w14:paraId="24C7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0711092">
                  <w:pPr>
                    <w:spacing w:line="240" w:lineRule="auto"/>
                    <w:ind w:firstLine="0" w:firstLineChars="0"/>
                    <w:jc w:val="center"/>
                    <w:rPr>
                      <w:rFonts w:cs="Times New Roman"/>
                      <w:sz w:val="21"/>
                      <w:szCs w:val="21"/>
                    </w:rPr>
                  </w:pPr>
                  <w:r>
                    <w:rPr>
                      <w:rFonts w:cs="Times New Roman"/>
                      <w:sz w:val="21"/>
                      <w:szCs w:val="21"/>
                    </w:rPr>
                    <w:t>650</w:t>
                  </w:r>
                </w:p>
              </w:tc>
              <w:tc>
                <w:tcPr>
                  <w:tcW w:w="1199" w:type="dxa"/>
                  <w:vAlign w:val="center"/>
                </w:tcPr>
                <w:p w14:paraId="71F93A87">
                  <w:pPr>
                    <w:spacing w:line="240" w:lineRule="auto"/>
                    <w:ind w:firstLine="0" w:firstLineChars="0"/>
                    <w:jc w:val="center"/>
                    <w:rPr>
                      <w:rFonts w:cs="Times New Roman"/>
                      <w:sz w:val="21"/>
                      <w:szCs w:val="21"/>
                    </w:rPr>
                  </w:pPr>
                  <w:r>
                    <w:rPr>
                      <w:rFonts w:cs="Times New Roman"/>
                      <w:sz w:val="21"/>
                      <w:szCs w:val="21"/>
                    </w:rPr>
                    <w:t>0.029478</w:t>
                  </w:r>
                </w:p>
              </w:tc>
              <w:tc>
                <w:tcPr>
                  <w:tcW w:w="993" w:type="dxa"/>
                  <w:vAlign w:val="center"/>
                </w:tcPr>
                <w:p w14:paraId="1761365D">
                  <w:pPr>
                    <w:spacing w:line="240" w:lineRule="auto"/>
                    <w:ind w:firstLine="0" w:firstLineChars="0"/>
                    <w:jc w:val="center"/>
                    <w:rPr>
                      <w:rFonts w:cs="Times New Roman"/>
                      <w:sz w:val="21"/>
                      <w:szCs w:val="21"/>
                    </w:rPr>
                  </w:pPr>
                  <w:r>
                    <w:rPr>
                      <w:rFonts w:cs="Times New Roman"/>
                      <w:sz w:val="21"/>
                      <w:szCs w:val="21"/>
                    </w:rPr>
                    <w:t>3.28</w:t>
                  </w:r>
                </w:p>
              </w:tc>
              <w:tc>
                <w:tcPr>
                  <w:tcW w:w="1202" w:type="dxa"/>
                  <w:vAlign w:val="center"/>
                </w:tcPr>
                <w:p w14:paraId="5F634877">
                  <w:pPr>
                    <w:spacing w:line="240" w:lineRule="auto"/>
                    <w:ind w:firstLine="0" w:firstLineChars="0"/>
                    <w:jc w:val="center"/>
                    <w:rPr>
                      <w:rFonts w:cs="Times New Roman"/>
                      <w:sz w:val="21"/>
                      <w:szCs w:val="21"/>
                    </w:rPr>
                  </w:pPr>
                  <w:r>
                    <w:rPr>
                      <w:rFonts w:cs="Times New Roman"/>
                      <w:sz w:val="21"/>
                      <w:szCs w:val="21"/>
                    </w:rPr>
                    <w:t>0.00143</w:t>
                  </w:r>
                </w:p>
              </w:tc>
              <w:tc>
                <w:tcPr>
                  <w:tcW w:w="993" w:type="dxa"/>
                  <w:vAlign w:val="center"/>
                </w:tcPr>
                <w:p w14:paraId="7B6A23C9">
                  <w:pPr>
                    <w:spacing w:line="240" w:lineRule="auto"/>
                    <w:ind w:firstLine="0" w:firstLineChars="0"/>
                    <w:jc w:val="center"/>
                    <w:rPr>
                      <w:rFonts w:cs="Times New Roman"/>
                      <w:sz w:val="21"/>
                      <w:szCs w:val="21"/>
                    </w:rPr>
                  </w:pPr>
                  <w:r>
                    <w:rPr>
                      <w:rFonts w:cs="Times New Roman"/>
                      <w:sz w:val="21"/>
                      <w:szCs w:val="21"/>
                    </w:rPr>
                    <w:t>0.16</w:t>
                  </w:r>
                </w:p>
              </w:tc>
              <w:tc>
                <w:tcPr>
                  <w:tcW w:w="1212" w:type="dxa"/>
                  <w:vAlign w:val="center"/>
                </w:tcPr>
                <w:p w14:paraId="7351A443">
                  <w:pPr>
                    <w:spacing w:line="240" w:lineRule="auto"/>
                    <w:ind w:firstLine="0" w:firstLineChars="0"/>
                    <w:jc w:val="center"/>
                    <w:rPr>
                      <w:rFonts w:cs="Times New Roman"/>
                      <w:sz w:val="21"/>
                      <w:szCs w:val="21"/>
                    </w:rPr>
                  </w:pPr>
                  <w:r>
                    <w:rPr>
                      <w:rFonts w:cs="Times New Roman"/>
                      <w:sz w:val="21"/>
                      <w:szCs w:val="21"/>
                    </w:rPr>
                    <w:t>0.000436</w:t>
                  </w:r>
                </w:p>
              </w:tc>
              <w:tc>
                <w:tcPr>
                  <w:tcW w:w="1026" w:type="dxa"/>
                  <w:vAlign w:val="center"/>
                </w:tcPr>
                <w:p w14:paraId="399832CA">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109D58C7">
                  <w:pPr>
                    <w:spacing w:line="240" w:lineRule="auto"/>
                    <w:ind w:firstLine="0" w:firstLineChars="0"/>
                    <w:jc w:val="center"/>
                    <w:rPr>
                      <w:rFonts w:cs="Times New Roman"/>
                      <w:sz w:val="21"/>
                      <w:szCs w:val="21"/>
                    </w:rPr>
                  </w:pPr>
                  <w:r>
                    <w:rPr>
                      <w:rFonts w:cs="Times New Roman"/>
                      <w:sz w:val="21"/>
                      <w:szCs w:val="21"/>
                    </w:rPr>
                    <w:t>0.036461</w:t>
                  </w:r>
                </w:p>
              </w:tc>
              <w:tc>
                <w:tcPr>
                  <w:tcW w:w="993" w:type="dxa"/>
                  <w:vAlign w:val="center"/>
                </w:tcPr>
                <w:p w14:paraId="47D35191">
                  <w:pPr>
                    <w:spacing w:line="240" w:lineRule="auto"/>
                    <w:ind w:firstLine="0" w:firstLineChars="0"/>
                    <w:jc w:val="center"/>
                    <w:rPr>
                      <w:rFonts w:cs="Times New Roman"/>
                      <w:sz w:val="21"/>
                      <w:szCs w:val="21"/>
                    </w:rPr>
                  </w:pPr>
                  <w:r>
                    <w:rPr>
                      <w:rFonts w:cs="Times New Roman"/>
                      <w:sz w:val="21"/>
                      <w:szCs w:val="21"/>
                    </w:rPr>
                    <w:t>4.05</w:t>
                  </w:r>
                </w:p>
              </w:tc>
            </w:tr>
            <w:tr w14:paraId="30BE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ABF855B">
                  <w:pPr>
                    <w:spacing w:line="240" w:lineRule="auto"/>
                    <w:ind w:firstLine="0" w:firstLineChars="0"/>
                    <w:jc w:val="center"/>
                    <w:rPr>
                      <w:rFonts w:cs="Times New Roman"/>
                      <w:sz w:val="21"/>
                      <w:szCs w:val="21"/>
                    </w:rPr>
                  </w:pPr>
                  <w:r>
                    <w:rPr>
                      <w:rFonts w:cs="Times New Roman"/>
                      <w:sz w:val="21"/>
                      <w:szCs w:val="21"/>
                    </w:rPr>
                    <w:t>675</w:t>
                  </w:r>
                </w:p>
              </w:tc>
              <w:tc>
                <w:tcPr>
                  <w:tcW w:w="1199" w:type="dxa"/>
                  <w:vAlign w:val="center"/>
                </w:tcPr>
                <w:p w14:paraId="01C43B8C">
                  <w:pPr>
                    <w:spacing w:line="240" w:lineRule="auto"/>
                    <w:ind w:firstLine="0" w:firstLineChars="0"/>
                    <w:jc w:val="center"/>
                    <w:rPr>
                      <w:rFonts w:cs="Times New Roman"/>
                      <w:sz w:val="21"/>
                      <w:szCs w:val="21"/>
                    </w:rPr>
                  </w:pPr>
                  <w:r>
                    <w:rPr>
                      <w:rFonts w:cs="Times New Roman"/>
                      <w:sz w:val="21"/>
                      <w:szCs w:val="21"/>
                    </w:rPr>
                    <w:t>0.028698</w:t>
                  </w:r>
                </w:p>
              </w:tc>
              <w:tc>
                <w:tcPr>
                  <w:tcW w:w="993" w:type="dxa"/>
                  <w:vAlign w:val="center"/>
                </w:tcPr>
                <w:p w14:paraId="760837EE">
                  <w:pPr>
                    <w:spacing w:line="240" w:lineRule="auto"/>
                    <w:ind w:firstLine="0" w:firstLineChars="0"/>
                    <w:jc w:val="center"/>
                    <w:rPr>
                      <w:rFonts w:cs="Times New Roman"/>
                      <w:sz w:val="21"/>
                      <w:szCs w:val="21"/>
                    </w:rPr>
                  </w:pPr>
                  <w:r>
                    <w:rPr>
                      <w:rFonts w:cs="Times New Roman"/>
                      <w:sz w:val="21"/>
                      <w:szCs w:val="21"/>
                    </w:rPr>
                    <w:t>3.19</w:t>
                  </w:r>
                </w:p>
              </w:tc>
              <w:tc>
                <w:tcPr>
                  <w:tcW w:w="1202" w:type="dxa"/>
                  <w:vAlign w:val="center"/>
                </w:tcPr>
                <w:p w14:paraId="7A9BE061">
                  <w:pPr>
                    <w:spacing w:line="240" w:lineRule="auto"/>
                    <w:ind w:firstLine="0" w:firstLineChars="0"/>
                    <w:jc w:val="center"/>
                    <w:rPr>
                      <w:rFonts w:cs="Times New Roman"/>
                      <w:sz w:val="21"/>
                      <w:szCs w:val="21"/>
                    </w:rPr>
                  </w:pPr>
                  <w:r>
                    <w:rPr>
                      <w:rFonts w:cs="Times New Roman"/>
                      <w:sz w:val="21"/>
                      <w:szCs w:val="21"/>
                    </w:rPr>
                    <w:t>0.001392</w:t>
                  </w:r>
                </w:p>
              </w:tc>
              <w:tc>
                <w:tcPr>
                  <w:tcW w:w="993" w:type="dxa"/>
                  <w:vAlign w:val="center"/>
                </w:tcPr>
                <w:p w14:paraId="789C49CB">
                  <w:pPr>
                    <w:spacing w:line="240" w:lineRule="auto"/>
                    <w:ind w:firstLine="0" w:firstLineChars="0"/>
                    <w:jc w:val="center"/>
                    <w:rPr>
                      <w:rFonts w:cs="Times New Roman"/>
                      <w:sz w:val="21"/>
                      <w:szCs w:val="21"/>
                    </w:rPr>
                  </w:pPr>
                  <w:r>
                    <w:rPr>
                      <w:rFonts w:cs="Times New Roman"/>
                      <w:sz w:val="21"/>
                      <w:szCs w:val="21"/>
                    </w:rPr>
                    <w:t>0.15</w:t>
                  </w:r>
                </w:p>
              </w:tc>
              <w:tc>
                <w:tcPr>
                  <w:tcW w:w="1212" w:type="dxa"/>
                  <w:vAlign w:val="center"/>
                </w:tcPr>
                <w:p w14:paraId="73C96186">
                  <w:pPr>
                    <w:spacing w:line="240" w:lineRule="auto"/>
                    <w:ind w:firstLine="0" w:firstLineChars="0"/>
                    <w:jc w:val="center"/>
                    <w:rPr>
                      <w:rFonts w:cs="Times New Roman"/>
                      <w:sz w:val="21"/>
                      <w:szCs w:val="21"/>
                    </w:rPr>
                  </w:pPr>
                  <w:r>
                    <w:rPr>
                      <w:rFonts w:cs="Times New Roman"/>
                      <w:sz w:val="21"/>
                      <w:szCs w:val="21"/>
                    </w:rPr>
                    <w:t>0.000424</w:t>
                  </w:r>
                </w:p>
              </w:tc>
              <w:tc>
                <w:tcPr>
                  <w:tcW w:w="1026" w:type="dxa"/>
                  <w:vAlign w:val="center"/>
                </w:tcPr>
                <w:p w14:paraId="36CFB823">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02C851E1">
                  <w:pPr>
                    <w:spacing w:line="240" w:lineRule="auto"/>
                    <w:ind w:firstLine="0" w:firstLineChars="0"/>
                    <w:jc w:val="center"/>
                    <w:rPr>
                      <w:rFonts w:cs="Times New Roman"/>
                      <w:sz w:val="21"/>
                      <w:szCs w:val="21"/>
                    </w:rPr>
                  </w:pPr>
                  <w:r>
                    <w:rPr>
                      <w:rFonts w:cs="Times New Roman"/>
                      <w:sz w:val="21"/>
                      <w:szCs w:val="21"/>
                    </w:rPr>
                    <w:t>0.03533</w:t>
                  </w:r>
                </w:p>
              </w:tc>
              <w:tc>
                <w:tcPr>
                  <w:tcW w:w="993" w:type="dxa"/>
                  <w:vAlign w:val="center"/>
                </w:tcPr>
                <w:p w14:paraId="09DD8B4C">
                  <w:pPr>
                    <w:spacing w:line="240" w:lineRule="auto"/>
                    <w:ind w:firstLine="0" w:firstLineChars="0"/>
                    <w:jc w:val="center"/>
                    <w:rPr>
                      <w:rFonts w:cs="Times New Roman"/>
                      <w:sz w:val="21"/>
                      <w:szCs w:val="21"/>
                    </w:rPr>
                  </w:pPr>
                  <w:r>
                    <w:rPr>
                      <w:rFonts w:cs="Times New Roman"/>
                      <w:sz w:val="21"/>
                      <w:szCs w:val="21"/>
                    </w:rPr>
                    <w:t>3.93</w:t>
                  </w:r>
                </w:p>
              </w:tc>
            </w:tr>
            <w:tr w14:paraId="0D90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7D48D84">
                  <w:pPr>
                    <w:spacing w:line="240" w:lineRule="auto"/>
                    <w:ind w:firstLine="0" w:firstLineChars="0"/>
                    <w:jc w:val="center"/>
                    <w:rPr>
                      <w:rFonts w:cs="Times New Roman"/>
                      <w:sz w:val="21"/>
                      <w:szCs w:val="21"/>
                    </w:rPr>
                  </w:pPr>
                  <w:r>
                    <w:rPr>
                      <w:rFonts w:cs="Times New Roman"/>
                      <w:sz w:val="21"/>
                      <w:szCs w:val="21"/>
                    </w:rPr>
                    <w:t>700</w:t>
                  </w:r>
                </w:p>
              </w:tc>
              <w:tc>
                <w:tcPr>
                  <w:tcW w:w="1199" w:type="dxa"/>
                  <w:vAlign w:val="center"/>
                </w:tcPr>
                <w:p w14:paraId="7F27852A">
                  <w:pPr>
                    <w:spacing w:line="240" w:lineRule="auto"/>
                    <w:ind w:firstLine="0" w:firstLineChars="0"/>
                    <w:jc w:val="center"/>
                    <w:rPr>
                      <w:rFonts w:cs="Times New Roman"/>
                      <w:sz w:val="21"/>
                      <w:szCs w:val="21"/>
                    </w:rPr>
                  </w:pPr>
                  <w:r>
                    <w:rPr>
                      <w:rFonts w:cs="Times New Roman"/>
                      <w:sz w:val="21"/>
                      <w:szCs w:val="21"/>
                    </w:rPr>
                    <w:t>0.027967</w:t>
                  </w:r>
                </w:p>
              </w:tc>
              <w:tc>
                <w:tcPr>
                  <w:tcW w:w="993" w:type="dxa"/>
                  <w:vAlign w:val="center"/>
                </w:tcPr>
                <w:p w14:paraId="6183C5BD">
                  <w:pPr>
                    <w:spacing w:line="240" w:lineRule="auto"/>
                    <w:ind w:firstLine="0" w:firstLineChars="0"/>
                    <w:jc w:val="center"/>
                    <w:rPr>
                      <w:rFonts w:cs="Times New Roman"/>
                      <w:sz w:val="21"/>
                      <w:szCs w:val="21"/>
                    </w:rPr>
                  </w:pPr>
                  <w:r>
                    <w:rPr>
                      <w:rFonts w:cs="Times New Roman"/>
                      <w:sz w:val="21"/>
                      <w:szCs w:val="21"/>
                    </w:rPr>
                    <w:t>3.11</w:t>
                  </w:r>
                </w:p>
              </w:tc>
              <w:tc>
                <w:tcPr>
                  <w:tcW w:w="1202" w:type="dxa"/>
                  <w:vAlign w:val="center"/>
                </w:tcPr>
                <w:p w14:paraId="02DE0495">
                  <w:pPr>
                    <w:spacing w:line="240" w:lineRule="auto"/>
                    <w:ind w:firstLine="0" w:firstLineChars="0"/>
                    <w:jc w:val="center"/>
                    <w:rPr>
                      <w:rFonts w:cs="Times New Roman"/>
                      <w:sz w:val="21"/>
                      <w:szCs w:val="21"/>
                    </w:rPr>
                  </w:pPr>
                  <w:r>
                    <w:rPr>
                      <w:rFonts w:cs="Times New Roman"/>
                      <w:sz w:val="21"/>
                      <w:szCs w:val="21"/>
                    </w:rPr>
                    <w:t>0.001357</w:t>
                  </w:r>
                </w:p>
              </w:tc>
              <w:tc>
                <w:tcPr>
                  <w:tcW w:w="993" w:type="dxa"/>
                  <w:vAlign w:val="center"/>
                </w:tcPr>
                <w:p w14:paraId="4D074DCB">
                  <w:pPr>
                    <w:spacing w:line="240" w:lineRule="auto"/>
                    <w:ind w:firstLine="0" w:firstLineChars="0"/>
                    <w:jc w:val="center"/>
                    <w:rPr>
                      <w:rFonts w:cs="Times New Roman"/>
                      <w:sz w:val="21"/>
                      <w:szCs w:val="21"/>
                    </w:rPr>
                  </w:pPr>
                  <w:r>
                    <w:rPr>
                      <w:rFonts w:cs="Times New Roman"/>
                      <w:sz w:val="21"/>
                      <w:szCs w:val="21"/>
                    </w:rPr>
                    <w:t>0.15</w:t>
                  </w:r>
                </w:p>
              </w:tc>
              <w:tc>
                <w:tcPr>
                  <w:tcW w:w="1212" w:type="dxa"/>
                  <w:vAlign w:val="center"/>
                </w:tcPr>
                <w:p w14:paraId="478A5853">
                  <w:pPr>
                    <w:spacing w:line="240" w:lineRule="auto"/>
                    <w:ind w:firstLine="0" w:firstLineChars="0"/>
                    <w:jc w:val="center"/>
                    <w:rPr>
                      <w:rFonts w:cs="Times New Roman"/>
                      <w:sz w:val="21"/>
                      <w:szCs w:val="21"/>
                    </w:rPr>
                  </w:pPr>
                  <w:r>
                    <w:rPr>
                      <w:rFonts w:cs="Times New Roman"/>
                      <w:sz w:val="21"/>
                      <w:szCs w:val="21"/>
                    </w:rPr>
                    <w:t>0.000414</w:t>
                  </w:r>
                </w:p>
              </w:tc>
              <w:tc>
                <w:tcPr>
                  <w:tcW w:w="1026" w:type="dxa"/>
                  <w:vAlign w:val="center"/>
                </w:tcPr>
                <w:p w14:paraId="04AC0FE3">
                  <w:pPr>
                    <w:spacing w:line="240" w:lineRule="auto"/>
                    <w:ind w:firstLine="0" w:firstLineChars="0"/>
                    <w:jc w:val="center"/>
                    <w:rPr>
                      <w:rFonts w:cs="Times New Roman"/>
                      <w:sz w:val="21"/>
                      <w:szCs w:val="21"/>
                    </w:rPr>
                  </w:pPr>
                  <w:r>
                    <w:rPr>
                      <w:rFonts w:cs="Times New Roman"/>
                      <w:sz w:val="21"/>
                      <w:szCs w:val="21"/>
                    </w:rPr>
                    <w:t>0.05</w:t>
                  </w:r>
                </w:p>
              </w:tc>
              <w:tc>
                <w:tcPr>
                  <w:tcW w:w="1224" w:type="dxa"/>
                  <w:vAlign w:val="center"/>
                </w:tcPr>
                <w:p w14:paraId="0EE245A6">
                  <w:pPr>
                    <w:spacing w:line="240" w:lineRule="auto"/>
                    <w:ind w:firstLine="0" w:firstLineChars="0"/>
                    <w:jc w:val="center"/>
                    <w:rPr>
                      <w:rFonts w:cs="Times New Roman"/>
                      <w:sz w:val="21"/>
                      <w:szCs w:val="21"/>
                    </w:rPr>
                  </w:pPr>
                  <w:r>
                    <w:rPr>
                      <w:rFonts w:cs="Times New Roman"/>
                      <w:sz w:val="21"/>
                      <w:szCs w:val="21"/>
                    </w:rPr>
                    <w:t>0.034368</w:t>
                  </w:r>
                </w:p>
              </w:tc>
              <w:tc>
                <w:tcPr>
                  <w:tcW w:w="993" w:type="dxa"/>
                  <w:vAlign w:val="center"/>
                </w:tcPr>
                <w:p w14:paraId="5E366B8C">
                  <w:pPr>
                    <w:spacing w:line="240" w:lineRule="auto"/>
                    <w:ind w:firstLine="0" w:firstLineChars="0"/>
                    <w:jc w:val="center"/>
                    <w:rPr>
                      <w:rFonts w:cs="Times New Roman"/>
                      <w:sz w:val="21"/>
                      <w:szCs w:val="21"/>
                    </w:rPr>
                  </w:pPr>
                  <w:r>
                    <w:rPr>
                      <w:rFonts w:cs="Times New Roman"/>
                      <w:sz w:val="21"/>
                      <w:szCs w:val="21"/>
                    </w:rPr>
                    <w:t>3.82</w:t>
                  </w:r>
                </w:p>
              </w:tc>
            </w:tr>
            <w:tr w14:paraId="0129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060BC0D">
                  <w:pPr>
                    <w:spacing w:line="240" w:lineRule="auto"/>
                    <w:ind w:firstLine="0" w:firstLineChars="0"/>
                    <w:jc w:val="center"/>
                    <w:rPr>
                      <w:rFonts w:cs="Times New Roman"/>
                      <w:sz w:val="21"/>
                      <w:szCs w:val="21"/>
                    </w:rPr>
                  </w:pPr>
                  <w:r>
                    <w:rPr>
                      <w:rFonts w:cs="Times New Roman"/>
                      <w:sz w:val="21"/>
                      <w:szCs w:val="21"/>
                    </w:rPr>
                    <w:t>725</w:t>
                  </w:r>
                </w:p>
              </w:tc>
              <w:tc>
                <w:tcPr>
                  <w:tcW w:w="1199" w:type="dxa"/>
                  <w:vAlign w:val="center"/>
                </w:tcPr>
                <w:p w14:paraId="083C42BE">
                  <w:pPr>
                    <w:spacing w:line="240" w:lineRule="auto"/>
                    <w:ind w:firstLine="0" w:firstLineChars="0"/>
                    <w:jc w:val="center"/>
                    <w:rPr>
                      <w:rFonts w:cs="Times New Roman"/>
                      <w:sz w:val="21"/>
                      <w:szCs w:val="21"/>
                    </w:rPr>
                  </w:pPr>
                  <w:r>
                    <w:rPr>
                      <w:rFonts w:cs="Times New Roman"/>
                      <w:sz w:val="21"/>
                      <w:szCs w:val="21"/>
                    </w:rPr>
                    <w:t>0.027279</w:t>
                  </w:r>
                </w:p>
              </w:tc>
              <w:tc>
                <w:tcPr>
                  <w:tcW w:w="993" w:type="dxa"/>
                  <w:vAlign w:val="center"/>
                </w:tcPr>
                <w:p w14:paraId="6778DE2A">
                  <w:pPr>
                    <w:spacing w:line="240" w:lineRule="auto"/>
                    <w:ind w:firstLine="0" w:firstLineChars="0"/>
                    <w:jc w:val="center"/>
                    <w:rPr>
                      <w:rFonts w:cs="Times New Roman"/>
                      <w:sz w:val="21"/>
                      <w:szCs w:val="21"/>
                    </w:rPr>
                  </w:pPr>
                  <w:r>
                    <w:rPr>
                      <w:rFonts w:cs="Times New Roman"/>
                      <w:sz w:val="21"/>
                      <w:szCs w:val="21"/>
                    </w:rPr>
                    <w:t>3.03</w:t>
                  </w:r>
                </w:p>
              </w:tc>
              <w:tc>
                <w:tcPr>
                  <w:tcW w:w="1202" w:type="dxa"/>
                  <w:vAlign w:val="center"/>
                </w:tcPr>
                <w:p w14:paraId="3F9A7EB9">
                  <w:pPr>
                    <w:spacing w:line="240" w:lineRule="auto"/>
                    <w:ind w:firstLine="0" w:firstLineChars="0"/>
                    <w:jc w:val="center"/>
                    <w:rPr>
                      <w:rFonts w:cs="Times New Roman"/>
                      <w:sz w:val="21"/>
                      <w:szCs w:val="21"/>
                    </w:rPr>
                  </w:pPr>
                  <w:r>
                    <w:rPr>
                      <w:rFonts w:cs="Times New Roman"/>
                      <w:sz w:val="21"/>
                      <w:szCs w:val="21"/>
                    </w:rPr>
                    <w:t>0.001323</w:t>
                  </w:r>
                </w:p>
              </w:tc>
              <w:tc>
                <w:tcPr>
                  <w:tcW w:w="993" w:type="dxa"/>
                  <w:vAlign w:val="center"/>
                </w:tcPr>
                <w:p w14:paraId="657AB4A7">
                  <w:pPr>
                    <w:spacing w:line="240" w:lineRule="auto"/>
                    <w:ind w:firstLine="0" w:firstLineChars="0"/>
                    <w:jc w:val="center"/>
                    <w:rPr>
                      <w:rFonts w:cs="Times New Roman"/>
                      <w:sz w:val="21"/>
                      <w:szCs w:val="21"/>
                    </w:rPr>
                  </w:pPr>
                  <w:r>
                    <w:rPr>
                      <w:rFonts w:cs="Times New Roman"/>
                      <w:sz w:val="21"/>
                      <w:szCs w:val="21"/>
                    </w:rPr>
                    <w:t>0.15</w:t>
                  </w:r>
                </w:p>
              </w:tc>
              <w:tc>
                <w:tcPr>
                  <w:tcW w:w="1212" w:type="dxa"/>
                  <w:vAlign w:val="center"/>
                </w:tcPr>
                <w:p w14:paraId="1C3533AF">
                  <w:pPr>
                    <w:spacing w:line="240" w:lineRule="auto"/>
                    <w:ind w:firstLine="0" w:firstLineChars="0"/>
                    <w:jc w:val="center"/>
                    <w:rPr>
                      <w:rFonts w:cs="Times New Roman"/>
                      <w:sz w:val="21"/>
                      <w:szCs w:val="21"/>
                    </w:rPr>
                  </w:pPr>
                  <w:r>
                    <w:rPr>
                      <w:rFonts w:cs="Times New Roman"/>
                      <w:sz w:val="21"/>
                      <w:szCs w:val="21"/>
                    </w:rPr>
                    <w:t>0.000404</w:t>
                  </w:r>
                </w:p>
              </w:tc>
              <w:tc>
                <w:tcPr>
                  <w:tcW w:w="1026" w:type="dxa"/>
                  <w:vAlign w:val="center"/>
                </w:tcPr>
                <w:p w14:paraId="4FEC212B">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1C661DFC">
                  <w:pPr>
                    <w:spacing w:line="240" w:lineRule="auto"/>
                    <w:ind w:firstLine="0" w:firstLineChars="0"/>
                    <w:jc w:val="center"/>
                    <w:rPr>
                      <w:rFonts w:cs="Times New Roman"/>
                      <w:sz w:val="21"/>
                      <w:szCs w:val="21"/>
                    </w:rPr>
                  </w:pPr>
                  <w:r>
                    <w:rPr>
                      <w:rFonts w:cs="Times New Roman"/>
                      <w:sz w:val="21"/>
                      <w:szCs w:val="21"/>
                    </w:rPr>
                    <w:t>0.03347</w:t>
                  </w:r>
                </w:p>
              </w:tc>
              <w:tc>
                <w:tcPr>
                  <w:tcW w:w="993" w:type="dxa"/>
                  <w:vAlign w:val="center"/>
                </w:tcPr>
                <w:p w14:paraId="402DA9FF">
                  <w:pPr>
                    <w:spacing w:line="240" w:lineRule="auto"/>
                    <w:ind w:firstLine="0" w:firstLineChars="0"/>
                    <w:jc w:val="center"/>
                    <w:rPr>
                      <w:rFonts w:cs="Times New Roman"/>
                      <w:sz w:val="21"/>
                      <w:szCs w:val="21"/>
                    </w:rPr>
                  </w:pPr>
                  <w:r>
                    <w:rPr>
                      <w:rFonts w:cs="Times New Roman"/>
                      <w:sz w:val="21"/>
                      <w:szCs w:val="21"/>
                    </w:rPr>
                    <w:t>3.72</w:t>
                  </w:r>
                </w:p>
              </w:tc>
            </w:tr>
            <w:tr w14:paraId="6387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2EE07AD">
                  <w:pPr>
                    <w:spacing w:line="240" w:lineRule="auto"/>
                    <w:ind w:firstLine="0" w:firstLineChars="0"/>
                    <w:jc w:val="center"/>
                    <w:rPr>
                      <w:rFonts w:cs="Times New Roman"/>
                      <w:sz w:val="21"/>
                      <w:szCs w:val="21"/>
                    </w:rPr>
                  </w:pPr>
                  <w:r>
                    <w:rPr>
                      <w:rFonts w:cs="Times New Roman"/>
                      <w:sz w:val="21"/>
                      <w:szCs w:val="21"/>
                    </w:rPr>
                    <w:t>750</w:t>
                  </w:r>
                </w:p>
              </w:tc>
              <w:tc>
                <w:tcPr>
                  <w:tcW w:w="1199" w:type="dxa"/>
                  <w:vAlign w:val="center"/>
                </w:tcPr>
                <w:p w14:paraId="3A692137">
                  <w:pPr>
                    <w:spacing w:line="240" w:lineRule="auto"/>
                    <w:ind w:firstLine="0" w:firstLineChars="0"/>
                    <w:jc w:val="center"/>
                    <w:rPr>
                      <w:rFonts w:cs="Times New Roman"/>
                      <w:sz w:val="21"/>
                      <w:szCs w:val="21"/>
                    </w:rPr>
                  </w:pPr>
                  <w:r>
                    <w:rPr>
                      <w:rFonts w:cs="Times New Roman"/>
                      <w:sz w:val="21"/>
                      <w:szCs w:val="21"/>
                    </w:rPr>
                    <w:t>0.026631</w:t>
                  </w:r>
                </w:p>
              </w:tc>
              <w:tc>
                <w:tcPr>
                  <w:tcW w:w="993" w:type="dxa"/>
                  <w:vAlign w:val="center"/>
                </w:tcPr>
                <w:p w14:paraId="74FC8B6F">
                  <w:pPr>
                    <w:spacing w:line="240" w:lineRule="auto"/>
                    <w:ind w:firstLine="0" w:firstLineChars="0"/>
                    <w:jc w:val="center"/>
                    <w:rPr>
                      <w:rFonts w:cs="Times New Roman"/>
                      <w:sz w:val="21"/>
                      <w:szCs w:val="21"/>
                    </w:rPr>
                  </w:pPr>
                  <w:r>
                    <w:rPr>
                      <w:rFonts w:cs="Times New Roman"/>
                      <w:sz w:val="21"/>
                      <w:szCs w:val="21"/>
                    </w:rPr>
                    <w:t>2.96</w:t>
                  </w:r>
                </w:p>
              </w:tc>
              <w:tc>
                <w:tcPr>
                  <w:tcW w:w="1202" w:type="dxa"/>
                  <w:vAlign w:val="center"/>
                </w:tcPr>
                <w:p w14:paraId="01A30160">
                  <w:pPr>
                    <w:spacing w:line="240" w:lineRule="auto"/>
                    <w:ind w:firstLine="0" w:firstLineChars="0"/>
                    <w:jc w:val="center"/>
                    <w:rPr>
                      <w:rFonts w:cs="Times New Roman"/>
                      <w:sz w:val="21"/>
                      <w:szCs w:val="21"/>
                    </w:rPr>
                  </w:pPr>
                  <w:r>
                    <w:rPr>
                      <w:rFonts w:cs="Times New Roman"/>
                      <w:sz w:val="21"/>
                      <w:szCs w:val="21"/>
                    </w:rPr>
                    <w:t>0.001292</w:t>
                  </w:r>
                </w:p>
              </w:tc>
              <w:tc>
                <w:tcPr>
                  <w:tcW w:w="993" w:type="dxa"/>
                  <w:vAlign w:val="center"/>
                </w:tcPr>
                <w:p w14:paraId="1B704C18">
                  <w:pPr>
                    <w:spacing w:line="240" w:lineRule="auto"/>
                    <w:ind w:firstLine="0" w:firstLineChars="0"/>
                    <w:jc w:val="center"/>
                    <w:rPr>
                      <w:rFonts w:cs="Times New Roman"/>
                      <w:sz w:val="21"/>
                      <w:szCs w:val="21"/>
                    </w:rPr>
                  </w:pPr>
                  <w:r>
                    <w:rPr>
                      <w:rFonts w:cs="Times New Roman"/>
                      <w:sz w:val="21"/>
                      <w:szCs w:val="21"/>
                    </w:rPr>
                    <w:t>0.14</w:t>
                  </w:r>
                </w:p>
              </w:tc>
              <w:tc>
                <w:tcPr>
                  <w:tcW w:w="1212" w:type="dxa"/>
                  <w:vAlign w:val="center"/>
                </w:tcPr>
                <w:p w14:paraId="409F88AB">
                  <w:pPr>
                    <w:spacing w:line="240" w:lineRule="auto"/>
                    <w:ind w:firstLine="0" w:firstLineChars="0"/>
                    <w:jc w:val="center"/>
                    <w:rPr>
                      <w:rFonts w:cs="Times New Roman"/>
                      <w:sz w:val="21"/>
                      <w:szCs w:val="21"/>
                    </w:rPr>
                  </w:pPr>
                  <w:r>
                    <w:rPr>
                      <w:rFonts w:cs="Times New Roman"/>
                      <w:sz w:val="21"/>
                      <w:szCs w:val="21"/>
                    </w:rPr>
                    <w:t>0.000394</w:t>
                  </w:r>
                </w:p>
              </w:tc>
              <w:tc>
                <w:tcPr>
                  <w:tcW w:w="1026" w:type="dxa"/>
                  <w:vAlign w:val="center"/>
                </w:tcPr>
                <w:p w14:paraId="4412147F">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16D08DAE">
                  <w:pPr>
                    <w:spacing w:line="240" w:lineRule="auto"/>
                    <w:ind w:firstLine="0" w:firstLineChars="0"/>
                    <w:jc w:val="center"/>
                    <w:rPr>
                      <w:rFonts w:cs="Times New Roman"/>
                      <w:sz w:val="21"/>
                      <w:szCs w:val="21"/>
                    </w:rPr>
                  </w:pPr>
                  <w:r>
                    <w:rPr>
                      <w:rFonts w:cs="Times New Roman"/>
                      <w:sz w:val="21"/>
                      <w:szCs w:val="21"/>
                    </w:rPr>
                    <w:t>0.032628</w:t>
                  </w:r>
                </w:p>
              </w:tc>
              <w:tc>
                <w:tcPr>
                  <w:tcW w:w="993" w:type="dxa"/>
                  <w:vAlign w:val="center"/>
                </w:tcPr>
                <w:p w14:paraId="526E3742">
                  <w:pPr>
                    <w:spacing w:line="240" w:lineRule="auto"/>
                    <w:ind w:firstLine="0" w:firstLineChars="0"/>
                    <w:jc w:val="center"/>
                    <w:rPr>
                      <w:rFonts w:cs="Times New Roman"/>
                      <w:sz w:val="21"/>
                      <w:szCs w:val="21"/>
                    </w:rPr>
                  </w:pPr>
                  <w:r>
                    <w:rPr>
                      <w:rFonts w:cs="Times New Roman"/>
                      <w:sz w:val="21"/>
                      <w:szCs w:val="21"/>
                    </w:rPr>
                    <w:t>3.63</w:t>
                  </w:r>
                </w:p>
              </w:tc>
            </w:tr>
            <w:tr w14:paraId="49C0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E429373">
                  <w:pPr>
                    <w:spacing w:line="240" w:lineRule="auto"/>
                    <w:ind w:firstLine="0" w:firstLineChars="0"/>
                    <w:jc w:val="center"/>
                    <w:rPr>
                      <w:rFonts w:cs="Times New Roman"/>
                      <w:sz w:val="21"/>
                      <w:szCs w:val="21"/>
                    </w:rPr>
                  </w:pPr>
                  <w:r>
                    <w:rPr>
                      <w:rFonts w:cs="Times New Roman"/>
                      <w:sz w:val="21"/>
                      <w:szCs w:val="21"/>
                    </w:rPr>
                    <w:t>775</w:t>
                  </w:r>
                </w:p>
              </w:tc>
              <w:tc>
                <w:tcPr>
                  <w:tcW w:w="1199" w:type="dxa"/>
                  <w:vAlign w:val="center"/>
                </w:tcPr>
                <w:p w14:paraId="1C732122">
                  <w:pPr>
                    <w:spacing w:line="240" w:lineRule="auto"/>
                    <w:ind w:firstLine="0" w:firstLineChars="0"/>
                    <w:jc w:val="center"/>
                    <w:rPr>
                      <w:rFonts w:cs="Times New Roman"/>
                      <w:sz w:val="21"/>
                      <w:szCs w:val="21"/>
                    </w:rPr>
                  </w:pPr>
                  <w:r>
                    <w:rPr>
                      <w:rFonts w:cs="Times New Roman"/>
                      <w:sz w:val="21"/>
                      <w:szCs w:val="21"/>
                    </w:rPr>
                    <w:t>0.026019</w:t>
                  </w:r>
                </w:p>
              </w:tc>
              <w:tc>
                <w:tcPr>
                  <w:tcW w:w="993" w:type="dxa"/>
                  <w:vAlign w:val="center"/>
                </w:tcPr>
                <w:p w14:paraId="1C2DFCC2">
                  <w:pPr>
                    <w:spacing w:line="240" w:lineRule="auto"/>
                    <w:ind w:firstLine="0" w:firstLineChars="0"/>
                    <w:jc w:val="center"/>
                    <w:rPr>
                      <w:rFonts w:cs="Times New Roman"/>
                      <w:sz w:val="21"/>
                      <w:szCs w:val="21"/>
                    </w:rPr>
                  </w:pPr>
                  <w:r>
                    <w:rPr>
                      <w:rFonts w:cs="Times New Roman"/>
                      <w:sz w:val="21"/>
                      <w:szCs w:val="21"/>
                    </w:rPr>
                    <w:t>2.89</w:t>
                  </w:r>
                </w:p>
              </w:tc>
              <w:tc>
                <w:tcPr>
                  <w:tcW w:w="1202" w:type="dxa"/>
                  <w:vAlign w:val="center"/>
                </w:tcPr>
                <w:p w14:paraId="3CB67ACF">
                  <w:pPr>
                    <w:spacing w:line="240" w:lineRule="auto"/>
                    <w:ind w:firstLine="0" w:firstLineChars="0"/>
                    <w:jc w:val="center"/>
                    <w:rPr>
                      <w:rFonts w:cs="Times New Roman"/>
                      <w:sz w:val="21"/>
                      <w:szCs w:val="21"/>
                    </w:rPr>
                  </w:pPr>
                  <w:r>
                    <w:rPr>
                      <w:rFonts w:cs="Times New Roman"/>
                      <w:sz w:val="21"/>
                      <w:szCs w:val="21"/>
                    </w:rPr>
                    <w:t>0.001262</w:t>
                  </w:r>
                </w:p>
              </w:tc>
              <w:tc>
                <w:tcPr>
                  <w:tcW w:w="993" w:type="dxa"/>
                  <w:vAlign w:val="center"/>
                </w:tcPr>
                <w:p w14:paraId="6A468B87">
                  <w:pPr>
                    <w:spacing w:line="240" w:lineRule="auto"/>
                    <w:ind w:firstLine="0" w:firstLineChars="0"/>
                    <w:jc w:val="center"/>
                    <w:rPr>
                      <w:rFonts w:cs="Times New Roman"/>
                      <w:sz w:val="21"/>
                      <w:szCs w:val="21"/>
                    </w:rPr>
                  </w:pPr>
                  <w:r>
                    <w:rPr>
                      <w:rFonts w:cs="Times New Roman"/>
                      <w:sz w:val="21"/>
                      <w:szCs w:val="21"/>
                    </w:rPr>
                    <w:t>0.14</w:t>
                  </w:r>
                </w:p>
              </w:tc>
              <w:tc>
                <w:tcPr>
                  <w:tcW w:w="1212" w:type="dxa"/>
                  <w:vAlign w:val="center"/>
                </w:tcPr>
                <w:p w14:paraId="4DD5F02C">
                  <w:pPr>
                    <w:spacing w:line="240" w:lineRule="auto"/>
                    <w:ind w:firstLine="0" w:firstLineChars="0"/>
                    <w:jc w:val="center"/>
                    <w:rPr>
                      <w:rFonts w:cs="Times New Roman"/>
                      <w:sz w:val="21"/>
                      <w:szCs w:val="21"/>
                    </w:rPr>
                  </w:pPr>
                  <w:r>
                    <w:rPr>
                      <w:rFonts w:cs="Times New Roman"/>
                      <w:sz w:val="21"/>
                      <w:szCs w:val="21"/>
                    </w:rPr>
                    <w:t>0.000385</w:t>
                  </w:r>
                </w:p>
              </w:tc>
              <w:tc>
                <w:tcPr>
                  <w:tcW w:w="1026" w:type="dxa"/>
                  <w:vAlign w:val="center"/>
                </w:tcPr>
                <w:p w14:paraId="76221B49">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2B9F698C">
                  <w:pPr>
                    <w:spacing w:line="240" w:lineRule="auto"/>
                    <w:ind w:firstLine="0" w:firstLineChars="0"/>
                    <w:jc w:val="center"/>
                    <w:rPr>
                      <w:rFonts w:cs="Times New Roman"/>
                      <w:sz w:val="21"/>
                      <w:szCs w:val="21"/>
                    </w:rPr>
                  </w:pPr>
                  <w:r>
                    <w:rPr>
                      <w:rFonts w:cs="Times New Roman"/>
                      <w:sz w:val="21"/>
                      <w:szCs w:val="21"/>
                    </w:rPr>
                    <w:t>0.031837</w:t>
                  </w:r>
                </w:p>
              </w:tc>
              <w:tc>
                <w:tcPr>
                  <w:tcW w:w="993" w:type="dxa"/>
                  <w:vAlign w:val="center"/>
                </w:tcPr>
                <w:p w14:paraId="3A5440EA">
                  <w:pPr>
                    <w:spacing w:line="240" w:lineRule="auto"/>
                    <w:ind w:firstLine="0" w:firstLineChars="0"/>
                    <w:jc w:val="center"/>
                    <w:rPr>
                      <w:rFonts w:cs="Times New Roman"/>
                      <w:sz w:val="21"/>
                      <w:szCs w:val="21"/>
                    </w:rPr>
                  </w:pPr>
                  <w:r>
                    <w:rPr>
                      <w:rFonts w:cs="Times New Roman"/>
                      <w:sz w:val="21"/>
                      <w:szCs w:val="21"/>
                    </w:rPr>
                    <w:t>3.54</w:t>
                  </w:r>
                </w:p>
              </w:tc>
            </w:tr>
            <w:tr w14:paraId="7D4A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EC435E5">
                  <w:pPr>
                    <w:spacing w:line="240" w:lineRule="auto"/>
                    <w:ind w:firstLine="0" w:firstLineChars="0"/>
                    <w:jc w:val="center"/>
                    <w:rPr>
                      <w:rFonts w:cs="Times New Roman"/>
                      <w:sz w:val="21"/>
                      <w:szCs w:val="21"/>
                    </w:rPr>
                  </w:pPr>
                  <w:r>
                    <w:rPr>
                      <w:rFonts w:cs="Times New Roman"/>
                      <w:sz w:val="21"/>
                      <w:szCs w:val="21"/>
                    </w:rPr>
                    <w:t>800</w:t>
                  </w:r>
                </w:p>
              </w:tc>
              <w:tc>
                <w:tcPr>
                  <w:tcW w:w="1199" w:type="dxa"/>
                  <w:vAlign w:val="center"/>
                </w:tcPr>
                <w:p w14:paraId="2B2A2704">
                  <w:pPr>
                    <w:spacing w:line="240" w:lineRule="auto"/>
                    <w:ind w:firstLine="0" w:firstLineChars="0"/>
                    <w:jc w:val="center"/>
                    <w:rPr>
                      <w:rFonts w:cs="Times New Roman"/>
                      <w:sz w:val="21"/>
                      <w:szCs w:val="21"/>
                    </w:rPr>
                  </w:pPr>
                  <w:r>
                    <w:rPr>
                      <w:rFonts w:cs="Times New Roman"/>
                      <w:sz w:val="21"/>
                      <w:szCs w:val="21"/>
                    </w:rPr>
                    <w:t>0.02544</w:t>
                  </w:r>
                </w:p>
              </w:tc>
              <w:tc>
                <w:tcPr>
                  <w:tcW w:w="993" w:type="dxa"/>
                  <w:vAlign w:val="center"/>
                </w:tcPr>
                <w:p w14:paraId="78E9C1B8">
                  <w:pPr>
                    <w:spacing w:line="240" w:lineRule="auto"/>
                    <w:ind w:firstLine="0" w:firstLineChars="0"/>
                    <w:jc w:val="center"/>
                    <w:rPr>
                      <w:rFonts w:cs="Times New Roman"/>
                      <w:sz w:val="21"/>
                      <w:szCs w:val="21"/>
                    </w:rPr>
                  </w:pPr>
                  <w:r>
                    <w:rPr>
                      <w:rFonts w:cs="Times New Roman"/>
                      <w:sz w:val="21"/>
                      <w:szCs w:val="21"/>
                    </w:rPr>
                    <w:t>2.83</w:t>
                  </w:r>
                </w:p>
              </w:tc>
              <w:tc>
                <w:tcPr>
                  <w:tcW w:w="1202" w:type="dxa"/>
                  <w:vAlign w:val="center"/>
                </w:tcPr>
                <w:p w14:paraId="55E3C9C0">
                  <w:pPr>
                    <w:spacing w:line="240" w:lineRule="auto"/>
                    <w:ind w:firstLine="0" w:firstLineChars="0"/>
                    <w:jc w:val="center"/>
                    <w:rPr>
                      <w:rFonts w:cs="Times New Roman"/>
                      <w:sz w:val="21"/>
                      <w:szCs w:val="21"/>
                    </w:rPr>
                  </w:pPr>
                  <w:r>
                    <w:rPr>
                      <w:rFonts w:cs="Times New Roman"/>
                      <w:sz w:val="21"/>
                      <w:szCs w:val="21"/>
                    </w:rPr>
                    <w:t>0.001234</w:t>
                  </w:r>
                </w:p>
              </w:tc>
              <w:tc>
                <w:tcPr>
                  <w:tcW w:w="993" w:type="dxa"/>
                  <w:vAlign w:val="center"/>
                </w:tcPr>
                <w:p w14:paraId="18ED2CC7">
                  <w:pPr>
                    <w:spacing w:line="240" w:lineRule="auto"/>
                    <w:ind w:firstLine="0" w:firstLineChars="0"/>
                    <w:jc w:val="center"/>
                    <w:rPr>
                      <w:rFonts w:cs="Times New Roman"/>
                      <w:sz w:val="21"/>
                      <w:szCs w:val="21"/>
                    </w:rPr>
                  </w:pPr>
                  <w:r>
                    <w:rPr>
                      <w:rFonts w:cs="Times New Roman"/>
                      <w:sz w:val="21"/>
                      <w:szCs w:val="21"/>
                    </w:rPr>
                    <w:t>0.14</w:t>
                  </w:r>
                </w:p>
              </w:tc>
              <w:tc>
                <w:tcPr>
                  <w:tcW w:w="1212" w:type="dxa"/>
                  <w:vAlign w:val="center"/>
                </w:tcPr>
                <w:p w14:paraId="36D2D6A2">
                  <w:pPr>
                    <w:spacing w:line="240" w:lineRule="auto"/>
                    <w:ind w:firstLine="0" w:firstLineChars="0"/>
                    <w:jc w:val="center"/>
                    <w:rPr>
                      <w:rFonts w:cs="Times New Roman"/>
                      <w:sz w:val="21"/>
                      <w:szCs w:val="21"/>
                    </w:rPr>
                  </w:pPr>
                  <w:r>
                    <w:rPr>
                      <w:rFonts w:cs="Times New Roman"/>
                      <w:sz w:val="21"/>
                      <w:szCs w:val="21"/>
                    </w:rPr>
                    <w:t>0.000377</w:t>
                  </w:r>
                </w:p>
              </w:tc>
              <w:tc>
                <w:tcPr>
                  <w:tcW w:w="1026" w:type="dxa"/>
                  <w:vAlign w:val="center"/>
                </w:tcPr>
                <w:p w14:paraId="40D87A14">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721314BE">
                  <w:pPr>
                    <w:spacing w:line="240" w:lineRule="auto"/>
                    <w:ind w:firstLine="0" w:firstLineChars="0"/>
                    <w:jc w:val="center"/>
                    <w:rPr>
                      <w:rFonts w:cs="Times New Roman"/>
                      <w:sz w:val="21"/>
                      <w:szCs w:val="21"/>
                    </w:rPr>
                  </w:pPr>
                  <w:r>
                    <w:rPr>
                      <w:rFonts w:cs="Times New Roman"/>
                      <w:sz w:val="21"/>
                      <w:szCs w:val="21"/>
                    </w:rPr>
                    <w:t>0.030809</w:t>
                  </w:r>
                </w:p>
              </w:tc>
              <w:tc>
                <w:tcPr>
                  <w:tcW w:w="993" w:type="dxa"/>
                  <w:vAlign w:val="center"/>
                </w:tcPr>
                <w:p w14:paraId="61655C06">
                  <w:pPr>
                    <w:spacing w:line="240" w:lineRule="auto"/>
                    <w:ind w:firstLine="0" w:firstLineChars="0"/>
                    <w:jc w:val="center"/>
                    <w:rPr>
                      <w:rFonts w:cs="Times New Roman"/>
                      <w:sz w:val="21"/>
                      <w:szCs w:val="21"/>
                    </w:rPr>
                  </w:pPr>
                  <w:r>
                    <w:rPr>
                      <w:rFonts w:cs="Times New Roman"/>
                      <w:sz w:val="21"/>
                      <w:szCs w:val="21"/>
                    </w:rPr>
                    <w:t>3.42</w:t>
                  </w:r>
                </w:p>
              </w:tc>
            </w:tr>
            <w:tr w14:paraId="25E6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F0CD34E">
                  <w:pPr>
                    <w:spacing w:line="240" w:lineRule="auto"/>
                    <w:ind w:firstLine="0" w:firstLineChars="0"/>
                    <w:jc w:val="center"/>
                    <w:rPr>
                      <w:rFonts w:cs="Times New Roman"/>
                      <w:sz w:val="21"/>
                      <w:szCs w:val="21"/>
                    </w:rPr>
                  </w:pPr>
                  <w:r>
                    <w:rPr>
                      <w:rFonts w:cs="Times New Roman"/>
                      <w:sz w:val="21"/>
                      <w:szCs w:val="21"/>
                    </w:rPr>
                    <w:t>825</w:t>
                  </w:r>
                </w:p>
              </w:tc>
              <w:tc>
                <w:tcPr>
                  <w:tcW w:w="1199" w:type="dxa"/>
                  <w:vAlign w:val="center"/>
                </w:tcPr>
                <w:p w14:paraId="2937E0C1">
                  <w:pPr>
                    <w:spacing w:line="240" w:lineRule="auto"/>
                    <w:ind w:firstLine="0" w:firstLineChars="0"/>
                    <w:jc w:val="center"/>
                    <w:rPr>
                      <w:rFonts w:cs="Times New Roman"/>
                      <w:sz w:val="21"/>
                      <w:szCs w:val="21"/>
                    </w:rPr>
                  </w:pPr>
                  <w:r>
                    <w:rPr>
                      <w:rFonts w:cs="Times New Roman"/>
                      <w:sz w:val="21"/>
                      <w:szCs w:val="21"/>
                    </w:rPr>
                    <w:t>0.024892</w:t>
                  </w:r>
                </w:p>
              </w:tc>
              <w:tc>
                <w:tcPr>
                  <w:tcW w:w="993" w:type="dxa"/>
                  <w:vAlign w:val="center"/>
                </w:tcPr>
                <w:p w14:paraId="20260F94">
                  <w:pPr>
                    <w:spacing w:line="240" w:lineRule="auto"/>
                    <w:ind w:firstLine="0" w:firstLineChars="0"/>
                    <w:jc w:val="center"/>
                    <w:rPr>
                      <w:rFonts w:cs="Times New Roman"/>
                      <w:sz w:val="21"/>
                      <w:szCs w:val="21"/>
                    </w:rPr>
                  </w:pPr>
                  <w:r>
                    <w:rPr>
                      <w:rFonts w:cs="Times New Roman"/>
                      <w:sz w:val="21"/>
                      <w:szCs w:val="21"/>
                    </w:rPr>
                    <w:t>2.77</w:t>
                  </w:r>
                </w:p>
              </w:tc>
              <w:tc>
                <w:tcPr>
                  <w:tcW w:w="1202" w:type="dxa"/>
                  <w:vAlign w:val="center"/>
                </w:tcPr>
                <w:p w14:paraId="3187B992">
                  <w:pPr>
                    <w:spacing w:line="240" w:lineRule="auto"/>
                    <w:ind w:firstLine="0" w:firstLineChars="0"/>
                    <w:jc w:val="center"/>
                    <w:rPr>
                      <w:rFonts w:cs="Times New Roman"/>
                      <w:sz w:val="21"/>
                      <w:szCs w:val="21"/>
                    </w:rPr>
                  </w:pPr>
                  <w:r>
                    <w:rPr>
                      <w:rFonts w:cs="Times New Roman"/>
                      <w:sz w:val="21"/>
                      <w:szCs w:val="21"/>
                    </w:rPr>
                    <w:t>0.001208</w:t>
                  </w:r>
                </w:p>
              </w:tc>
              <w:tc>
                <w:tcPr>
                  <w:tcW w:w="993" w:type="dxa"/>
                  <w:vAlign w:val="center"/>
                </w:tcPr>
                <w:p w14:paraId="5A3FBB6E">
                  <w:pPr>
                    <w:spacing w:line="240" w:lineRule="auto"/>
                    <w:ind w:firstLine="0" w:firstLineChars="0"/>
                    <w:jc w:val="center"/>
                    <w:rPr>
                      <w:rFonts w:cs="Times New Roman"/>
                      <w:sz w:val="21"/>
                      <w:szCs w:val="21"/>
                    </w:rPr>
                  </w:pPr>
                  <w:r>
                    <w:rPr>
                      <w:rFonts w:cs="Times New Roman"/>
                      <w:sz w:val="21"/>
                      <w:szCs w:val="21"/>
                    </w:rPr>
                    <w:t>0.13</w:t>
                  </w:r>
                </w:p>
              </w:tc>
              <w:tc>
                <w:tcPr>
                  <w:tcW w:w="1212" w:type="dxa"/>
                  <w:vAlign w:val="center"/>
                </w:tcPr>
                <w:p w14:paraId="147A70CB">
                  <w:pPr>
                    <w:spacing w:line="240" w:lineRule="auto"/>
                    <w:ind w:firstLine="0" w:firstLineChars="0"/>
                    <w:jc w:val="center"/>
                    <w:rPr>
                      <w:rFonts w:cs="Times New Roman"/>
                      <w:sz w:val="21"/>
                      <w:szCs w:val="21"/>
                    </w:rPr>
                  </w:pPr>
                  <w:r>
                    <w:rPr>
                      <w:rFonts w:cs="Times New Roman"/>
                      <w:sz w:val="21"/>
                      <w:szCs w:val="21"/>
                    </w:rPr>
                    <w:t>0.000369</w:t>
                  </w:r>
                </w:p>
              </w:tc>
              <w:tc>
                <w:tcPr>
                  <w:tcW w:w="1026" w:type="dxa"/>
                  <w:vAlign w:val="center"/>
                </w:tcPr>
                <w:p w14:paraId="23D1852D">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542EA7D9">
                  <w:pPr>
                    <w:spacing w:line="240" w:lineRule="auto"/>
                    <w:ind w:firstLine="0" w:firstLineChars="0"/>
                    <w:jc w:val="center"/>
                    <w:rPr>
                      <w:rFonts w:cs="Times New Roman"/>
                      <w:sz w:val="21"/>
                      <w:szCs w:val="21"/>
                    </w:rPr>
                  </w:pPr>
                  <w:r>
                    <w:rPr>
                      <w:rFonts w:cs="Times New Roman"/>
                      <w:sz w:val="21"/>
                      <w:szCs w:val="21"/>
                    </w:rPr>
                    <w:t>0.030133</w:t>
                  </w:r>
                </w:p>
              </w:tc>
              <w:tc>
                <w:tcPr>
                  <w:tcW w:w="993" w:type="dxa"/>
                  <w:vAlign w:val="center"/>
                </w:tcPr>
                <w:p w14:paraId="7FA6DA55">
                  <w:pPr>
                    <w:spacing w:line="240" w:lineRule="auto"/>
                    <w:ind w:firstLine="0" w:firstLineChars="0"/>
                    <w:jc w:val="center"/>
                    <w:rPr>
                      <w:rFonts w:cs="Times New Roman"/>
                      <w:sz w:val="21"/>
                      <w:szCs w:val="21"/>
                    </w:rPr>
                  </w:pPr>
                  <w:r>
                    <w:rPr>
                      <w:rFonts w:cs="Times New Roman"/>
                      <w:sz w:val="21"/>
                      <w:szCs w:val="21"/>
                    </w:rPr>
                    <w:t>3.35</w:t>
                  </w:r>
                </w:p>
              </w:tc>
            </w:tr>
            <w:tr w14:paraId="2BB6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AAD92DE">
                  <w:pPr>
                    <w:spacing w:line="240" w:lineRule="auto"/>
                    <w:ind w:firstLine="0" w:firstLineChars="0"/>
                    <w:jc w:val="center"/>
                    <w:rPr>
                      <w:rFonts w:cs="Times New Roman"/>
                      <w:sz w:val="21"/>
                      <w:szCs w:val="21"/>
                    </w:rPr>
                  </w:pPr>
                  <w:r>
                    <w:rPr>
                      <w:rFonts w:cs="Times New Roman"/>
                      <w:sz w:val="21"/>
                      <w:szCs w:val="21"/>
                    </w:rPr>
                    <w:t>850</w:t>
                  </w:r>
                </w:p>
              </w:tc>
              <w:tc>
                <w:tcPr>
                  <w:tcW w:w="1199" w:type="dxa"/>
                  <w:vAlign w:val="center"/>
                </w:tcPr>
                <w:p w14:paraId="33D68245">
                  <w:pPr>
                    <w:spacing w:line="240" w:lineRule="auto"/>
                    <w:ind w:firstLine="0" w:firstLineChars="0"/>
                    <w:jc w:val="center"/>
                    <w:rPr>
                      <w:rFonts w:cs="Times New Roman"/>
                      <w:sz w:val="21"/>
                      <w:szCs w:val="21"/>
                    </w:rPr>
                  </w:pPr>
                  <w:r>
                    <w:rPr>
                      <w:rFonts w:cs="Times New Roman"/>
                      <w:sz w:val="21"/>
                      <w:szCs w:val="21"/>
                    </w:rPr>
                    <w:t>0.024371</w:t>
                  </w:r>
                </w:p>
              </w:tc>
              <w:tc>
                <w:tcPr>
                  <w:tcW w:w="993" w:type="dxa"/>
                  <w:vAlign w:val="center"/>
                </w:tcPr>
                <w:p w14:paraId="1E58CFBE">
                  <w:pPr>
                    <w:spacing w:line="240" w:lineRule="auto"/>
                    <w:ind w:firstLine="0" w:firstLineChars="0"/>
                    <w:jc w:val="center"/>
                    <w:rPr>
                      <w:rFonts w:cs="Times New Roman"/>
                      <w:sz w:val="21"/>
                      <w:szCs w:val="21"/>
                    </w:rPr>
                  </w:pPr>
                  <w:r>
                    <w:rPr>
                      <w:rFonts w:cs="Times New Roman"/>
                      <w:sz w:val="21"/>
                      <w:szCs w:val="21"/>
                    </w:rPr>
                    <w:t>2.71</w:t>
                  </w:r>
                </w:p>
              </w:tc>
              <w:tc>
                <w:tcPr>
                  <w:tcW w:w="1202" w:type="dxa"/>
                  <w:vAlign w:val="center"/>
                </w:tcPr>
                <w:p w14:paraId="0E364EFB">
                  <w:pPr>
                    <w:spacing w:line="240" w:lineRule="auto"/>
                    <w:ind w:firstLine="0" w:firstLineChars="0"/>
                    <w:jc w:val="center"/>
                    <w:rPr>
                      <w:rFonts w:cs="Times New Roman"/>
                      <w:sz w:val="21"/>
                      <w:szCs w:val="21"/>
                    </w:rPr>
                  </w:pPr>
                  <w:r>
                    <w:rPr>
                      <w:rFonts w:cs="Times New Roman"/>
                      <w:sz w:val="21"/>
                      <w:szCs w:val="21"/>
                    </w:rPr>
                    <w:t>0.001183</w:t>
                  </w:r>
                </w:p>
              </w:tc>
              <w:tc>
                <w:tcPr>
                  <w:tcW w:w="993" w:type="dxa"/>
                  <w:vAlign w:val="center"/>
                </w:tcPr>
                <w:p w14:paraId="536C9677">
                  <w:pPr>
                    <w:spacing w:line="240" w:lineRule="auto"/>
                    <w:ind w:firstLine="0" w:firstLineChars="0"/>
                    <w:jc w:val="center"/>
                    <w:rPr>
                      <w:rFonts w:cs="Times New Roman"/>
                      <w:sz w:val="21"/>
                      <w:szCs w:val="21"/>
                    </w:rPr>
                  </w:pPr>
                  <w:r>
                    <w:rPr>
                      <w:rFonts w:cs="Times New Roman"/>
                      <w:sz w:val="21"/>
                      <w:szCs w:val="21"/>
                    </w:rPr>
                    <w:t>0.13</w:t>
                  </w:r>
                </w:p>
              </w:tc>
              <w:tc>
                <w:tcPr>
                  <w:tcW w:w="1212" w:type="dxa"/>
                  <w:vAlign w:val="center"/>
                </w:tcPr>
                <w:p w14:paraId="3F3B58DF">
                  <w:pPr>
                    <w:spacing w:line="240" w:lineRule="auto"/>
                    <w:ind w:firstLine="0" w:firstLineChars="0"/>
                    <w:jc w:val="center"/>
                    <w:rPr>
                      <w:rFonts w:cs="Times New Roman"/>
                      <w:sz w:val="21"/>
                      <w:szCs w:val="21"/>
                    </w:rPr>
                  </w:pPr>
                  <w:r>
                    <w:rPr>
                      <w:rFonts w:cs="Times New Roman"/>
                      <w:sz w:val="21"/>
                      <w:szCs w:val="21"/>
                    </w:rPr>
                    <w:t>0.000361</w:t>
                  </w:r>
                </w:p>
              </w:tc>
              <w:tc>
                <w:tcPr>
                  <w:tcW w:w="1026" w:type="dxa"/>
                  <w:vAlign w:val="center"/>
                </w:tcPr>
                <w:p w14:paraId="3E3787A0">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31D6D975">
                  <w:pPr>
                    <w:spacing w:line="240" w:lineRule="auto"/>
                    <w:ind w:firstLine="0" w:firstLineChars="0"/>
                    <w:jc w:val="center"/>
                    <w:rPr>
                      <w:rFonts w:cs="Times New Roman"/>
                      <w:sz w:val="21"/>
                      <w:szCs w:val="21"/>
                    </w:rPr>
                  </w:pPr>
                  <w:r>
                    <w:rPr>
                      <w:rFonts w:cs="Times New Roman"/>
                      <w:sz w:val="21"/>
                      <w:szCs w:val="21"/>
                    </w:rPr>
                    <w:t>0.029492</w:t>
                  </w:r>
                </w:p>
              </w:tc>
              <w:tc>
                <w:tcPr>
                  <w:tcW w:w="993" w:type="dxa"/>
                  <w:vAlign w:val="center"/>
                </w:tcPr>
                <w:p w14:paraId="02F06802">
                  <w:pPr>
                    <w:spacing w:line="240" w:lineRule="auto"/>
                    <w:ind w:firstLine="0" w:firstLineChars="0"/>
                    <w:jc w:val="center"/>
                    <w:rPr>
                      <w:rFonts w:cs="Times New Roman"/>
                      <w:sz w:val="21"/>
                      <w:szCs w:val="21"/>
                    </w:rPr>
                  </w:pPr>
                  <w:r>
                    <w:rPr>
                      <w:rFonts w:cs="Times New Roman"/>
                      <w:sz w:val="21"/>
                      <w:szCs w:val="21"/>
                    </w:rPr>
                    <w:t>3.28</w:t>
                  </w:r>
                </w:p>
              </w:tc>
            </w:tr>
            <w:tr w14:paraId="3AFF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8D9D965">
                  <w:pPr>
                    <w:spacing w:line="240" w:lineRule="auto"/>
                    <w:ind w:firstLine="0" w:firstLineChars="0"/>
                    <w:jc w:val="center"/>
                    <w:rPr>
                      <w:rFonts w:cs="Times New Roman"/>
                      <w:sz w:val="21"/>
                      <w:szCs w:val="21"/>
                    </w:rPr>
                  </w:pPr>
                  <w:r>
                    <w:rPr>
                      <w:rFonts w:cs="Times New Roman"/>
                      <w:sz w:val="21"/>
                      <w:szCs w:val="21"/>
                    </w:rPr>
                    <w:t>875</w:t>
                  </w:r>
                </w:p>
              </w:tc>
              <w:tc>
                <w:tcPr>
                  <w:tcW w:w="1199" w:type="dxa"/>
                  <w:vAlign w:val="center"/>
                </w:tcPr>
                <w:p w14:paraId="57582A1A">
                  <w:pPr>
                    <w:spacing w:line="240" w:lineRule="auto"/>
                    <w:ind w:firstLine="0" w:firstLineChars="0"/>
                    <w:jc w:val="center"/>
                    <w:rPr>
                      <w:rFonts w:cs="Times New Roman"/>
                      <w:sz w:val="21"/>
                      <w:szCs w:val="21"/>
                    </w:rPr>
                  </w:pPr>
                  <w:r>
                    <w:rPr>
                      <w:rFonts w:cs="Times New Roman"/>
                      <w:sz w:val="21"/>
                      <w:szCs w:val="21"/>
                    </w:rPr>
                    <w:t>0.023876</w:t>
                  </w:r>
                </w:p>
              </w:tc>
              <w:tc>
                <w:tcPr>
                  <w:tcW w:w="993" w:type="dxa"/>
                  <w:vAlign w:val="center"/>
                </w:tcPr>
                <w:p w14:paraId="79A7E4B0">
                  <w:pPr>
                    <w:spacing w:line="240" w:lineRule="auto"/>
                    <w:ind w:firstLine="0" w:firstLineChars="0"/>
                    <w:jc w:val="center"/>
                    <w:rPr>
                      <w:rFonts w:cs="Times New Roman"/>
                      <w:sz w:val="21"/>
                      <w:szCs w:val="21"/>
                    </w:rPr>
                  </w:pPr>
                  <w:r>
                    <w:rPr>
                      <w:rFonts w:cs="Times New Roman"/>
                      <w:sz w:val="21"/>
                      <w:szCs w:val="21"/>
                    </w:rPr>
                    <w:t>2.65</w:t>
                  </w:r>
                </w:p>
              </w:tc>
              <w:tc>
                <w:tcPr>
                  <w:tcW w:w="1202" w:type="dxa"/>
                  <w:vAlign w:val="center"/>
                </w:tcPr>
                <w:p w14:paraId="243E12EB">
                  <w:pPr>
                    <w:spacing w:line="240" w:lineRule="auto"/>
                    <w:ind w:firstLine="0" w:firstLineChars="0"/>
                    <w:jc w:val="center"/>
                    <w:rPr>
                      <w:rFonts w:cs="Times New Roman"/>
                      <w:sz w:val="21"/>
                      <w:szCs w:val="21"/>
                    </w:rPr>
                  </w:pPr>
                  <w:r>
                    <w:rPr>
                      <w:rFonts w:cs="Times New Roman"/>
                      <w:sz w:val="21"/>
                      <w:szCs w:val="21"/>
                    </w:rPr>
                    <w:t>0.001159</w:t>
                  </w:r>
                </w:p>
              </w:tc>
              <w:tc>
                <w:tcPr>
                  <w:tcW w:w="993" w:type="dxa"/>
                  <w:vAlign w:val="center"/>
                </w:tcPr>
                <w:p w14:paraId="0F70863B">
                  <w:pPr>
                    <w:spacing w:line="240" w:lineRule="auto"/>
                    <w:ind w:firstLine="0" w:firstLineChars="0"/>
                    <w:jc w:val="center"/>
                    <w:rPr>
                      <w:rFonts w:cs="Times New Roman"/>
                      <w:sz w:val="21"/>
                      <w:szCs w:val="21"/>
                    </w:rPr>
                  </w:pPr>
                  <w:r>
                    <w:rPr>
                      <w:rFonts w:cs="Times New Roman"/>
                      <w:sz w:val="21"/>
                      <w:szCs w:val="21"/>
                    </w:rPr>
                    <w:t>0.13</w:t>
                  </w:r>
                </w:p>
              </w:tc>
              <w:tc>
                <w:tcPr>
                  <w:tcW w:w="1212" w:type="dxa"/>
                  <w:vAlign w:val="center"/>
                </w:tcPr>
                <w:p w14:paraId="36DF95F3">
                  <w:pPr>
                    <w:spacing w:line="240" w:lineRule="auto"/>
                    <w:ind w:firstLine="0" w:firstLineChars="0"/>
                    <w:jc w:val="center"/>
                    <w:rPr>
                      <w:rFonts w:cs="Times New Roman"/>
                      <w:sz w:val="21"/>
                      <w:szCs w:val="21"/>
                    </w:rPr>
                  </w:pPr>
                  <w:r>
                    <w:rPr>
                      <w:rFonts w:cs="Times New Roman"/>
                      <w:sz w:val="21"/>
                      <w:szCs w:val="21"/>
                    </w:rPr>
                    <w:t>0.000354</w:t>
                  </w:r>
                </w:p>
              </w:tc>
              <w:tc>
                <w:tcPr>
                  <w:tcW w:w="1026" w:type="dxa"/>
                  <w:vAlign w:val="center"/>
                </w:tcPr>
                <w:p w14:paraId="42F11490">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2E7CC022">
                  <w:pPr>
                    <w:spacing w:line="240" w:lineRule="auto"/>
                    <w:ind w:firstLine="0" w:firstLineChars="0"/>
                    <w:jc w:val="center"/>
                    <w:rPr>
                      <w:rFonts w:cs="Times New Roman"/>
                      <w:sz w:val="21"/>
                      <w:szCs w:val="21"/>
                    </w:rPr>
                  </w:pPr>
                  <w:r>
                    <w:rPr>
                      <w:rFonts w:cs="Times New Roman"/>
                      <w:sz w:val="21"/>
                      <w:szCs w:val="21"/>
                    </w:rPr>
                    <w:t>0.028883</w:t>
                  </w:r>
                </w:p>
              </w:tc>
              <w:tc>
                <w:tcPr>
                  <w:tcW w:w="993" w:type="dxa"/>
                  <w:vAlign w:val="center"/>
                </w:tcPr>
                <w:p w14:paraId="3DB7C00E">
                  <w:pPr>
                    <w:spacing w:line="240" w:lineRule="auto"/>
                    <w:ind w:firstLine="0" w:firstLineChars="0"/>
                    <w:jc w:val="center"/>
                    <w:rPr>
                      <w:rFonts w:cs="Times New Roman"/>
                      <w:sz w:val="21"/>
                      <w:szCs w:val="21"/>
                    </w:rPr>
                  </w:pPr>
                  <w:r>
                    <w:rPr>
                      <w:rFonts w:cs="Times New Roman"/>
                      <w:sz w:val="21"/>
                      <w:szCs w:val="21"/>
                    </w:rPr>
                    <w:t>3.21</w:t>
                  </w:r>
                </w:p>
              </w:tc>
            </w:tr>
            <w:tr w14:paraId="1EE2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BDDFA0A">
                  <w:pPr>
                    <w:spacing w:line="240" w:lineRule="auto"/>
                    <w:ind w:firstLine="0" w:firstLineChars="0"/>
                    <w:jc w:val="center"/>
                    <w:rPr>
                      <w:rFonts w:cs="Times New Roman"/>
                      <w:sz w:val="21"/>
                      <w:szCs w:val="21"/>
                    </w:rPr>
                  </w:pPr>
                  <w:r>
                    <w:rPr>
                      <w:rFonts w:cs="Times New Roman"/>
                      <w:sz w:val="21"/>
                      <w:szCs w:val="21"/>
                    </w:rPr>
                    <w:t>900</w:t>
                  </w:r>
                </w:p>
              </w:tc>
              <w:tc>
                <w:tcPr>
                  <w:tcW w:w="1199" w:type="dxa"/>
                  <w:vAlign w:val="center"/>
                </w:tcPr>
                <w:p w14:paraId="2627DD36">
                  <w:pPr>
                    <w:spacing w:line="240" w:lineRule="auto"/>
                    <w:ind w:firstLine="0" w:firstLineChars="0"/>
                    <w:jc w:val="center"/>
                    <w:rPr>
                      <w:rFonts w:cs="Times New Roman"/>
                      <w:sz w:val="21"/>
                      <w:szCs w:val="21"/>
                    </w:rPr>
                  </w:pPr>
                  <w:r>
                    <w:rPr>
                      <w:rFonts w:cs="Times New Roman"/>
                      <w:sz w:val="21"/>
                      <w:szCs w:val="21"/>
                    </w:rPr>
                    <w:t>0.023405</w:t>
                  </w:r>
                </w:p>
              </w:tc>
              <w:tc>
                <w:tcPr>
                  <w:tcW w:w="993" w:type="dxa"/>
                  <w:vAlign w:val="center"/>
                </w:tcPr>
                <w:p w14:paraId="133A3CA5">
                  <w:pPr>
                    <w:spacing w:line="240" w:lineRule="auto"/>
                    <w:ind w:firstLine="0" w:firstLineChars="0"/>
                    <w:jc w:val="center"/>
                    <w:rPr>
                      <w:rFonts w:cs="Times New Roman"/>
                      <w:sz w:val="21"/>
                      <w:szCs w:val="21"/>
                    </w:rPr>
                  </w:pPr>
                  <w:r>
                    <w:rPr>
                      <w:rFonts w:cs="Times New Roman"/>
                      <w:sz w:val="21"/>
                      <w:szCs w:val="21"/>
                    </w:rPr>
                    <w:t>2.6</w:t>
                  </w:r>
                </w:p>
              </w:tc>
              <w:tc>
                <w:tcPr>
                  <w:tcW w:w="1202" w:type="dxa"/>
                  <w:vAlign w:val="center"/>
                </w:tcPr>
                <w:p w14:paraId="61E2783F">
                  <w:pPr>
                    <w:spacing w:line="240" w:lineRule="auto"/>
                    <w:ind w:firstLine="0" w:firstLineChars="0"/>
                    <w:jc w:val="center"/>
                    <w:rPr>
                      <w:rFonts w:cs="Times New Roman"/>
                      <w:sz w:val="21"/>
                      <w:szCs w:val="21"/>
                    </w:rPr>
                  </w:pPr>
                  <w:r>
                    <w:rPr>
                      <w:rFonts w:cs="Times New Roman"/>
                      <w:sz w:val="21"/>
                      <w:szCs w:val="21"/>
                    </w:rPr>
                    <w:t>0.001136</w:t>
                  </w:r>
                </w:p>
              </w:tc>
              <w:tc>
                <w:tcPr>
                  <w:tcW w:w="993" w:type="dxa"/>
                  <w:vAlign w:val="center"/>
                </w:tcPr>
                <w:p w14:paraId="7E0EF656">
                  <w:pPr>
                    <w:spacing w:line="240" w:lineRule="auto"/>
                    <w:ind w:firstLine="0" w:firstLineChars="0"/>
                    <w:jc w:val="center"/>
                    <w:rPr>
                      <w:rFonts w:cs="Times New Roman"/>
                      <w:sz w:val="21"/>
                      <w:szCs w:val="21"/>
                    </w:rPr>
                  </w:pPr>
                  <w:r>
                    <w:rPr>
                      <w:rFonts w:cs="Times New Roman"/>
                      <w:sz w:val="21"/>
                      <w:szCs w:val="21"/>
                    </w:rPr>
                    <w:t>0.13</w:t>
                  </w:r>
                </w:p>
              </w:tc>
              <w:tc>
                <w:tcPr>
                  <w:tcW w:w="1212" w:type="dxa"/>
                  <w:vAlign w:val="center"/>
                </w:tcPr>
                <w:p w14:paraId="32DB787A">
                  <w:pPr>
                    <w:spacing w:line="240" w:lineRule="auto"/>
                    <w:ind w:firstLine="0" w:firstLineChars="0"/>
                    <w:jc w:val="center"/>
                    <w:rPr>
                      <w:rFonts w:cs="Times New Roman"/>
                      <w:sz w:val="21"/>
                      <w:szCs w:val="21"/>
                    </w:rPr>
                  </w:pPr>
                  <w:r>
                    <w:rPr>
                      <w:rFonts w:cs="Times New Roman"/>
                      <w:sz w:val="21"/>
                      <w:szCs w:val="21"/>
                    </w:rPr>
                    <w:t>0.000347</w:t>
                  </w:r>
                </w:p>
              </w:tc>
              <w:tc>
                <w:tcPr>
                  <w:tcW w:w="1026" w:type="dxa"/>
                  <w:vAlign w:val="center"/>
                </w:tcPr>
                <w:p w14:paraId="15C8E73D">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40A2BA65">
                  <w:pPr>
                    <w:spacing w:line="240" w:lineRule="auto"/>
                    <w:ind w:firstLine="0" w:firstLineChars="0"/>
                    <w:jc w:val="center"/>
                    <w:rPr>
                      <w:rFonts w:cs="Times New Roman"/>
                      <w:sz w:val="21"/>
                      <w:szCs w:val="21"/>
                    </w:rPr>
                  </w:pPr>
                  <w:r>
                    <w:rPr>
                      <w:rFonts w:cs="Times New Roman"/>
                      <w:sz w:val="21"/>
                      <w:szCs w:val="21"/>
                    </w:rPr>
                    <w:t>0.028303</w:t>
                  </w:r>
                </w:p>
              </w:tc>
              <w:tc>
                <w:tcPr>
                  <w:tcW w:w="993" w:type="dxa"/>
                  <w:vAlign w:val="center"/>
                </w:tcPr>
                <w:p w14:paraId="4D21C039">
                  <w:pPr>
                    <w:spacing w:line="240" w:lineRule="auto"/>
                    <w:ind w:firstLine="0" w:firstLineChars="0"/>
                    <w:jc w:val="center"/>
                    <w:rPr>
                      <w:rFonts w:cs="Times New Roman"/>
                      <w:sz w:val="21"/>
                      <w:szCs w:val="21"/>
                    </w:rPr>
                  </w:pPr>
                  <w:r>
                    <w:rPr>
                      <w:rFonts w:cs="Times New Roman"/>
                      <w:sz w:val="21"/>
                      <w:szCs w:val="21"/>
                    </w:rPr>
                    <w:t>3.14</w:t>
                  </w:r>
                </w:p>
              </w:tc>
            </w:tr>
            <w:tr w14:paraId="5EC9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71220B0">
                  <w:pPr>
                    <w:spacing w:line="240" w:lineRule="auto"/>
                    <w:ind w:firstLine="0" w:firstLineChars="0"/>
                    <w:jc w:val="center"/>
                    <w:rPr>
                      <w:rFonts w:cs="Times New Roman"/>
                      <w:sz w:val="21"/>
                      <w:szCs w:val="21"/>
                    </w:rPr>
                  </w:pPr>
                  <w:r>
                    <w:rPr>
                      <w:rFonts w:cs="Times New Roman"/>
                      <w:sz w:val="21"/>
                      <w:szCs w:val="21"/>
                    </w:rPr>
                    <w:t>925</w:t>
                  </w:r>
                </w:p>
              </w:tc>
              <w:tc>
                <w:tcPr>
                  <w:tcW w:w="1199" w:type="dxa"/>
                  <w:vAlign w:val="center"/>
                </w:tcPr>
                <w:p w14:paraId="563D5B1B">
                  <w:pPr>
                    <w:spacing w:line="240" w:lineRule="auto"/>
                    <w:ind w:firstLine="0" w:firstLineChars="0"/>
                    <w:jc w:val="center"/>
                    <w:rPr>
                      <w:rFonts w:cs="Times New Roman"/>
                      <w:sz w:val="21"/>
                      <w:szCs w:val="21"/>
                    </w:rPr>
                  </w:pPr>
                  <w:r>
                    <w:rPr>
                      <w:rFonts w:cs="Times New Roman"/>
                      <w:sz w:val="21"/>
                      <w:szCs w:val="21"/>
                    </w:rPr>
                    <w:t>0.022955</w:t>
                  </w:r>
                </w:p>
              </w:tc>
              <w:tc>
                <w:tcPr>
                  <w:tcW w:w="993" w:type="dxa"/>
                  <w:vAlign w:val="center"/>
                </w:tcPr>
                <w:p w14:paraId="5CC41A5A">
                  <w:pPr>
                    <w:spacing w:line="240" w:lineRule="auto"/>
                    <w:ind w:firstLine="0" w:firstLineChars="0"/>
                    <w:jc w:val="center"/>
                    <w:rPr>
                      <w:rFonts w:cs="Times New Roman"/>
                      <w:sz w:val="21"/>
                      <w:szCs w:val="21"/>
                    </w:rPr>
                  </w:pPr>
                  <w:r>
                    <w:rPr>
                      <w:rFonts w:cs="Times New Roman"/>
                      <w:sz w:val="21"/>
                      <w:szCs w:val="21"/>
                    </w:rPr>
                    <w:t>2.55</w:t>
                  </w:r>
                </w:p>
              </w:tc>
              <w:tc>
                <w:tcPr>
                  <w:tcW w:w="1202" w:type="dxa"/>
                  <w:vAlign w:val="center"/>
                </w:tcPr>
                <w:p w14:paraId="141C927A">
                  <w:pPr>
                    <w:spacing w:line="240" w:lineRule="auto"/>
                    <w:ind w:firstLine="0" w:firstLineChars="0"/>
                    <w:jc w:val="center"/>
                    <w:rPr>
                      <w:rFonts w:cs="Times New Roman"/>
                      <w:sz w:val="21"/>
                      <w:szCs w:val="21"/>
                    </w:rPr>
                  </w:pPr>
                  <w:r>
                    <w:rPr>
                      <w:rFonts w:cs="Times New Roman"/>
                      <w:sz w:val="21"/>
                      <w:szCs w:val="21"/>
                    </w:rPr>
                    <w:t>0.001114</w:t>
                  </w:r>
                </w:p>
              </w:tc>
              <w:tc>
                <w:tcPr>
                  <w:tcW w:w="993" w:type="dxa"/>
                  <w:vAlign w:val="center"/>
                </w:tcPr>
                <w:p w14:paraId="10897698">
                  <w:pPr>
                    <w:spacing w:line="240" w:lineRule="auto"/>
                    <w:ind w:firstLine="0" w:firstLineChars="0"/>
                    <w:jc w:val="center"/>
                    <w:rPr>
                      <w:rFonts w:cs="Times New Roman"/>
                      <w:sz w:val="21"/>
                      <w:szCs w:val="21"/>
                    </w:rPr>
                  </w:pPr>
                  <w:r>
                    <w:rPr>
                      <w:rFonts w:cs="Times New Roman"/>
                      <w:sz w:val="21"/>
                      <w:szCs w:val="21"/>
                    </w:rPr>
                    <w:t>0.12</w:t>
                  </w:r>
                </w:p>
              </w:tc>
              <w:tc>
                <w:tcPr>
                  <w:tcW w:w="1212" w:type="dxa"/>
                  <w:vAlign w:val="center"/>
                </w:tcPr>
                <w:p w14:paraId="5FF4FCDE">
                  <w:pPr>
                    <w:spacing w:line="240" w:lineRule="auto"/>
                    <w:ind w:firstLine="0" w:firstLineChars="0"/>
                    <w:jc w:val="center"/>
                    <w:rPr>
                      <w:rFonts w:cs="Times New Roman"/>
                      <w:sz w:val="21"/>
                      <w:szCs w:val="21"/>
                    </w:rPr>
                  </w:pPr>
                  <w:r>
                    <w:rPr>
                      <w:rFonts w:cs="Times New Roman"/>
                      <w:sz w:val="21"/>
                      <w:szCs w:val="21"/>
                    </w:rPr>
                    <w:t>0.00034</w:t>
                  </w:r>
                </w:p>
              </w:tc>
              <w:tc>
                <w:tcPr>
                  <w:tcW w:w="1026" w:type="dxa"/>
                  <w:vAlign w:val="center"/>
                </w:tcPr>
                <w:p w14:paraId="05053DDE">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785C6302">
                  <w:pPr>
                    <w:spacing w:line="240" w:lineRule="auto"/>
                    <w:ind w:firstLine="0" w:firstLineChars="0"/>
                    <w:jc w:val="center"/>
                    <w:rPr>
                      <w:rFonts w:cs="Times New Roman"/>
                      <w:sz w:val="21"/>
                      <w:szCs w:val="21"/>
                    </w:rPr>
                  </w:pPr>
                  <w:r>
                    <w:rPr>
                      <w:rFonts w:cs="Times New Roman"/>
                      <w:sz w:val="21"/>
                      <w:szCs w:val="21"/>
                    </w:rPr>
                    <w:t>0.027751</w:t>
                  </w:r>
                </w:p>
              </w:tc>
              <w:tc>
                <w:tcPr>
                  <w:tcW w:w="993" w:type="dxa"/>
                  <w:vAlign w:val="center"/>
                </w:tcPr>
                <w:p w14:paraId="30EADDC8">
                  <w:pPr>
                    <w:spacing w:line="240" w:lineRule="auto"/>
                    <w:ind w:firstLine="0" w:firstLineChars="0"/>
                    <w:jc w:val="center"/>
                    <w:rPr>
                      <w:rFonts w:cs="Times New Roman"/>
                      <w:sz w:val="21"/>
                      <w:szCs w:val="21"/>
                    </w:rPr>
                  </w:pPr>
                  <w:r>
                    <w:rPr>
                      <w:rFonts w:cs="Times New Roman"/>
                      <w:sz w:val="21"/>
                      <w:szCs w:val="21"/>
                    </w:rPr>
                    <w:t>3.08</w:t>
                  </w:r>
                </w:p>
              </w:tc>
            </w:tr>
            <w:tr w14:paraId="2C60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BA15F73">
                  <w:pPr>
                    <w:spacing w:line="240" w:lineRule="auto"/>
                    <w:ind w:firstLine="0" w:firstLineChars="0"/>
                    <w:jc w:val="center"/>
                    <w:rPr>
                      <w:rFonts w:cs="Times New Roman"/>
                      <w:sz w:val="21"/>
                      <w:szCs w:val="21"/>
                    </w:rPr>
                  </w:pPr>
                  <w:r>
                    <w:rPr>
                      <w:rFonts w:cs="Times New Roman"/>
                      <w:sz w:val="21"/>
                      <w:szCs w:val="21"/>
                    </w:rPr>
                    <w:t>950</w:t>
                  </w:r>
                </w:p>
              </w:tc>
              <w:tc>
                <w:tcPr>
                  <w:tcW w:w="1199" w:type="dxa"/>
                  <w:vAlign w:val="center"/>
                </w:tcPr>
                <w:p w14:paraId="24448FAD">
                  <w:pPr>
                    <w:spacing w:line="240" w:lineRule="auto"/>
                    <w:ind w:firstLine="0" w:firstLineChars="0"/>
                    <w:jc w:val="center"/>
                    <w:rPr>
                      <w:rFonts w:cs="Times New Roman"/>
                      <w:sz w:val="21"/>
                      <w:szCs w:val="21"/>
                    </w:rPr>
                  </w:pPr>
                  <w:r>
                    <w:rPr>
                      <w:rFonts w:cs="Times New Roman"/>
                      <w:sz w:val="21"/>
                      <w:szCs w:val="21"/>
                    </w:rPr>
                    <w:t>0.022527</w:t>
                  </w:r>
                </w:p>
              </w:tc>
              <w:tc>
                <w:tcPr>
                  <w:tcW w:w="993" w:type="dxa"/>
                  <w:vAlign w:val="center"/>
                </w:tcPr>
                <w:p w14:paraId="5DE47AD5">
                  <w:pPr>
                    <w:spacing w:line="240" w:lineRule="auto"/>
                    <w:ind w:firstLine="0" w:firstLineChars="0"/>
                    <w:jc w:val="center"/>
                    <w:rPr>
                      <w:rFonts w:cs="Times New Roman"/>
                      <w:sz w:val="21"/>
                      <w:szCs w:val="21"/>
                    </w:rPr>
                  </w:pPr>
                  <w:r>
                    <w:rPr>
                      <w:rFonts w:cs="Times New Roman"/>
                      <w:sz w:val="21"/>
                      <w:szCs w:val="21"/>
                    </w:rPr>
                    <w:t>2.5</w:t>
                  </w:r>
                </w:p>
              </w:tc>
              <w:tc>
                <w:tcPr>
                  <w:tcW w:w="1202" w:type="dxa"/>
                  <w:vAlign w:val="center"/>
                </w:tcPr>
                <w:p w14:paraId="05ECFD50">
                  <w:pPr>
                    <w:spacing w:line="240" w:lineRule="auto"/>
                    <w:ind w:firstLine="0" w:firstLineChars="0"/>
                    <w:jc w:val="center"/>
                    <w:rPr>
                      <w:rFonts w:cs="Times New Roman"/>
                      <w:sz w:val="21"/>
                      <w:szCs w:val="21"/>
                    </w:rPr>
                  </w:pPr>
                  <w:r>
                    <w:rPr>
                      <w:rFonts w:cs="Times New Roman"/>
                      <w:sz w:val="21"/>
                      <w:szCs w:val="21"/>
                    </w:rPr>
                    <w:t>0.001093</w:t>
                  </w:r>
                </w:p>
              </w:tc>
              <w:tc>
                <w:tcPr>
                  <w:tcW w:w="993" w:type="dxa"/>
                  <w:vAlign w:val="center"/>
                </w:tcPr>
                <w:p w14:paraId="6467F2B2">
                  <w:pPr>
                    <w:spacing w:line="240" w:lineRule="auto"/>
                    <w:ind w:firstLine="0" w:firstLineChars="0"/>
                    <w:jc w:val="center"/>
                    <w:rPr>
                      <w:rFonts w:cs="Times New Roman"/>
                      <w:sz w:val="21"/>
                      <w:szCs w:val="21"/>
                    </w:rPr>
                  </w:pPr>
                  <w:r>
                    <w:rPr>
                      <w:rFonts w:cs="Times New Roman"/>
                      <w:sz w:val="21"/>
                      <w:szCs w:val="21"/>
                    </w:rPr>
                    <w:t>0.12</w:t>
                  </w:r>
                </w:p>
              </w:tc>
              <w:tc>
                <w:tcPr>
                  <w:tcW w:w="1212" w:type="dxa"/>
                  <w:vAlign w:val="center"/>
                </w:tcPr>
                <w:p w14:paraId="7F893C9D">
                  <w:pPr>
                    <w:spacing w:line="240" w:lineRule="auto"/>
                    <w:ind w:firstLine="0" w:firstLineChars="0"/>
                    <w:jc w:val="center"/>
                    <w:rPr>
                      <w:rFonts w:cs="Times New Roman"/>
                      <w:sz w:val="21"/>
                      <w:szCs w:val="21"/>
                    </w:rPr>
                  </w:pPr>
                  <w:r>
                    <w:rPr>
                      <w:rFonts w:cs="Times New Roman"/>
                      <w:sz w:val="21"/>
                      <w:szCs w:val="21"/>
                    </w:rPr>
                    <w:t>0.000334</w:t>
                  </w:r>
                </w:p>
              </w:tc>
              <w:tc>
                <w:tcPr>
                  <w:tcW w:w="1026" w:type="dxa"/>
                  <w:vAlign w:val="center"/>
                </w:tcPr>
                <w:p w14:paraId="7A0DFFD3">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6C08770A">
                  <w:pPr>
                    <w:spacing w:line="240" w:lineRule="auto"/>
                    <w:ind w:firstLine="0" w:firstLineChars="0"/>
                    <w:jc w:val="center"/>
                    <w:rPr>
                      <w:rFonts w:cs="Times New Roman"/>
                      <w:sz w:val="21"/>
                      <w:szCs w:val="21"/>
                    </w:rPr>
                  </w:pPr>
                  <w:r>
                    <w:rPr>
                      <w:rFonts w:cs="Times New Roman"/>
                      <w:sz w:val="21"/>
                      <w:szCs w:val="21"/>
                    </w:rPr>
                    <w:t>0.027224</w:t>
                  </w:r>
                </w:p>
              </w:tc>
              <w:tc>
                <w:tcPr>
                  <w:tcW w:w="993" w:type="dxa"/>
                  <w:vAlign w:val="center"/>
                </w:tcPr>
                <w:p w14:paraId="44FBFA2F">
                  <w:pPr>
                    <w:spacing w:line="240" w:lineRule="auto"/>
                    <w:ind w:firstLine="0" w:firstLineChars="0"/>
                    <w:jc w:val="center"/>
                    <w:rPr>
                      <w:rFonts w:cs="Times New Roman"/>
                      <w:sz w:val="21"/>
                      <w:szCs w:val="21"/>
                    </w:rPr>
                  </w:pPr>
                  <w:r>
                    <w:rPr>
                      <w:rFonts w:cs="Times New Roman"/>
                      <w:sz w:val="21"/>
                      <w:szCs w:val="21"/>
                    </w:rPr>
                    <w:t>3.02</w:t>
                  </w:r>
                </w:p>
              </w:tc>
            </w:tr>
            <w:tr w14:paraId="6035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E3D1074">
                  <w:pPr>
                    <w:spacing w:line="240" w:lineRule="auto"/>
                    <w:ind w:firstLine="0" w:firstLineChars="0"/>
                    <w:jc w:val="center"/>
                    <w:rPr>
                      <w:rFonts w:cs="Times New Roman"/>
                      <w:sz w:val="21"/>
                      <w:szCs w:val="21"/>
                    </w:rPr>
                  </w:pPr>
                  <w:r>
                    <w:rPr>
                      <w:rFonts w:cs="Times New Roman"/>
                      <w:sz w:val="21"/>
                      <w:szCs w:val="21"/>
                    </w:rPr>
                    <w:t>975</w:t>
                  </w:r>
                </w:p>
              </w:tc>
              <w:tc>
                <w:tcPr>
                  <w:tcW w:w="1199" w:type="dxa"/>
                  <w:vAlign w:val="center"/>
                </w:tcPr>
                <w:p w14:paraId="7AF63863">
                  <w:pPr>
                    <w:spacing w:line="240" w:lineRule="auto"/>
                    <w:ind w:firstLine="0" w:firstLineChars="0"/>
                    <w:jc w:val="center"/>
                    <w:rPr>
                      <w:rFonts w:cs="Times New Roman"/>
                      <w:sz w:val="21"/>
                      <w:szCs w:val="21"/>
                    </w:rPr>
                  </w:pPr>
                  <w:r>
                    <w:rPr>
                      <w:rFonts w:cs="Times New Roman"/>
                      <w:sz w:val="21"/>
                      <w:szCs w:val="21"/>
                    </w:rPr>
                    <w:t>0.022117</w:t>
                  </w:r>
                </w:p>
              </w:tc>
              <w:tc>
                <w:tcPr>
                  <w:tcW w:w="993" w:type="dxa"/>
                  <w:vAlign w:val="center"/>
                </w:tcPr>
                <w:p w14:paraId="6DD6BFCA">
                  <w:pPr>
                    <w:spacing w:line="240" w:lineRule="auto"/>
                    <w:ind w:firstLine="0" w:firstLineChars="0"/>
                    <w:jc w:val="center"/>
                    <w:rPr>
                      <w:rFonts w:cs="Times New Roman"/>
                      <w:sz w:val="21"/>
                      <w:szCs w:val="21"/>
                    </w:rPr>
                  </w:pPr>
                  <w:r>
                    <w:rPr>
                      <w:rFonts w:cs="Times New Roman"/>
                      <w:sz w:val="21"/>
                      <w:szCs w:val="21"/>
                    </w:rPr>
                    <w:t>2.46</w:t>
                  </w:r>
                </w:p>
              </w:tc>
              <w:tc>
                <w:tcPr>
                  <w:tcW w:w="1202" w:type="dxa"/>
                  <w:vAlign w:val="center"/>
                </w:tcPr>
                <w:p w14:paraId="18CA4D57">
                  <w:pPr>
                    <w:spacing w:line="240" w:lineRule="auto"/>
                    <w:ind w:firstLine="0" w:firstLineChars="0"/>
                    <w:jc w:val="center"/>
                    <w:rPr>
                      <w:rFonts w:cs="Times New Roman"/>
                      <w:sz w:val="21"/>
                      <w:szCs w:val="21"/>
                    </w:rPr>
                  </w:pPr>
                  <w:r>
                    <w:rPr>
                      <w:rFonts w:cs="Times New Roman"/>
                      <w:sz w:val="21"/>
                      <w:szCs w:val="21"/>
                    </w:rPr>
                    <w:t>0.001074</w:t>
                  </w:r>
                </w:p>
              </w:tc>
              <w:tc>
                <w:tcPr>
                  <w:tcW w:w="993" w:type="dxa"/>
                  <w:vAlign w:val="center"/>
                </w:tcPr>
                <w:p w14:paraId="56C7BCD7">
                  <w:pPr>
                    <w:spacing w:line="240" w:lineRule="auto"/>
                    <w:ind w:firstLine="0" w:firstLineChars="0"/>
                    <w:jc w:val="center"/>
                    <w:rPr>
                      <w:rFonts w:cs="Times New Roman"/>
                      <w:sz w:val="21"/>
                      <w:szCs w:val="21"/>
                    </w:rPr>
                  </w:pPr>
                  <w:r>
                    <w:rPr>
                      <w:rFonts w:cs="Times New Roman"/>
                      <w:sz w:val="21"/>
                      <w:szCs w:val="21"/>
                    </w:rPr>
                    <w:t>0.12</w:t>
                  </w:r>
                </w:p>
              </w:tc>
              <w:tc>
                <w:tcPr>
                  <w:tcW w:w="1212" w:type="dxa"/>
                  <w:vAlign w:val="center"/>
                </w:tcPr>
                <w:p w14:paraId="13A82A3B">
                  <w:pPr>
                    <w:spacing w:line="240" w:lineRule="auto"/>
                    <w:ind w:firstLine="0" w:firstLineChars="0"/>
                    <w:jc w:val="center"/>
                    <w:rPr>
                      <w:rFonts w:cs="Times New Roman"/>
                      <w:sz w:val="21"/>
                      <w:szCs w:val="21"/>
                    </w:rPr>
                  </w:pPr>
                  <w:r>
                    <w:rPr>
                      <w:rFonts w:cs="Times New Roman"/>
                      <w:sz w:val="21"/>
                      <w:szCs w:val="21"/>
                    </w:rPr>
                    <w:t>0.000328</w:t>
                  </w:r>
                </w:p>
              </w:tc>
              <w:tc>
                <w:tcPr>
                  <w:tcW w:w="1026" w:type="dxa"/>
                  <w:vAlign w:val="center"/>
                </w:tcPr>
                <w:p w14:paraId="61A40CCA">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7131E6A2">
                  <w:pPr>
                    <w:spacing w:line="240" w:lineRule="auto"/>
                    <w:ind w:firstLine="0" w:firstLineChars="0"/>
                    <w:jc w:val="center"/>
                    <w:rPr>
                      <w:rFonts w:cs="Times New Roman"/>
                      <w:sz w:val="21"/>
                      <w:szCs w:val="21"/>
                    </w:rPr>
                  </w:pPr>
                  <w:r>
                    <w:rPr>
                      <w:rFonts w:cs="Times New Roman"/>
                      <w:sz w:val="21"/>
                      <w:szCs w:val="21"/>
                    </w:rPr>
                    <w:t>0.026721</w:t>
                  </w:r>
                </w:p>
              </w:tc>
              <w:tc>
                <w:tcPr>
                  <w:tcW w:w="993" w:type="dxa"/>
                  <w:vAlign w:val="center"/>
                </w:tcPr>
                <w:p w14:paraId="38A788BD">
                  <w:pPr>
                    <w:spacing w:line="240" w:lineRule="auto"/>
                    <w:ind w:firstLine="0" w:firstLineChars="0"/>
                    <w:jc w:val="center"/>
                    <w:rPr>
                      <w:rFonts w:cs="Times New Roman"/>
                      <w:sz w:val="21"/>
                      <w:szCs w:val="21"/>
                    </w:rPr>
                  </w:pPr>
                  <w:r>
                    <w:rPr>
                      <w:rFonts w:cs="Times New Roman"/>
                      <w:sz w:val="21"/>
                      <w:szCs w:val="21"/>
                    </w:rPr>
                    <w:t>2.97</w:t>
                  </w:r>
                </w:p>
              </w:tc>
            </w:tr>
            <w:tr w14:paraId="7CD6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E99A6AB">
                  <w:pPr>
                    <w:spacing w:line="240" w:lineRule="auto"/>
                    <w:ind w:firstLine="0" w:firstLineChars="0"/>
                    <w:jc w:val="center"/>
                    <w:rPr>
                      <w:rFonts w:cs="Times New Roman"/>
                      <w:sz w:val="21"/>
                      <w:szCs w:val="21"/>
                    </w:rPr>
                  </w:pPr>
                  <w:r>
                    <w:rPr>
                      <w:rFonts w:cs="Times New Roman"/>
                      <w:sz w:val="21"/>
                      <w:szCs w:val="21"/>
                    </w:rPr>
                    <w:t>1000</w:t>
                  </w:r>
                </w:p>
              </w:tc>
              <w:tc>
                <w:tcPr>
                  <w:tcW w:w="1199" w:type="dxa"/>
                  <w:vAlign w:val="center"/>
                </w:tcPr>
                <w:p w14:paraId="6965EFB1">
                  <w:pPr>
                    <w:spacing w:line="240" w:lineRule="auto"/>
                    <w:ind w:firstLine="0" w:firstLineChars="0"/>
                    <w:jc w:val="center"/>
                    <w:rPr>
                      <w:rFonts w:cs="Times New Roman"/>
                      <w:sz w:val="21"/>
                      <w:szCs w:val="21"/>
                    </w:rPr>
                  </w:pPr>
                  <w:r>
                    <w:rPr>
                      <w:rFonts w:cs="Times New Roman"/>
                      <w:sz w:val="21"/>
                      <w:szCs w:val="21"/>
                    </w:rPr>
                    <w:t>0.021724</w:t>
                  </w:r>
                </w:p>
              </w:tc>
              <w:tc>
                <w:tcPr>
                  <w:tcW w:w="993" w:type="dxa"/>
                  <w:vAlign w:val="center"/>
                </w:tcPr>
                <w:p w14:paraId="05986505">
                  <w:pPr>
                    <w:spacing w:line="240" w:lineRule="auto"/>
                    <w:ind w:firstLine="0" w:firstLineChars="0"/>
                    <w:jc w:val="center"/>
                    <w:rPr>
                      <w:rFonts w:cs="Times New Roman"/>
                      <w:sz w:val="21"/>
                      <w:szCs w:val="21"/>
                    </w:rPr>
                  </w:pPr>
                  <w:r>
                    <w:rPr>
                      <w:rFonts w:cs="Times New Roman"/>
                      <w:sz w:val="21"/>
                      <w:szCs w:val="21"/>
                    </w:rPr>
                    <w:t>2.41</w:t>
                  </w:r>
                </w:p>
              </w:tc>
              <w:tc>
                <w:tcPr>
                  <w:tcW w:w="1202" w:type="dxa"/>
                  <w:vAlign w:val="center"/>
                </w:tcPr>
                <w:p w14:paraId="4D298977">
                  <w:pPr>
                    <w:spacing w:line="240" w:lineRule="auto"/>
                    <w:ind w:firstLine="0" w:firstLineChars="0"/>
                    <w:jc w:val="center"/>
                    <w:rPr>
                      <w:rFonts w:cs="Times New Roman"/>
                      <w:sz w:val="21"/>
                      <w:szCs w:val="21"/>
                    </w:rPr>
                  </w:pPr>
                  <w:r>
                    <w:rPr>
                      <w:rFonts w:cs="Times New Roman"/>
                      <w:sz w:val="21"/>
                      <w:szCs w:val="21"/>
                    </w:rPr>
                    <w:t>0.001055</w:t>
                  </w:r>
                </w:p>
              </w:tc>
              <w:tc>
                <w:tcPr>
                  <w:tcW w:w="993" w:type="dxa"/>
                  <w:vAlign w:val="center"/>
                </w:tcPr>
                <w:p w14:paraId="3A98052C">
                  <w:pPr>
                    <w:spacing w:line="240" w:lineRule="auto"/>
                    <w:ind w:firstLine="0" w:firstLineChars="0"/>
                    <w:jc w:val="center"/>
                    <w:rPr>
                      <w:rFonts w:cs="Times New Roman"/>
                      <w:sz w:val="21"/>
                      <w:szCs w:val="21"/>
                    </w:rPr>
                  </w:pPr>
                  <w:r>
                    <w:rPr>
                      <w:rFonts w:cs="Times New Roman"/>
                      <w:sz w:val="21"/>
                      <w:szCs w:val="21"/>
                    </w:rPr>
                    <w:t>0.12</w:t>
                  </w:r>
                </w:p>
              </w:tc>
              <w:tc>
                <w:tcPr>
                  <w:tcW w:w="1212" w:type="dxa"/>
                  <w:vAlign w:val="center"/>
                </w:tcPr>
                <w:p w14:paraId="3E7F3E37">
                  <w:pPr>
                    <w:spacing w:line="240" w:lineRule="auto"/>
                    <w:ind w:firstLine="0" w:firstLineChars="0"/>
                    <w:jc w:val="center"/>
                    <w:rPr>
                      <w:rFonts w:cs="Times New Roman"/>
                      <w:sz w:val="21"/>
                      <w:szCs w:val="21"/>
                    </w:rPr>
                  </w:pPr>
                  <w:r>
                    <w:rPr>
                      <w:rFonts w:cs="Times New Roman"/>
                      <w:sz w:val="21"/>
                      <w:szCs w:val="21"/>
                    </w:rPr>
                    <w:t>0.000322</w:t>
                  </w:r>
                </w:p>
              </w:tc>
              <w:tc>
                <w:tcPr>
                  <w:tcW w:w="1026" w:type="dxa"/>
                  <w:vAlign w:val="center"/>
                </w:tcPr>
                <w:p w14:paraId="4B60D767">
                  <w:pPr>
                    <w:spacing w:line="240" w:lineRule="auto"/>
                    <w:ind w:firstLine="0" w:firstLineChars="0"/>
                    <w:jc w:val="center"/>
                    <w:rPr>
                      <w:rFonts w:cs="Times New Roman"/>
                      <w:sz w:val="21"/>
                      <w:szCs w:val="21"/>
                    </w:rPr>
                  </w:pPr>
                  <w:r>
                    <w:rPr>
                      <w:rFonts w:cs="Times New Roman"/>
                      <w:sz w:val="21"/>
                      <w:szCs w:val="21"/>
                    </w:rPr>
                    <w:t>0.04</w:t>
                  </w:r>
                </w:p>
              </w:tc>
              <w:tc>
                <w:tcPr>
                  <w:tcW w:w="1224" w:type="dxa"/>
                  <w:vAlign w:val="center"/>
                </w:tcPr>
                <w:p w14:paraId="17BDFAEF">
                  <w:pPr>
                    <w:spacing w:line="240" w:lineRule="auto"/>
                    <w:ind w:firstLine="0" w:firstLineChars="0"/>
                    <w:jc w:val="center"/>
                    <w:rPr>
                      <w:rFonts w:cs="Times New Roman"/>
                      <w:sz w:val="21"/>
                      <w:szCs w:val="21"/>
                    </w:rPr>
                  </w:pPr>
                  <w:r>
                    <w:rPr>
                      <w:rFonts w:cs="Times New Roman"/>
                      <w:sz w:val="21"/>
                      <w:szCs w:val="21"/>
                    </w:rPr>
                    <w:t>0.02624</w:t>
                  </w:r>
                </w:p>
              </w:tc>
              <w:tc>
                <w:tcPr>
                  <w:tcW w:w="993" w:type="dxa"/>
                  <w:vAlign w:val="center"/>
                </w:tcPr>
                <w:p w14:paraId="745A1097">
                  <w:pPr>
                    <w:spacing w:line="240" w:lineRule="auto"/>
                    <w:ind w:firstLine="0" w:firstLineChars="0"/>
                    <w:jc w:val="center"/>
                    <w:rPr>
                      <w:rFonts w:cs="Times New Roman"/>
                      <w:sz w:val="21"/>
                      <w:szCs w:val="21"/>
                    </w:rPr>
                  </w:pPr>
                  <w:r>
                    <w:rPr>
                      <w:rFonts w:cs="Times New Roman"/>
                      <w:sz w:val="21"/>
                      <w:szCs w:val="21"/>
                    </w:rPr>
                    <w:t>2.92</w:t>
                  </w:r>
                </w:p>
              </w:tc>
            </w:tr>
            <w:tr w14:paraId="0A3E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98DCF85">
                  <w:pPr>
                    <w:spacing w:line="240" w:lineRule="auto"/>
                    <w:ind w:firstLine="0" w:firstLineChars="0"/>
                    <w:jc w:val="center"/>
                    <w:rPr>
                      <w:rFonts w:cs="Times New Roman"/>
                      <w:sz w:val="21"/>
                      <w:szCs w:val="21"/>
                    </w:rPr>
                  </w:pPr>
                  <w:r>
                    <w:rPr>
                      <w:rFonts w:cs="Times New Roman"/>
                      <w:sz w:val="21"/>
                      <w:szCs w:val="21"/>
                    </w:rPr>
                    <w:t>1100</w:t>
                  </w:r>
                </w:p>
              </w:tc>
              <w:tc>
                <w:tcPr>
                  <w:tcW w:w="1199" w:type="dxa"/>
                  <w:vAlign w:val="center"/>
                </w:tcPr>
                <w:p w14:paraId="74D52933">
                  <w:pPr>
                    <w:spacing w:line="240" w:lineRule="auto"/>
                    <w:ind w:firstLine="0" w:firstLineChars="0"/>
                    <w:jc w:val="center"/>
                    <w:rPr>
                      <w:rFonts w:cs="Times New Roman"/>
                      <w:sz w:val="21"/>
                      <w:szCs w:val="21"/>
                    </w:rPr>
                  </w:pPr>
                  <w:r>
                    <w:rPr>
                      <w:rFonts w:cs="Times New Roman"/>
                      <w:sz w:val="21"/>
                      <w:szCs w:val="21"/>
                    </w:rPr>
                    <w:t>0.02031</w:t>
                  </w:r>
                </w:p>
              </w:tc>
              <w:tc>
                <w:tcPr>
                  <w:tcW w:w="993" w:type="dxa"/>
                  <w:vAlign w:val="center"/>
                </w:tcPr>
                <w:p w14:paraId="08C54360">
                  <w:pPr>
                    <w:spacing w:line="240" w:lineRule="auto"/>
                    <w:ind w:firstLine="0" w:firstLineChars="0"/>
                    <w:jc w:val="center"/>
                    <w:rPr>
                      <w:rFonts w:cs="Times New Roman"/>
                      <w:sz w:val="21"/>
                      <w:szCs w:val="21"/>
                    </w:rPr>
                  </w:pPr>
                  <w:r>
                    <w:rPr>
                      <w:rFonts w:cs="Times New Roman"/>
                      <w:sz w:val="21"/>
                      <w:szCs w:val="21"/>
                    </w:rPr>
                    <w:t>2.26</w:t>
                  </w:r>
                </w:p>
              </w:tc>
              <w:tc>
                <w:tcPr>
                  <w:tcW w:w="1202" w:type="dxa"/>
                  <w:vAlign w:val="center"/>
                </w:tcPr>
                <w:p w14:paraId="6BCED7EA">
                  <w:pPr>
                    <w:spacing w:line="240" w:lineRule="auto"/>
                    <w:ind w:firstLine="0" w:firstLineChars="0"/>
                    <w:jc w:val="center"/>
                    <w:rPr>
                      <w:rFonts w:cs="Times New Roman"/>
                      <w:sz w:val="21"/>
                      <w:szCs w:val="21"/>
                    </w:rPr>
                  </w:pPr>
                  <w:r>
                    <w:rPr>
                      <w:rFonts w:cs="Times New Roman"/>
                      <w:sz w:val="21"/>
                      <w:szCs w:val="21"/>
                    </w:rPr>
                    <w:t>0.000986</w:t>
                  </w:r>
                </w:p>
              </w:tc>
              <w:tc>
                <w:tcPr>
                  <w:tcW w:w="993" w:type="dxa"/>
                  <w:vAlign w:val="center"/>
                </w:tcPr>
                <w:p w14:paraId="41C5B497">
                  <w:pPr>
                    <w:spacing w:line="240" w:lineRule="auto"/>
                    <w:ind w:firstLine="0" w:firstLineChars="0"/>
                    <w:jc w:val="center"/>
                    <w:rPr>
                      <w:rFonts w:cs="Times New Roman"/>
                      <w:sz w:val="21"/>
                      <w:szCs w:val="21"/>
                    </w:rPr>
                  </w:pPr>
                  <w:r>
                    <w:rPr>
                      <w:rFonts w:cs="Times New Roman"/>
                      <w:sz w:val="21"/>
                      <w:szCs w:val="21"/>
                    </w:rPr>
                    <w:t>0.11</w:t>
                  </w:r>
                </w:p>
              </w:tc>
              <w:tc>
                <w:tcPr>
                  <w:tcW w:w="1212" w:type="dxa"/>
                  <w:vAlign w:val="center"/>
                </w:tcPr>
                <w:p w14:paraId="3E5E0855">
                  <w:pPr>
                    <w:spacing w:line="240" w:lineRule="auto"/>
                    <w:ind w:firstLine="0" w:firstLineChars="0"/>
                    <w:jc w:val="center"/>
                    <w:rPr>
                      <w:rFonts w:cs="Times New Roman"/>
                      <w:sz w:val="21"/>
                      <w:szCs w:val="21"/>
                    </w:rPr>
                  </w:pPr>
                  <w:r>
                    <w:rPr>
                      <w:rFonts w:cs="Times New Roman"/>
                      <w:sz w:val="21"/>
                      <w:szCs w:val="21"/>
                    </w:rPr>
                    <w:t>0.000301</w:t>
                  </w:r>
                </w:p>
              </w:tc>
              <w:tc>
                <w:tcPr>
                  <w:tcW w:w="1026" w:type="dxa"/>
                  <w:vAlign w:val="center"/>
                </w:tcPr>
                <w:p w14:paraId="3F9B8809">
                  <w:pPr>
                    <w:spacing w:line="240" w:lineRule="auto"/>
                    <w:ind w:firstLine="0" w:firstLineChars="0"/>
                    <w:jc w:val="center"/>
                    <w:rPr>
                      <w:rFonts w:cs="Times New Roman"/>
                      <w:sz w:val="21"/>
                      <w:szCs w:val="21"/>
                    </w:rPr>
                  </w:pPr>
                  <w:r>
                    <w:rPr>
                      <w:rFonts w:cs="Times New Roman"/>
                      <w:sz w:val="21"/>
                      <w:szCs w:val="21"/>
                    </w:rPr>
                    <w:t>0.03</w:t>
                  </w:r>
                </w:p>
              </w:tc>
              <w:tc>
                <w:tcPr>
                  <w:tcW w:w="1224" w:type="dxa"/>
                  <w:vAlign w:val="center"/>
                </w:tcPr>
                <w:p w14:paraId="570675A3">
                  <w:pPr>
                    <w:spacing w:line="240" w:lineRule="auto"/>
                    <w:ind w:firstLine="0" w:firstLineChars="0"/>
                    <w:jc w:val="center"/>
                    <w:rPr>
                      <w:rFonts w:cs="Times New Roman"/>
                      <w:sz w:val="21"/>
                      <w:szCs w:val="21"/>
                    </w:rPr>
                  </w:pPr>
                  <w:r>
                    <w:rPr>
                      <w:rFonts w:cs="Times New Roman"/>
                      <w:sz w:val="21"/>
                      <w:szCs w:val="21"/>
                    </w:rPr>
                    <w:t>0.024508</w:t>
                  </w:r>
                </w:p>
              </w:tc>
              <w:tc>
                <w:tcPr>
                  <w:tcW w:w="993" w:type="dxa"/>
                  <w:vAlign w:val="center"/>
                </w:tcPr>
                <w:p w14:paraId="36274324">
                  <w:pPr>
                    <w:spacing w:line="240" w:lineRule="auto"/>
                    <w:ind w:firstLine="0" w:firstLineChars="0"/>
                    <w:jc w:val="center"/>
                    <w:rPr>
                      <w:rFonts w:cs="Times New Roman"/>
                      <w:sz w:val="21"/>
                      <w:szCs w:val="21"/>
                    </w:rPr>
                  </w:pPr>
                  <w:r>
                    <w:rPr>
                      <w:rFonts w:cs="Times New Roman"/>
                      <w:sz w:val="21"/>
                      <w:szCs w:val="21"/>
                    </w:rPr>
                    <w:t>2.72</w:t>
                  </w:r>
                </w:p>
              </w:tc>
            </w:tr>
            <w:tr w14:paraId="7D67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502F7A9">
                  <w:pPr>
                    <w:spacing w:line="240" w:lineRule="auto"/>
                    <w:ind w:firstLine="0" w:firstLineChars="0"/>
                    <w:jc w:val="center"/>
                    <w:rPr>
                      <w:rFonts w:cs="Times New Roman"/>
                      <w:sz w:val="21"/>
                      <w:szCs w:val="21"/>
                    </w:rPr>
                  </w:pPr>
                  <w:r>
                    <w:rPr>
                      <w:rFonts w:cs="Times New Roman"/>
                      <w:sz w:val="21"/>
                      <w:szCs w:val="21"/>
                    </w:rPr>
                    <w:t>1200</w:t>
                  </w:r>
                </w:p>
              </w:tc>
              <w:tc>
                <w:tcPr>
                  <w:tcW w:w="1199" w:type="dxa"/>
                  <w:vAlign w:val="center"/>
                </w:tcPr>
                <w:p w14:paraId="304E2B7E">
                  <w:pPr>
                    <w:spacing w:line="240" w:lineRule="auto"/>
                    <w:ind w:firstLine="0" w:firstLineChars="0"/>
                    <w:jc w:val="center"/>
                    <w:rPr>
                      <w:rFonts w:cs="Times New Roman"/>
                      <w:sz w:val="21"/>
                      <w:szCs w:val="21"/>
                    </w:rPr>
                  </w:pPr>
                  <w:r>
                    <w:rPr>
                      <w:rFonts w:cs="Times New Roman"/>
                      <w:sz w:val="21"/>
                      <w:szCs w:val="21"/>
                    </w:rPr>
                    <w:t>0.0191</w:t>
                  </w:r>
                </w:p>
              </w:tc>
              <w:tc>
                <w:tcPr>
                  <w:tcW w:w="993" w:type="dxa"/>
                  <w:vAlign w:val="center"/>
                </w:tcPr>
                <w:p w14:paraId="215C7568">
                  <w:pPr>
                    <w:spacing w:line="240" w:lineRule="auto"/>
                    <w:ind w:firstLine="0" w:firstLineChars="0"/>
                    <w:jc w:val="center"/>
                    <w:rPr>
                      <w:rFonts w:cs="Times New Roman"/>
                      <w:sz w:val="21"/>
                      <w:szCs w:val="21"/>
                    </w:rPr>
                  </w:pPr>
                  <w:r>
                    <w:rPr>
                      <w:rFonts w:cs="Times New Roman"/>
                      <w:sz w:val="21"/>
                      <w:szCs w:val="21"/>
                    </w:rPr>
                    <w:t>2.12</w:t>
                  </w:r>
                </w:p>
              </w:tc>
              <w:tc>
                <w:tcPr>
                  <w:tcW w:w="1202" w:type="dxa"/>
                  <w:vAlign w:val="center"/>
                </w:tcPr>
                <w:p w14:paraId="181A1007">
                  <w:pPr>
                    <w:spacing w:line="240" w:lineRule="auto"/>
                    <w:ind w:firstLine="0" w:firstLineChars="0"/>
                    <w:jc w:val="center"/>
                    <w:rPr>
                      <w:rFonts w:cs="Times New Roman"/>
                      <w:sz w:val="21"/>
                      <w:szCs w:val="21"/>
                    </w:rPr>
                  </w:pPr>
                  <w:r>
                    <w:rPr>
                      <w:rFonts w:cs="Times New Roman"/>
                      <w:sz w:val="21"/>
                      <w:szCs w:val="21"/>
                    </w:rPr>
                    <w:t>0.000927</w:t>
                  </w:r>
                </w:p>
              </w:tc>
              <w:tc>
                <w:tcPr>
                  <w:tcW w:w="993" w:type="dxa"/>
                  <w:vAlign w:val="center"/>
                </w:tcPr>
                <w:p w14:paraId="7EC13E8C">
                  <w:pPr>
                    <w:spacing w:line="240" w:lineRule="auto"/>
                    <w:ind w:firstLine="0" w:firstLineChars="0"/>
                    <w:jc w:val="center"/>
                    <w:rPr>
                      <w:rFonts w:cs="Times New Roman"/>
                      <w:sz w:val="21"/>
                      <w:szCs w:val="21"/>
                    </w:rPr>
                  </w:pPr>
                  <w:r>
                    <w:rPr>
                      <w:rFonts w:cs="Times New Roman"/>
                      <w:sz w:val="21"/>
                      <w:szCs w:val="21"/>
                    </w:rPr>
                    <w:t>0.1</w:t>
                  </w:r>
                </w:p>
              </w:tc>
              <w:tc>
                <w:tcPr>
                  <w:tcW w:w="1212" w:type="dxa"/>
                  <w:vAlign w:val="center"/>
                </w:tcPr>
                <w:p w14:paraId="1ADFB8AE">
                  <w:pPr>
                    <w:spacing w:line="240" w:lineRule="auto"/>
                    <w:ind w:firstLine="0" w:firstLineChars="0"/>
                    <w:jc w:val="center"/>
                    <w:rPr>
                      <w:rFonts w:cs="Times New Roman"/>
                      <w:sz w:val="21"/>
                      <w:szCs w:val="21"/>
                    </w:rPr>
                  </w:pPr>
                  <w:r>
                    <w:rPr>
                      <w:rFonts w:cs="Times New Roman"/>
                      <w:sz w:val="21"/>
                      <w:szCs w:val="21"/>
                    </w:rPr>
                    <w:t>0.000283</w:t>
                  </w:r>
                </w:p>
              </w:tc>
              <w:tc>
                <w:tcPr>
                  <w:tcW w:w="1026" w:type="dxa"/>
                  <w:vAlign w:val="center"/>
                </w:tcPr>
                <w:p w14:paraId="62A9D2E7">
                  <w:pPr>
                    <w:spacing w:line="240" w:lineRule="auto"/>
                    <w:ind w:firstLine="0" w:firstLineChars="0"/>
                    <w:jc w:val="center"/>
                    <w:rPr>
                      <w:rFonts w:cs="Times New Roman"/>
                      <w:sz w:val="21"/>
                      <w:szCs w:val="21"/>
                    </w:rPr>
                  </w:pPr>
                  <w:r>
                    <w:rPr>
                      <w:rFonts w:cs="Times New Roman"/>
                      <w:sz w:val="21"/>
                      <w:szCs w:val="21"/>
                    </w:rPr>
                    <w:t>0.03</w:t>
                  </w:r>
                </w:p>
              </w:tc>
              <w:tc>
                <w:tcPr>
                  <w:tcW w:w="1224" w:type="dxa"/>
                  <w:vAlign w:val="center"/>
                </w:tcPr>
                <w:p w14:paraId="2F50DC59">
                  <w:pPr>
                    <w:spacing w:line="240" w:lineRule="auto"/>
                    <w:ind w:firstLine="0" w:firstLineChars="0"/>
                    <w:jc w:val="center"/>
                    <w:rPr>
                      <w:rFonts w:cs="Times New Roman"/>
                      <w:sz w:val="21"/>
                      <w:szCs w:val="21"/>
                    </w:rPr>
                  </w:pPr>
                  <w:r>
                    <w:rPr>
                      <w:rFonts w:cs="Times New Roman"/>
                      <w:sz w:val="21"/>
                      <w:szCs w:val="21"/>
                    </w:rPr>
                    <w:t>0.023029</w:t>
                  </w:r>
                </w:p>
              </w:tc>
              <w:tc>
                <w:tcPr>
                  <w:tcW w:w="993" w:type="dxa"/>
                  <w:vAlign w:val="center"/>
                </w:tcPr>
                <w:p w14:paraId="17C822C0">
                  <w:pPr>
                    <w:spacing w:line="240" w:lineRule="auto"/>
                    <w:ind w:firstLine="0" w:firstLineChars="0"/>
                    <w:jc w:val="center"/>
                    <w:rPr>
                      <w:rFonts w:cs="Times New Roman"/>
                      <w:sz w:val="21"/>
                      <w:szCs w:val="21"/>
                    </w:rPr>
                  </w:pPr>
                  <w:r>
                    <w:rPr>
                      <w:rFonts w:cs="Times New Roman"/>
                      <w:sz w:val="21"/>
                      <w:szCs w:val="21"/>
                    </w:rPr>
                    <w:t>2.56</w:t>
                  </w:r>
                </w:p>
              </w:tc>
            </w:tr>
            <w:tr w14:paraId="7B00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AF4FC5D">
                  <w:pPr>
                    <w:spacing w:line="240" w:lineRule="auto"/>
                    <w:ind w:firstLine="0" w:firstLineChars="0"/>
                    <w:jc w:val="center"/>
                    <w:rPr>
                      <w:rFonts w:cs="Times New Roman"/>
                      <w:sz w:val="21"/>
                      <w:szCs w:val="21"/>
                    </w:rPr>
                  </w:pPr>
                  <w:r>
                    <w:rPr>
                      <w:rFonts w:cs="Times New Roman"/>
                      <w:sz w:val="21"/>
                      <w:szCs w:val="21"/>
                    </w:rPr>
                    <w:t>1300</w:t>
                  </w:r>
                </w:p>
              </w:tc>
              <w:tc>
                <w:tcPr>
                  <w:tcW w:w="1199" w:type="dxa"/>
                  <w:vAlign w:val="center"/>
                </w:tcPr>
                <w:p w14:paraId="0ABA6467">
                  <w:pPr>
                    <w:spacing w:line="240" w:lineRule="auto"/>
                    <w:ind w:firstLine="0" w:firstLineChars="0"/>
                    <w:jc w:val="center"/>
                    <w:rPr>
                      <w:rFonts w:cs="Times New Roman"/>
                      <w:sz w:val="21"/>
                      <w:szCs w:val="21"/>
                    </w:rPr>
                  </w:pPr>
                  <w:r>
                    <w:rPr>
                      <w:rFonts w:cs="Times New Roman"/>
                      <w:sz w:val="21"/>
                      <w:szCs w:val="21"/>
                    </w:rPr>
                    <w:t>0.018051</w:t>
                  </w:r>
                </w:p>
              </w:tc>
              <w:tc>
                <w:tcPr>
                  <w:tcW w:w="993" w:type="dxa"/>
                  <w:vAlign w:val="center"/>
                </w:tcPr>
                <w:p w14:paraId="3F2604A9">
                  <w:pPr>
                    <w:spacing w:line="240" w:lineRule="auto"/>
                    <w:ind w:firstLine="0" w:firstLineChars="0"/>
                    <w:jc w:val="center"/>
                    <w:rPr>
                      <w:rFonts w:cs="Times New Roman"/>
                      <w:sz w:val="21"/>
                      <w:szCs w:val="21"/>
                    </w:rPr>
                  </w:pPr>
                  <w:r>
                    <w:rPr>
                      <w:rFonts w:cs="Times New Roman"/>
                      <w:sz w:val="21"/>
                      <w:szCs w:val="21"/>
                    </w:rPr>
                    <w:t>2.01</w:t>
                  </w:r>
                </w:p>
              </w:tc>
              <w:tc>
                <w:tcPr>
                  <w:tcW w:w="1202" w:type="dxa"/>
                  <w:vAlign w:val="center"/>
                </w:tcPr>
                <w:p w14:paraId="57FE86A8">
                  <w:pPr>
                    <w:spacing w:line="240" w:lineRule="auto"/>
                    <w:ind w:firstLine="0" w:firstLineChars="0"/>
                    <w:jc w:val="center"/>
                    <w:rPr>
                      <w:rFonts w:cs="Times New Roman"/>
                      <w:sz w:val="21"/>
                      <w:szCs w:val="21"/>
                    </w:rPr>
                  </w:pPr>
                  <w:r>
                    <w:rPr>
                      <w:rFonts w:cs="Times New Roman"/>
                      <w:sz w:val="21"/>
                      <w:szCs w:val="21"/>
                    </w:rPr>
                    <w:t>0.000877</w:t>
                  </w:r>
                </w:p>
              </w:tc>
              <w:tc>
                <w:tcPr>
                  <w:tcW w:w="993" w:type="dxa"/>
                  <w:vAlign w:val="center"/>
                </w:tcPr>
                <w:p w14:paraId="60105088">
                  <w:pPr>
                    <w:spacing w:line="240" w:lineRule="auto"/>
                    <w:ind w:firstLine="0" w:firstLineChars="0"/>
                    <w:jc w:val="center"/>
                    <w:rPr>
                      <w:rFonts w:cs="Times New Roman"/>
                      <w:sz w:val="21"/>
                      <w:szCs w:val="21"/>
                    </w:rPr>
                  </w:pPr>
                  <w:r>
                    <w:rPr>
                      <w:rFonts w:cs="Times New Roman"/>
                      <w:sz w:val="21"/>
                      <w:szCs w:val="21"/>
                    </w:rPr>
                    <w:t>0.1</w:t>
                  </w:r>
                </w:p>
              </w:tc>
              <w:tc>
                <w:tcPr>
                  <w:tcW w:w="1212" w:type="dxa"/>
                  <w:vAlign w:val="center"/>
                </w:tcPr>
                <w:p w14:paraId="022AE005">
                  <w:pPr>
                    <w:spacing w:line="240" w:lineRule="auto"/>
                    <w:ind w:firstLine="0" w:firstLineChars="0"/>
                    <w:jc w:val="center"/>
                    <w:rPr>
                      <w:rFonts w:cs="Times New Roman"/>
                      <w:sz w:val="21"/>
                      <w:szCs w:val="21"/>
                    </w:rPr>
                  </w:pPr>
                  <w:r>
                    <w:rPr>
                      <w:rFonts w:cs="Times New Roman"/>
                      <w:sz w:val="21"/>
                      <w:szCs w:val="21"/>
                    </w:rPr>
                    <w:t>0.000268</w:t>
                  </w:r>
                </w:p>
              </w:tc>
              <w:tc>
                <w:tcPr>
                  <w:tcW w:w="1026" w:type="dxa"/>
                  <w:vAlign w:val="center"/>
                </w:tcPr>
                <w:p w14:paraId="2ABDD1C4">
                  <w:pPr>
                    <w:spacing w:line="240" w:lineRule="auto"/>
                    <w:ind w:firstLine="0" w:firstLineChars="0"/>
                    <w:jc w:val="center"/>
                    <w:rPr>
                      <w:rFonts w:cs="Times New Roman"/>
                      <w:sz w:val="21"/>
                      <w:szCs w:val="21"/>
                    </w:rPr>
                  </w:pPr>
                  <w:r>
                    <w:rPr>
                      <w:rFonts w:cs="Times New Roman"/>
                      <w:sz w:val="21"/>
                      <w:szCs w:val="21"/>
                    </w:rPr>
                    <w:t>0.03</w:t>
                  </w:r>
                </w:p>
              </w:tc>
              <w:tc>
                <w:tcPr>
                  <w:tcW w:w="1224" w:type="dxa"/>
                  <w:vAlign w:val="center"/>
                </w:tcPr>
                <w:p w14:paraId="488FFEEA">
                  <w:pPr>
                    <w:spacing w:line="240" w:lineRule="auto"/>
                    <w:ind w:firstLine="0" w:firstLineChars="0"/>
                    <w:jc w:val="center"/>
                    <w:rPr>
                      <w:rFonts w:cs="Times New Roman"/>
                      <w:sz w:val="21"/>
                      <w:szCs w:val="21"/>
                    </w:rPr>
                  </w:pPr>
                  <w:r>
                    <w:rPr>
                      <w:rFonts w:cs="Times New Roman"/>
                      <w:sz w:val="21"/>
                      <w:szCs w:val="21"/>
                    </w:rPr>
                    <w:t>0.021749</w:t>
                  </w:r>
                </w:p>
              </w:tc>
              <w:tc>
                <w:tcPr>
                  <w:tcW w:w="993" w:type="dxa"/>
                  <w:vAlign w:val="center"/>
                </w:tcPr>
                <w:p w14:paraId="4327C4E0">
                  <w:pPr>
                    <w:spacing w:line="240" w:lineRule="auto"/>
                    <w:ind w:firstLine="0" w:firstLineChars="0"/>
                    <w:jc w:val="center"/>
                    <w:rPr>
                      <w:rFonts w:cs="Times New Roman"/>
                      <w:sz w:val="21"/>
                      <w:szCs w:val="21"/>
                    </w:rPr>
                  </w:pPr>
                  <w:r>
                    <w:rPr>
                      <w:rFonts w:cs="Times New Roman"/>
                      <w:sz w:val="21"/>
                      <w:szCs w:val="21"/>
                    </w:rPr>
                    <w:t>2.42</w:t>
                  </w:r>
                </w:p>
              </w:tc>
            </w:tr>
            <w:tr w14:paraId="0C5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6A36604">
                  <w:pPr>
                    <w:spacing w:line="240" w:lineRule="auto"/>
                    <w:ind w:firstLine="0" w:firstLineChars="0"/>
                    <w:jc w:val="center"/>
                    <w:rPr>
                      <w:rFonts w:cs="Times New Roman"/>
                      <w:sz w:val="21"/>
                      <w:szCs w:val="21"/>
                    </w:rPr>
                  </w:pPr>
                  <w:r>
                    <w:rPr>
                      <w:rFonts w:cs="Times New Roman"/>
                      <w:sz w:val="21"/>
                      <w:szCs w:val="21"/>
                    </w:rPr>
                    <w:t>1400</w:t>
                  </w:r>
                </w:p>
              </w:tc>
              <w:tc>
                <w:tcPr>
                  <w:tcW w:w="1199" w:type="dxa"/>
                  <w:vAlign w:val="center"/>
                </w:tcPr>
                <w:p w14:paraId="5FB2A0FF">
                  <w:pPr>
                    <w:spacing w:line="240" w:lineRule="auto"/>
                    <w:ind w:firstLine="0" w:firstLineChars="0"/>
                    <w:jc w:val="center"/>
                    <w:rPr>
                      <w:rFonts w:cs="Times New Roman"/>
                      <w:sz w:val="21"/>
                      <w:szCs w:val="21"/>
                    </w:rPr>
                  </w:pPr>
                  <w:r>
                    <w:rPr>
                      <w:rFonts w:cs="Times New Roman"/>
                      <w:sz w:val="21"/>
                      <w:szCs w:val="21"/>
                    </w:rPr>
                    <w:t>0.017132</w:t>
                  </w:r>
                </w:p>
              </w:tc>
              <w:tc>
                <w:tcPr>
                  <w:tcW w:w="993" w:type="dxa"/>
                  <w:vAlign w:val="center"/>
                </w:tcPr>
                <w:p w14:paraId="7D395B79">
                  <w:pPr>
                    <w:spacing w:line="240" w:lineRule="auto"/>
                    <w:ind w:firstLine="0" w:firstLineChars="0"/>
                    <w:jc w:val="center"/>
                    <w:rPr>
                      <w:rFonts w:cs="Times New Roman"/>
                      <w:sz w:val="21"/>
                      <w:szCs w:val="21"/>
                    </w:rPr>
                  </w:pPr>
                  <w:r>
                    <w:rPr>
                      <w:rFonts w:cs="Times New Roman"/>
                      <w:sz w:val="21"/>
                      <w:szCs w:val="21"/>
                    </w:rPr>
                    <w:t>1.9</w:t>
                  </w:r>
                </w:p>
              </w:tc>
              <w:tc>
                <w:tcPr>
                  <w:tcW w:w="1202" w:type="dxa"/>
                  <w:vAlign w:val="center"/>
                </w:tcPr>
                <w:p w14:paraId="40BD41B6">
                  <w:pPr>
                    <w:spacing w:line="240" w:lineRule="auto"/>
                    <w:ind w:firstLine="0" w:firstLineChars="0"/>
                    <w:jc w:val="center"/>
                    <w:rPr>
                      <w:rFonts w:cs="Times New Roman"/>
                      <w:sz w:val="21"/>
                      <w:szCs w:val="21"/>
                    </w:rPr>
                  </w:pPr>
                  <w:r>
                    <w:rPr>
                      <w:rFonts w:cs="Times New Roman"/>
                      <w:sz w:val="21"/>
                      <w:szCs w:val="21"/>
                    </w:rPr>
                    <w:t>0.000832</w:t>
                  </w:r>
                </w:p>
              </w:tc>
              <w:tc>
                <w:tcPr>
                  <w:tcW w:w="993" w:type="dxa"/>
                  <w:vAlign w:val="center"/>
                </w:tcPr>
                <w:p w14:paraId="1208184C">
                  <w:pPr>
                    <w:spacing w:line="240" w:lineRule="auto"/>
                    <w:ind w:firstLine="0" w:firstLineChars="0"/>
                    <w:jc w:val="center"/>
                    <w:rPr>
                      <w:rFonts w:cs="Times New Roman"/>
                      <w:sz w:val="21"/>
                      <w:szCs w:val="21"/>
                    </w:rPr>
                  </w:pPr>
                  <w:r>
                    <w:rPr>
                      <w:rFonts w:cs="Times New Roman"/>
                      <w:sz w:val="21"/>
                      <w:szCs w:val="21"/>
                    </w:rPr>
                    <w:t>0.09</w:t>
                  </w:r>
                </w:p>
              </w:tc>
              <w:tc>
                <w:tcPr>
                  <w:tcW w:w="1212" w:type="dxa"/>
                  <w:vAlign w:val="center"/>
                </w:tcPr>
                <w:p w14:paraId="6298AC73">
                  <w:pPr>
                    <w:spacing w:line="240" w:lineRule="auto"/>
                    <w:ind w:firstLine="0" w:firstLineChars="0"/>
                    <w:jc w:val="center"/>
                    <w:rPr>
                      <w:rFonts w:cs="Times New Roman"/>
                      <w:sz w:val="21"/>
                      <w:szCs w:val="21"/>
                    </w:rPr>
                  </w:pPr>
                  <w:r>
                    <w:rPr>
                      <w:rFonts w:cs="Times New Roman"/>
                      <w:sz w:val="21"/>
                      <w:szCs w:val="21"/>
                    </w:rPr>
                    <w:t>0.000254</w:t>
                  </w:r>
                </w:p>
              </w:tc>
              <w:tc>
                <w:tcPr>
                  <w:tcW w:w="1026" w:type="dxa"/>
                  <w:vAlign w:val="center"/>
                </w:tcPr>
                <w:p w14:paraId="223FA575">
                  <w:pPr>
                    <w:spacing w:line="240" w:lineRule="auto"/>
                    <w:ind w:firstLine="0" w:firstLineChars="0"/>
                    <w:jc w:val="center"/>
                    <w:rPr>
                      <w:rFonts w:cs="Times New Roman"/>
                      <w:sz w:val="21"/>
                      <w:szCs w:val="21"/>
                    </w:rPr>
                  </w:pPr>
                  <w:r>
                    <w:rPr>
                      <w:rFonts w:cs="Times New Roman"/>
                      <w:sz w:val="21"/>
                      <w:szCs w:val="21"/>
                    </w:rPr>
                    <w:t>0.03</w:t>
                  </w:r>
                </w:p>
              </w:tc>
              <w:tc>
                <w:tcPr>
                  <w:tcW w:w="1224" w:type="dxa"/>
                  <w:vAlign w:val="center"/>
                </w:tcPr>
                <w:p w14:paraId="3E04CE74">
                  <w:pPr>
                    <w:spacing w:line="240" w:lineRule="auto"/>
                    <w:ind w:firstLine="0" w:firstLineChars="0"/>
                    <w:jc w:val="center"/>
                    <w:rPr>
                      <w:rFonts w:cs="Times New Roman"/>
                      <w:sz w:val="21"/>
                      <w:szCs w:val="21"/>
                    </w:rPr>
                  </w:pPr>
                  <w:r>
                    <w:rPr>
                      <w:rFonts w:cs="Times New Roman"/>
                      <w:sz w:val="21"/>
                      <w:szCs w:val="21"/>
                    </w:rPr>
                    <w:t>0.02063</w:t>
                  </w:r>
                </w:p>
              </w:tc>
              <w:tc>
                <w:tcPr>
                  <w:tcW w:w="993" w:type="dxa"/>
                  <w:vAlign w:val="center"/>
                </w:tcPr>
                <w:p w14:paraId="095721B6">
                  <w:pPr>
                    <w:spacing w:line="240" w:lineRule="auto"/>
                    <w:ind w:firstLine="0" w:firstLineChars="0"/>
                    <w:jc w:val="center"/>
                    <w:rPr>
                      <w:rFonts w:cs="Times New Roman"/>
                      <w:sz w:val="21"/>
                      <w:szCs w:val="21"/>
                    </w:rPr>
                  </w:pPr>
                  <w:r>
                    <w:rPr>
                      <w:rFonts w:cs="Times New Roman"/>
                      <w:sz w:val="21"/>
                      <w:szCs w:val="21"/>
                    </w:rPr>
                    <w:t>2.29</w:t>
                  </w:r>
                </w:p>
              </w:tc>
            </w:tr>
            <w:tr w14:paraId="2C5D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D743393">
                  <w:pPr>
                    <w:spacing w:line="240" w:lineRule="auto"/>
                    <w:ind w:firstLine="0" w:firstLineChars="0"/>
                    <w:jc w:val="center"/>
                    <w:rPr>
                      <w:rFonts w:cs="Times New Roman"/>
                      <w:sz w:val="21"/>
                      <w:szCs w:val="21"/>
                    </w:rPr>
                  </w:pPr>
                  <w:r>
                    <w:rPr>
                      <w:rFonts w:cs="Times New Roman"/>
                      <w:sz w:val="21"/>
                      <w:szCs w:val="21"/>
                    </w:rPr>
                    <w:t>1500</w:t>
                  </w:r>
                </w:p>
              </w:tc>
              <w:tc>
                <w:tcPr>
                  <w:tcW w:w="1199" w:type="dxa"/>
                  <w:vAlign w:val="center"/>
                </w:tcPr>
                <w:p w14:paraId="29984A6F">
                  <w:pPr>
                    <w:spacing w:line="240" w:lineRule="auto"/>
                    <w:ind w:firstLine="0" w:firstLineChars="0"/>
                    <w:jc w:val="center"/>
                    <w:rPr>
                      <w:rFonts w:cs="Times New Roman"/>
                      <w:sz w:val="21"/>
                      <w:szCs w:val="21"/>
                    </w:rPr>
                  </w:pPr>
                  <w:r>
                    <w:rPr>
                      <w:rFonts w:cs="Times New Roman"/>
                      <w:sz w:val="21"/>
                      <w:szCs w:val="21"/>
                    </w:rPr>
                    <w:t>0.016319</w:t>
                  </w:r>
                </w:p>
              </w:tc>
              <w:tc>
                <w:tcPr>
                  <w:tcW w:w="993" w:type="dxa"/>
                  <w:vAlign w:val="center"/>
                </w:tcPr>
                <w:p w14:paraId="4AA2CAE6">
                  <w:pPr>
                    <w:spacing w:line="240" w:lineRule="auto"/>
                    <w:ind w:firstLine="0" w:firstLineChars="0"/>
                    <w:jc w:val="center"/>
                    <w:rPr>
                      <w:rFonts w:cs="Times New Roman"/>
                      <w:sz w:val="21"/>
                      <w:szCs w:val="21"/>
                    </w:rPr>
                  </w:pPr>
                  <w:r>
                    <w:rPr>
                      <w:rFonts w:cs="Times New Roman"/>
                      <w:sz w:val="21"/>
                      <w:szCs w:val="21"/>
                    </w:rPr>
                    <w:t>1.81</w:t>
                  </w:r>
                </w:p>
              </w:tc>
              <w:tc>
                <w:tcPr>
                  <w:tcW w:w="1202" w:type="dxa"/>
                  <w:vAlign w:val="center"/>
                </w:tcPr>
                <w:p w14:paraId="7481D33A">
                  <w:pPr>
                    <w:spacing w:line="240" w:lineRule="auto"/>
                    <w:ind w:firstLine="0" w:firstLineChars="0"/>
                    <w:jc w:val="center"/>
                    <w:rPr>
                      <w:rFonts w:cs="Times New Roman"/>
                      <w:sz w:val="21"/>
                      <w:szCs w:val="21"/>
                    </w:rPr>
                  </w:pPr>
                  <w:r>
                    <w:rPr>
                      <w:rFonts w:cs="Times New Roman"/>
                      <w:sz w:val="21"/>
                      <w:szCs w:val="21"/>
                    </w:rPr>
                    <w:t>0.000793</w:t>
                  </w:r>
                </w:p>
              </w:tc>
              <w:tc>
                <w:tcPr>
                  <w:tcW w:w="993" w:type="dxa"/>
                  <w:vAlign w:val="center"/>
                </w:tcPr>
                <w:p w14:paraId="2F2A0DD6">
                  <w:pPr>
                    <w:spacing w:line="240" w:lineRule="auto"/>
                    <w:ind w:firstLine="0" w:firstLineChars="0"/>
                    <w:jc w:val="center"/>
                    <w:rPr>
                      <w:rFonts w:cs="Times New Roman"/>
                      <w:sz w:val="21"/>
                      <w:szCs w:val="21"/>
                    </w:rPr>
                  </w:pPr>
                  <w:r>
                    <w:rPr>
                      <w:rFonts w:cs="Times New Roman"/>
                      <w:sz w:val="21"/>
                      <w:szCs w:val="21"/>
                    </w:rPr>
                    <w:t>0.09</w:t>
                  </w:r>
                </w:p>
              </w:tc>
              <w:tc>
                <w:tcPr>
                  <w:tcW w:w="1212" w:type="dxa"/>
                  <w:vAlign w:val="center"/>
                </w:tcPr>
                <w:p w14:paraId="46B6D45C">
                  <w:pPr>
                    <w:spacing w:line="240" w:lineRule="auto"/>
                    <w:ind w:firstLine="0" w:firstLineChars="0"/>
                    <w:jc w:val="center"/>
                    <w:rPr>
                      <w:rFonts w:cs="Times New Roman"/>
                      <w:sz w:val="21"/>
                      <w:szCs w:val="21"/>
                    </w:rPr>
                  </w:pPr>
                  <w:r>
                    <w:rPr>
                      <w:rFonts w:cs="Times New Roman"/>
                      <w:sz w:val="21"/>
                      <w:szCs w:val="21"/>
                    </w:rPr>
                    <w:t>0.000242</w:t>
                  </w:r>
                </w:p>
              </w:tc>
              <w:tc>
                <w:tcPr>
                  <w:tcW w:w="1026" w:type="dxa"/>
                  <w:vAlign w:val="center"/>
                </w:tcPr>
                <w:p w14:paraId="37D3028B">
                  <w:pPr>
                    <w:spacing w:line="240" w:lineRule="auto"/>
                    <w:ind w:firstLine="0" w:firstLineChars="0"/>
                    <w:jc w:val="center"/>
                    <w:rPr>
                      <w:rFonts w:cs="Times New Roman"/>
                      <w:sz w:val="21"/>
                      <w:szCs w:val="21"/>
                    </w:rPr>
                  </w:pPr>
                  <w:r>
                    <w:rPr>
                      <w:rFonts w:cs="Times New Roman"/>
                      <w:sz w:val="21"/>
                      <w:szCs w:val="21"/>
                    </w:rPr>
                    <w:t>0.03</w:t>
                  </w:r>
                </w:p>
              </w:tc>
              <w:tc>
                <w:tcPr>
                  <w:tcW w:w="1224" w:type="dxa"/>
                  <w:vAlign w:val="center"/>
                </w:tcPr>
                <w:p w14:paraId="3D7C1D62">
                  <w:pPr>
                    <w:spacing w:line="240" w:lineRule="auto"/>
                    <w:ind w:firstLine="0" w:firstLineChars="0"/>
                    <w:jc w:val="center"/>
                    <w:rPr>
                      <w:rFonts w:cs="Times New Roman"/>
                      <w:sz w:val="21"/>
                      <w:szCs w:val="21"/>
                    </w:rPr>
                  </w:pPr>
                  <w:r>
                    <w:rPr>
                      <w:rFonts w:cs="Times New Roman"/>
                      <w:sz w:val="21"/>
                      <w:szCs w:val="21"/>
                    </w:rPr>
                    <w:t>0.01964</w:t>
                  </w:r>
                </w:p>
              </w:tc>
              <w:tc>
                <w:tcPr>
                  <w:tcW w:w="993" w:type="dxa"/>
                  <w:vAlign w:val="center"/>
                </w:tcPr>
                <w:p w14:paraId="00BEB5C7">
                  <w:pPr>
                    <w:spacing w:line="240" w:lineRule="auto"/>
                    <w:ind w:firstLine="0" w:firstLineChars="0"/>
                    <w:jc w:val="center"/>
                    <w:rPr>
                      <w:rFonts w:cs="Times New Roman"/>
                      <w:sz w:val="21"/>
                      <w:szCs w:val="21"/>
                    </w:rPr>
                  </w:pPr>
                  <w:r>
                    <w:rPr>
                      <w:rFonts w:cs="Times New Roman"/>
                      <w:sz w:val="21"/>
                      <w:szCs w:val="21"/>
                    </w:rPr>
                    <w:t>2.18</w:t>
                  </w:r>
                </w:p>
              </w:tc>
            </w:tr>
            <w:tr w14:paraId="2674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6DFF56B">
                  <w:pPr>
                    <w:spacing w:line="240" w:lineRule="auto"/>
                    <w:ind w:firstLine="0" w:firstLineChars="0"/>
                    <w:jc w:val="center"/>
                    <w:rPr>
                      <w:rFonts w:cs="Times New Roman"/>
                      <w:sz w:val="21"/>
                      <w:szCs w:val="21"/>
                    </w:rPr>
                  </w:pPr>
                  <w:r>
                    <w:rPr>
                      <w:rFonts w:cs="Times New Roman"/>
                      <w:sz w:val="21"/>
                      <w:szCs w:val="21"/>
                    </w:rPr>
                    <w:t>1600</w:t>
                  </w:r>
                </w:p>
              </w:tc>
              <w:tc>
                <w:tcPr>
                  <w:tcW w:w="1199" w:type="dxa"/>
                  <w:vAlign w:val="center"/>
                </w:tcPr>
                <w:p w14:paraId="59762C4D">
                  <w:pPr>
                    <w:spacing w:line="240" w:lineRule="auto"/>
                    <w:ind w:firstLine="0" w:firstLineChars="0"/>
                    <w:jc w:val="center"/>
                    <w:rPr>
                      <w:rFonts w:cs="Times New Roman"/>
                      <w:sz w:val="21"/>
                      <w:szCs w:val="21"/>
                    </w:rPr>
                  </w:pPr>
                  <w:r>
                    <w:rPr>
                      <w:rFonts w:cs="Times New Roman"/>
                      <w:sz w:val="21"/>
                      <w:szCs w:val="21"/>
                    </w:rPr>
                    <w:t>0.015594</w:t>
                  </w:r>
                </w:p>
              </w:tc>
              <w:tc>
                <w:tcPr>
                  <w:tcW w:w="993" w:type="dxa"/>
                  <w:vAlign w:val="center"/>
                </w:tcPr>
                <w:p w14:paraId="0075C8AA">
                  <w:pPr>
                    <w:spacing w:line="240" w:lineRule="auto"/>
                    <w:ind w:firstLine="0" w:firstLineChars="0"/>
                    <w:jc w:val="center"/>
                    <w:rPr>
                      <w:rFonts w:cs="Times New Roman"/>
                      <w:sz w:val="21"/>
                      <w:szCs w:val="21"/>
                    </w:rPr>
                  </w:pPr>
                  <w:r>
                    <w:rPr>
                      <w:rFonts w:cs="Times New Roman"/>
                      <w:sz w:val="21"/>
                      <w:szCs w:val="21"/>
                    </w:rPr>
                    <w:t>1.73</w:t>
                  </w:r>
                </w:p>
              </w:tc>
              <w:tc>
                <w:tcPr>
                  <w:tcW w:w="1202" w:type="dxa"/>
                  <w:vAlign w:val="center"/>
                </w:tcPr>
                <w:p w14:paraId="314B041E">
                  <w:pPr>
                    <w:spacing w:line="240" w:lineRule="auto"/>
                    <w:ind w:firstLine="0" w:firstLineChars="0"/>
                    <w:jc w:val="center"/>
                    <w:rPr>
                      <w:rFonts w:cs="Times New Roman"/>
                      <w:sz w:val="21"/>
                      <w:szCs w:val="21"/>
                    </w:rPr>
                  </w:pPr>
                  <w:r>
                    <w:rPr>
                      <w:rFonts w:cs="Times New Roman"/>
                      <w:sz w:val="21"/>
                      <w:szCs w:val="21"/>
                    </w:rPr>
                    <w:t>0.000757</w:t>
                  </w:r>
                </w:p>
              </w:tc>
              <w:tc>
                <w:tcPr>
                  <w:tcW w:w="993" w:type="dxa"/>
                  <w:vAlign w:val="center"/>
                </w:tcPr>
                <w:p w14:paraId="1C7071A7">
                  <w:pPr>
                    <w:spacing w:line="240" w:lineRule="auto"/>
                    <w:ind w:firstLine="0" w:firstLineChars="0"/>
                    <w:jc w:val="center"/>
                    <w:rPr>
                      <w:rFonts w:cs="Times New Roman"/>
                      <w:sz w:val="21"/>
                      <w:szCs w:val="21"/>
                    </w:rPr>
                  </w:pPr>
                  <w:r>
                    <w:rPr>
                      <w:rFonts w:cs="Times New Roman"/>
                      <w:sz w:val="21"/>
                      <w:szCs w:val="21"/>
                    </w:rPr>
                    <w:t>0.08</w:t>
                  </w:r>
                </w:p>
              </w:tc>
              <w:tc>
                <w:tcPr>
                  <w:tcW w:w="1212" w:type="dxa"/>
                  <w:vAlign w:val="center"/>
                </w:tcPr>
                <w:p w14:paraId="36DEEBE9">
                  <w:pPr>
                    <w:spacing w:line="240" w:lineRule="auto"/>
                    <w:ind w:firstLine="0" w:firstLineChars="0"/>
                    <w:jc w:val="center"/>
                    <w:rPr>
                      <w:rFonts w:cs="Times New Roman"/>
                      <w:sz w:val="21"/>
                      <w:szCs w:val="21"/>
                    </w:rPr>
                  </w:pPr>
                  <w:r>
                    <w:rPr>
                      <w:rFonts w:cs="Times New Roman"/>
                      <w:sz w:val="21"/>
                      <w:szCs w:val="21"/>
                    </w:rPr>
                    <w:t>0.000231</w:t>
                  </w:r>
                </w:p>
              </w:tc>
              <w:tc>
                <w:tcPr>
                  <w:tcW w:w="1026" w:type="dxa"/>
                  <w:vAlign w:val="center"/>
                </w:tcPr>
                <w:p w14:paraId="6880A291">
                  <w:pPr>
                    <w:spacing w:line="240" w:lineRule="auto"/>
                    <w:ind w:firstLine="0" w:firstLineChars="0"/>
                    <w:jc w:val="center"/>
                    <w:rPr>
                      <w:rFonts w:cs="Times New Roman"/>
                      <w:sz w:val="21"/>
                      <w:szCs w:val="21"/>
                    </w:rPr>
                  </w:pPr>
                  <w:r>
                    <w:rPr>
                      <w:rFonts w:cs="Times New Roman"/>
                      <w:sz w:val="21"/>
                      <w:szCs w:val="21"/>
                    </w:rPr>
                    <w:t>0.03</w:t>
                  </w:r>
                </w:p>
              </w:tc>
              <w:tc>
                <w:tcPr>
                  <w:tcW w:w="1224" w:type="dxa"/>
                  <w:vAlign w:val="center"/>
                </w:tcPr>
                <w:p w14:paraId="105BBB0B">
                  <w:pPr>
                    <w:spacing w:line="240" w:lineRule="auto"/>
                    <w:ind w:firstLine="0" w:firstLineChars="0"/>
                    <w:jc w:val="center"/>
                    <w:rPr>
                      <w:rFonts w:cs="Times New Roman"/>
                      <w:sz w:val="21"/>
                      <w:szCs w:val="21"/>
                    </w:rPr>
                  </w:pPr>
                  <w:r>
                    <w:rPr>
                      <w:rFonts w:cs="Times New Roman"/>
                      <w:sz w:val="21"/>
                      <w:szCs w:val="21"/>
                    </w:rPr>
                    <w:t>0.018759</w:t>
                  </w:r>
                </w:p>
              </w:tc>
              <w:tc>
                <w:tcPr>
                  <w:tcW w:w="993" w:type="dxa"/>
                  <w:vAlign w:val="center"/>
                </w:tcPr>
                <w:p w14:paraId="376D7B01">
                  <w:pPr>
                    <w:spacing w:line="240" w:lineRule="auto"/>
                    <w:ind w:firstLine="0" w:firstLineChars="0"/>
                    <w:jc w:val="center"/>
                    <w:rPr>
                      <w:rFonts w:cs="Times New Roman"/>
                      <w:sz w:val="21"/>
                      <w:szCs w:val="21"/>
                    </w:rPr>
                  </w:pPr>
                  <w:r>
                    <w:rPr>
                      <w:rFonts w:cs="Times New Roman"/>
                      <w:sz w:val="21"/>
                      <w:szCs w:val="21"/>
                    </w:rPr>
                    <w:t>2.08</w:t>
                  </w:r>
                </w:p>
              </w:tc>
            </w:tr>
            <w:tr w14:paraId="3EC9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5A9606E">
                  <w:pPr>
                    <w:spacing w:line="240" w:lineRule="auto"/>
                    <w:ind w:firstLine="0" w:firstLineChars="0"/>
                    <w:jc w:val="center"/>
                    <w:rPr>
                      <w:rFonts w:cs="Times New Roman"/>
                      <w:sz w:val="21"/>
                      <w:szCs w:val="21"/>
                    </w:rPr>
                  </w:pPr>
                  <w:r>
                    <w:rPr>
                      <w:rFonts w:cs="Times New Roman"/>
                      <w:sz w:val="21"/>
                      <w:szCs w:val="21"/>
                    </w:rPr>
                    <w:t>1700</w:t>
                  </w:r>
                </w:p>
              </w:tc>
              <w:tc>
                <w:tcPr>
                  <w:tcW w:w="1199" w:type="dxa"/>
                  <w:vAlign w:val="center"/>
                </w:tcPr>
                <w:p w14:paraId="07700B9D">
                  <w:pPr>
                    <w:spacing w:line="240" w:lineRule="auto"/>
                    <w:ind w:firstLine="0" w:firstLineChars="0"/>
                    <w:jc w:val="center"/>
                    <w:rPr>
                      <w:rFonts w:cs="Times New Roman"/>
                      <w:sz w:val="21"/>
                      <w:szCs w:val="21"/>
                    </w:rPr>
                  </w:pPr>
                  <w:r>
                    <w:rPr>
                      <w:rFonts w:cs="Times New Roman"/>
                      <w:sz w:val="21"/>
                      <w:szCs w:val="21"/>
                    </w:rPr>
                    <w:t>0.014942</w:t>
                  </w:r>
                </w:p>
              </w:tc>
              <w:tc>
                <w:tcPr>
                  <w:tcW w:w="993" w:type="dxa"/>
                  <w:vAlign w:val="center"/>
                </w:tcPr>
                <w:p w14:paraId="12C15A16">
                  <w:pPr>
                    <w:spacing w:line="240" w:lineRule="auto"/>
                    <w:ind w:firstLine="0" w:firstLineChars="0"/>
                    <w:jc w:val="center"/>
                    <w:rPr>
                      <w:rFonts w:cs="Times New Roman"/>
                      <w:sz w:val="21"/>
                      <w:szCs w:val="21"/>
                    </w:rPr>
                  </w:pPr>
                  <w:r>
                    <w:rPr>
                      <w:rFonts w:cs="Times New Roman"/>
                      <w:sz w:val="21"/>
                      <w:szCs w:val="21"/>
                    </w:rPr>
                    <w:t>1.66</w:t>
                  </w:r>
                </w:p>
              </w:tc>
              <w:tc>
                <w:tcPr>
                  <w:tcW w:w="1202" w:type="dxa"/>
                  <w:vAlign w:val="center"/>
                </w:tcPr>
                <w:p w14:paraId="607B5729">
                  <w:pPr>
                    <w:spacing w:line="240" w:lineRule="auto"/>
                    <w:ind w:firstLine="0" w:firstLineChars="0"/>
                    <w:jc w:val="center"/>
                    <w:rPr>
                      <w:rFonts w:cs="Times New Roman"/>
                      <w:sz w:val="21"/>
                      <w:szCs w:val="21"/>
                    </w:rPr>
                  </w:pPr>
                  <w:r>
                    <w:rPr>
                      <w:rFonts w:cs="Times New Roman"/>
                      <w:sz w:val="21"/>
                      <w:szCs w:val="21"/>
                    </w:rPr>
                    <w:t>0.000726</w:t>
                  </w:r>
                </w:p>
              </w:tc>
              <w:tc>
                <w:tcPr>
                  <w:tcW w:w="993" w:type="dxa"/>
                  <w:vAlign w:val="center"/>
                </w:tcPr>
                <w:p w14:paraId="098E90FF">
                  <w:pPr>
                    <w:spacing w:line="240" w:lineRule="auto"/>
                    <w:ind w:firstLine="0" w:firstLineChars="0"/>
                    <w:jc w:val="center"/>
                    <w:rPr>
                      <w:rFonts w:cs="Times New Roman"/>
                      <w:sz w:val="21"/>
                      <w:szCs w:val="21"/>
                    </w:rPr>
                  </w:pPr>
                  <w:r>
                    <w:rPr>
                      <w:rFonts w:cs="Times New Roman"/>
                      <w:sz w:val="21"/>
                      <w:szCs w:val="21"/>
                    </w:rPr>
                    <w:t>0.08</w:t>
                  </w:r>
                </w:p>
              </w:tc>
              <w:tc>
                <w:tcPr>
                  <w:tcW w:w="1212" w:type="dxa"/>
                  <w:vAlign w:val="center"/>
                </w:tcPr>
                <w:p w14:paraId="30C9EE27">
                  <w:pPr>
                    <w:spacing w:line="240" w:lineRule="auto"/>
                    <w:ind w:firstLine="0" w:firstLineChars="0"/>
                    <w:jc w:val="center"/>
                    <w:rPr>
                      <w:rFonts w:cs="Times New Roman"/>
                      <w:sz w:val="21"/>
                      <w:szCs w:val="21"/>
                    </w:rPr>
                  </w:pPr>
                  <w:r>
                    <w:rPr>
                      <w:rFonts w:cs="Times New Roman"/>
                      <w:sz w:val="21"/>
                      <w:szCs w:val="21"/>
                    </w:rPr>
                    <w:t>0.000222</w:t>
                  </w:r>
                </w:p>
              </w:tc>
              <w:tc>
                <w:tcPr>
                  <w:tcW w:w="1026" w:type="dxa"/>
                  <w:vAlign w:val="center"/>
                </w:tcPr>
                <w:p w14:paraId="4DF16B79">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533BFFA6">
                  <w:pPr>
                    <w:spacing w:line="240" w:lineRule="auto"/>
                    <w:ind w:firstLine="0" w:firstLineChars="0"/>
                    <w:jc w:val="center"/>
                    <w:rPr>
                      <w:rFonts w:cs="Times New Roman"/>
                      <w:sz w:val="21"/>
                      <w:szCs w:val="21"/>
                    </w:rPr>
                  </w:pPr>
                  <w:r>
                    <w:rPr>
                      <w:rFonts w:cs="Times New Roman"/>
                      <w:sz w:val="21"/>
                      <w:szCs w:val="21"/>
                    </w:rPr>
                    <w:t>0.017968</w:t>
                  </w:r>
                </w:p>
              </w:tc>
              <w:tc>
                <w:tcPr>
                  <w:tcW w:w="993" w:type="dxa"/>
                  <w:vAlign w:val="center"/>
                </w:tcPr>
                <w:p w14:paraId="156DCF62">
                  <w:pPr>
                    <w:spacing w:line="240" w:lineRule="auto"/>
                    <w:ind w:firstLine="0" w:firstLineChars="0"/>
                    <w:jc w:val="center"/>
                    <w:rPr>
                      <w:rFonts w:cs="Times New Roman"/>
                      <w:sz w:val="21"/>
                      <w:szCs w:val="21"/>
                    </w:rPr>
                  </w:pPr>
                  <w:r>
                    <w:rPr>
                      <w:rFonts w:cs="Times New Roman"/>
                      <w:sz w:val="21"/>
                      <w:szCs w:val="21"/>
                    </w:rPr>
                    <w:t>2</w:t>
                  </w:r>
                </w:p>
              </w:tc>
            </w:tr>
            <w:tr w14:paraId="5A77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23E8C98">
                  <w:pPr>
                    <w:spacing w:line="240" w:lineRule="auto"/>
                    <w:ind w:firstLine="0" w:firstLineChars="0"/>
                    <w:jc w:val="center"/>
                    <w:rPr>
                      <w:rFonts w:cs="Times New Roman"/>
                      <w:sz w:val="21"/>
                      <w:szCs w:val="21"/>
                    </w:rPr>
                  </w:pPr>
                  <w:r>
                    <w:rPr>
                      <w:rFonts w:cs="Times New Roman"/>
                      <w:sz w:val="21"/>
                      <w:szCs w:val="21"/>
                    </w:rPr>
                    <w:t>1800</w:t>
                  </w:r>
                </w:p>
              </w:tc>
              <w:tc>
                <w:tcPr>
                  <w:tcW w:w="1199" w:type="dxa"/>
                  <w:vAlign w:val="center"/>
                </w:tcPr>
                <w:p w14:paraId="66D084A3">
                  <w:pPr>
                    <w:spacing w:line="240" w:lineRule="auto"/>
                    <w:ind w:firstLine="0" w:firstLineChars="0"/>
                    <w:jc w:val="center"/>
                    <w:rPr>
                      <w:rFonts w:cs="Times New Roman"/>
                      <w:sz w:val="21"/>
                      <w:szCs w:val="21"/>
                    </w:rPr>
                  </w:pPr>
                  <w:r>
                    <w:rPr>
                      <w:rFonts w:cs="Times New Roman"/>
                      <w:sz w:val="21"/>
                      <w:szCs w:val="21"/>
                    </w:rPr>
                    <w:t>0.014353</w:t>
                  </w:r>
                </w:p>
              </w:tc>
              <w:tc>
                <w:tcPr>
                  <w:tcW w:w="993" w:type="dxa"/>
                  <w:vAlign w:val="center"/>
                </w:tcPr>
                <w:p w14:paraId="5B12E062">
                  <w:pPr>
                    <w:spacing w:line="240" w:lineRule="auto"/>
                    <w:ind w:firstLine="0" w:firstLineChars="0"/>
                    <w:jc w:val="center"/>
                    <w:rPr>
                      <w:rFonts w:cs="Times New Roman"/>
                      <w:sz w:val="21"/>
                      <w:szCs w:val="21"/>
                    </w:rPr>
                  </w:pPr>
                  <w:r>
                    <w:rPr>
                      <w:rFonts w:cs="Times New Roman"/>
                      <w:sz w:val="21"/>
                      <w:szCs w:val="21"/>
                    </w:rPr>
                    <w:t>1.59</w:t>
                  </w:r>
                </w:p>
              </w:tc>
              <w:tc>
                <w:tcPr>
                  <w:tcW w:w="1202" w:type="dxa"/>
                  <w:vAlign w:val="center"/>
                </w:tcPr>
                <w:p w14:paraId="06F46E19">
                  <w:pPr>
                    <w:spacing w:line="240" w:lineRule="auto"/>
                    <w:ind w:firstLine="0" w:firstLineChars="0"/>
                    <w:jc w:val="center"/>
                    <w:rPr>
                      <w:rFonts w:cs="Times New Roman"/>
                      <w:sz w:val="21"/>
                      <w:szCs w:val="21"/>
                    </w:rPr>
                  </w:pPr>
                  <w:r>
                    <w:rPr>
                      <w:rFonts w:cs="Times New Roman"/>
                      <w:sz w:val="21"/>
                      <w:szCs w:val="21"/>
                    </w:rPr>
                    <w:t>0.000697</w:t>
                  </w:r>
                </w:p>
              </w:tc>
              <w:tc>
                <w:tcPr>
                  <w:tcW w:w="993" w:type="dxa"/>
                  <w:vAlign w:val="center"/>
                </w:tcPr>
                <w:p w14:paraId="1C7F56FA">
                  <w:pPr>
                    <w:spacing w:line="240" w:lineRule="auto"/>
                    <w:ind w:firstLine="0" w:firstLineChars="0"/>
                    <w:jc w:val="center"/>
                    <w:rPr>
                      <w:rFonts w:cs="Times New Roman"/>
                      <w:sz w:val="21"/>
                      <w:szCs w:val="21"/>
                    </w:rPr>
                  </w:pPr>
                  <w:r>
                    <w:rPr>
                      <w:rFonts w:cs="Times New Roman"/>
                      <w:sz w:val="21"/>
                      <w:szCs w:val="21"/>
                    </w:rPr>
                    <w:t>0.08</w:t>
                  </w:r>
                </w:p>
              </w:tc>
              <w:tc>
                <w:tcPr>
                  <w:tcW w:w="1212" w:type="dxa"/>
                  <w:vAlign w:val="center"/>
                </w:tcPr>
                <w:p w14:paraId="5A7FF51A">
                  <w:pPr>
                    <w:spacing w:line="240" w:lineRule="auto"/>
                    <w:ind w:firstLine="0" w:firstLineChars="0"/>
                    <w:jc w:val="center"/>
                    <w:rPr>
                      <w:rFonts w:cs="Times New Roman"/>
                      <w:sz w:val="21"/>
                      <w:szCs w:val="21"/>
                    </w:rPr>
                  </w:pPr>
                  <w:r>
                    <w:rPr>
                      <w:rFonts w:cs="Times New Roman"/>
                      <w:sz w:val="21"/>
                      <w:szCs w:val="21"/>
                    </w:rPr>
                    <w:t>0.000213</w:t>
                  </w:r>
                </w:p>
              </w:tc>
              <w:tc>
                <w:tcPr>
                  <w:tcW w:w="1026" w:type="dxa"/>
                  <w:vAlign w:val="center"/>
                </w:tcPr>
                <w:p w14:paraId="0BFB0430">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4D0F8AAA">
                  <w:pPr>
                    <w:spacing w:line="240" w:lineRule="auto"/>
                    <w:ind w:firstLine="0" w:firstLineChars="0"/>
                    <w:jc w:val="center"/>
                    <w:rPr>
                      <w:rFonts w:cs="Times New Roman"/>
                      <w:sz w:val="21"/>
                      <w:szCs w:val="21"/>
                    </w:rPr>
                  </w:pPr>
                  <w:r>
                    <w:rPr>
                      <w:rFonts w:cs="Times New Roman"/>
                      <w:sz w:val="21"/>
                      <w:szCs w:val="21"/>
                    </w:rPr>
                    <w:t>0.017253</w:t>
                  </w:r>
                </w:p>
              </w:tc>
              <w:tc>
                <w:tcPr>
                  <w:tcW w:w="993" w:type="dxa"/>
                  <w:vAlign w:val="center"/>
                </w:tcPr>
                <w:p w14:paraId="5ADD8150">
                  <w:pPr>
                    <w:spacing w:line="240" w:lineRule="auto"/>
                    <w:ind w:firstLine="0" w:firstLineChars="0"/>
                    <w:jc w:val="center"/>
                    <w:rPr>
                      <w:rFonts w:cs="Times New Roman"/>
                      <w:sz w:val="21"/>
                      <w:szCs w:val="21"/>
                    </w:rPr>
                  </w:pPr>
                  <w:r>
                    <w:rPr>
                      <w:rFonts w:cs="Times New Roman"/>
                      <w:sz w:val="21"/>
                      <w:szCs w:val="21"/>
                    </w:rPr>
                    <w:t>1.92</w:t>
                  </w:r>
                </w:p>
              </w:tc>
            </w:tr>
            <w:tr w14:paraId="3EE1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F1DBBE9">
                  <w:pPr>
                    <w:spacing w:line="240" w:lineRule="auto"/>
                    <w:ind w:firstLine="0" w:firstLineChars="0"/>
                    <w:jc w:val="center"/>
                    <w:rPr>
                      <w:rFonts w:cs="Times New Roman"/>
                      <w:sz w:val="21"/>
                      <w:szCs w:val="21"/>
                    </w:rPr>
                  </w:pPr>
                  <w:r>
                    <w:rPr>
                      <w:rFonts w:cs="Times New Roman"/>
                      <w:sz w:val="21"/>
                      <w:szCs w:val="21"/>
                    </w:rPr>
                    <w:t>1900</w:t>
                  </w:r>
                </w:p>
              </w:tc>
              <w:tc>
                <w:tcPr>
                  <w:tcW w:w="1199" w:type="dxa"/>
                  <w:vAlign w:val="center"/>
                </w:tcPr>
                <w:p w14:paraId="0FDDF3C7">
                  <w:pPr>
                    <w:spacing w:line="240" w:lineRule="auto"/>
                    <w:ind w:firstLine="0" w:firstLineChars="0"/>
                    <w:jc w:val="center"/>
                    <w:rPr>
                      <w:rFonts w:cs="Times New Roman"/>
                      <w:sz w:val="21"/>
                      <w:szCs w:val="21"/>
                    </w:rPr>
                  </w:pPr>
                  <w:r>
                    <w:rPr>
                      <w:rFonts w:cs="Times New Roman"/>
                      <w:sz w:val="21"/>
                      <w:szCs w:val="21"/>
                    </w:rPr>
                    <w:t>0.013817</w:t>
                  </w:r>
                </w:p>
              </w:tc>
              <w:tc>
                <w:tcPr>
                  <w:tcW w:w="993" w:type="dxa"/>
                  <w:vAlign w:val="center"/>
                </w:tcPr>
                <w:p w14:paraId="6F0D1CD6">
                  <w:pPr>
                    <w:spacing w:line="240" w:lineRule="auto"/>
                    <w:ind w:firstLine="0" w:firstLineChars="0"/>
                    <w:jc w:val="center"/>
                    <w:rPr>
                      <w:rFonts w:cs="Times New Roman"/>
                      <w:sz w:val="21"/>
                      <w:szCs w:val="21"/>
                    </w:rPr>
                  </w:pPr>
                  <w:r>
                    <w:rPr>
                      <w:rFonts w:cs="Times New Roman"/>
                      <w:sz w:val="21"/>
                      <w:szCs w:val="21"/>
                    </w:rPr>
                    <w:t>1.54</w:t>
                  </w:r>
                </w:p>
              </w:tc>
              <w:tc>
                <w:tcPr>
                  <w:tcW w:w="1202" w:type="dxa"/>
                  <w:vAlign w:val="center"/>
                </w:tcPr>
                <w:p w14:paraId="4D09BD54">
                  <w:pPr>
                    <w:spacing w:line="240" w:lineRule="auto"/>
                    <w:ind w:firstLine="0" w:firstLineChars="0"/>
                    <w:jc w:val="center"/>
                    <w:rPr>
                      <w:rFonts w:cs="Times New Roman"/>
                      <w:sz w:val="21"/>
                      <w:szCs w:val="21"/>
                    </w:rPr>
                  </w:pPr>
                  <w:r>
                    <w:rPr>
                      <w:rFonts w:cs="Times New Roman"/>
                      <w:sz w:val="21"/>
                      <w:szCs w:val="21"/>
                    </w:rPr>
                    <w:t>0.000671</w:t>
                  </w:r>
                </w:p>
              </w:tc>
              <w:tc>
                <w:tcPr>
                  <w:tcW w:w="993" w:type="dxa"/>
                  <w:vAlign w:val="center"/>
                </w:tcPr>
                <w:p w14:paraId="203414A1">
                  <w:pPr>
                    <w:spacing w:line="240" w:lineRule="auto"/>
                    <w:ind w:firstLine="0" w:firstLineChars="0"/>
                    <w:jc w:val="center"/>
                    <w:rPr>
                      <w:rFonts w:cs="Times New Roman"/>
                      <w:sz w:val="21"/>
                      <w:szCs w:val="21"/>
                    </w:rPr>
                  </w:pPr>
                  <w:r>
                    <w:rPr>
                      <w:rFonts w:cs="Times New Roman"/>
                      <w:sz w:val="21"/>
                      <w:szCs w:val="21"/>
                    </w:rPr>
                    <w:t>0.07</w:t>
                  </w:r>
                </w:p>
              </w:tc>
              <w:tc>
                <w:tcPr>
                  <w:tcW w:w="1212" w:type="dxa"/>
                  <w:vAlign w:val="center"/>
                </w:tcPr>
                <w:p w14:paraId="56CB8783">
                  <w:pPr>
                    <w:spacing w:line="240" w:lineRule="auto"/>
                    <w:ind w:firstLine="0" w:firstLineChars="0"/>
                    <w:jc w:val="center"/>
                    <w:rPr>
                      <w:rFonts w:cs="Times New Roman"/>
                      <w:sz w:val="21"/>
                      <w:szCs w:val="21"/>
                    </w:rPr>
                  </w:pPr>
                  <w:r>
                    <w:rPr>
                      <w:rFonts w:cs="Times New Roman"/>
                      <w:sz w:val="21"/>
                      <w:szCs w:val="21"/>
                    </w:rPr>
                    <w:t>0.000205</w:t>
                  </w:r>
                </w:p>
              </w:tc>
              <w:tc>
                <w:tcPr>
                  <w:tcW w:w="1026" w:type="dxa"/>
                  <w:vAlign w:val="center"/>
                </w:tcPr>
                <w:p w14:paraId="7A409324">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3B864B9B">
                  <w:pPr>
                    <w:spacing w:line="240" w:lineRule="auto"/>
                    <w:ind w:firstLine="0" w:firstLineChars="0"/>
                    <w:jc w:val="center"/>
                    <w:rPr>
                      <w:rFonts w:cs="Times New Roman"/>
                      <w:sz w:val="21"/>
                      <w:szCs w:val="21"/>
                    </w:rPr>
                  </w:pPr>
                  <w:r>
                    <w:rPr>
                      <w:rFonts w:cs="Times New Roman"/>
                      <w:sz w:val="21"/>
                      <w:szCs w:val="21"/>
                    </w:rPr>
                    <w:t>0.016603</w:t>
                  </w:r>
                </w:p>
              </w:tc>
              <w:tc>
                <w:tcPr>
                  <w:tcW w:w="993" w:type="dxa"/>
                  <w:vAlign w:val="center"/>
                </w:tcPr>
                <w:p w14:paraId="232D910B">
                  <w:pPr>
                    <w:spacing w:line="240" w:lineRule="auto"/>
                    <w:ind w:firstLine="0" w:firstLineChars="0"/>
                    <w:jc w:val="center"/>
                    <w:rPr>
                      <w:rFonts w:cs="Times New Roman"/>
                      <w:sz w:val="21"/>
                      <w:szCs w:val="21"/>
                    </w:rPr>
                  </w:pPr>
                  <w:r>
                    <w:rPr>
                      <w:rFonts w:cs="Times New Roman"/>
                      <w:sz w:val="21"/>
                      <w:szCs w:val="21"/>
                    </w:rPr>
                    <w:t>1.84</w:t>
                  </w:r>
                </w:p>
              </w:tc>
            </w:tr>
            <w:tr w14:paraId="2802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E8AEDBE">
                  <w:pPr>
                    <w:spacing w:line="240" w:lineRule="auto"/>
                    <w:ind w:firstLine="0" w:firstLineChars="0"/>
                    <w:jc w:val="center"/>
                    <w:rPr>
                      <w:rFonts w:cs="Times New Roman"/>
                      <w:sz w:val="21"/>
                      <w:szCs w:val="21"/>
                    </w:rPr>
                  </w:pPr>
                  <w:r>
                    <w:rPr>
                      <w:rFonts w:cs="Times New Roman"/>
                      <w:sz w:val="21"/>
                      <w:szCs w:val="21"/>
                    </w:rPr>
                    <w:t>2000</w:t>
                  </w:r>
                </w:p>
              </w:tc>
              <w:tc>
                <w:tcPr>
                  <w:tcW w:w="1199" w:type="dxa"/>
                  <w:vAlign w:val="center"/>
                </w:tcPr>
                <w:p w14:paraId="15C9DAFD">
                  <w:pPr>
                    <w:spacing w:line="240" w:lineRule="auto"/>
                    <w:ind w:firstLine="0" w:firstLineChars="0"/>
                    <w:jc w:val="center"/>
                    <w:rPr>
                      <w:rFonts w:cs="Times New Roman"/>
                      <w:sz w:val="21"/>
                      <w:szCs w:val="21"/>
                    </w:rPr>
                  </w:pPr>
                  <w:r>
                    <w:rPr>
                      <w:rFonts w:cs="Times New Roman"/>
                      <w:sz w:val="21"/>
                      <w:szCs w:val="21"/>
                    </w:rPr>
                    <w:t>0.013327</w:t>
                  </w:r>
                </w:p>
              </w:tc>
              <w:tc>
                <w:tcPr>
                  <w:tcW w:w="993" w:type="dxa"/>
                  <w:vAlign w:val="center"/>
                </w:tcPr>
                <w:p w14:paraId="48B6FC5C">
                  <w:pPr>
                    <w:spacing w:line="240" w:lineRule="auto"/>
                    <w:ind w:firstLine="0" w:firstLineChars="0"/>
                    <w:jc w:val="center"/>
                    <w:rPr>
                      <w:rFonts w:cs="Times New Roman"/>
                      <w:sz w:val="21"/>
                      <w:szCs w:val="21"/>
                    </w:rPr>
                  </w:pPr>
                  <w:r>
                    <w:rPr>
                      <w:rFonts w:cs="Times New Roman"/>
                      <w:sz w:val="21"/>
                      <w:szCs w:val="21"/>
                    </w:rPr>
                    <w:t>1.48</w:t>
                  </w:r>
                </w:p>
              </w:tc>
              <w:tc>
                <w:tcPr>
                  <w:tcW w:w="1202" w:type="dxa"/>
                  <w:vAlign w:val="center"/>
                </w:tcPr>
                <w:p w14:paraId="6C294D69">
                  <w:pPr>
                    <w:spacing w:line="240" w:lineRule="auto"/>
                    <w:ind w:firstLine="0" w:firstLineChars="0"/>
                    <w:jc w:val="center"/>
                    <w:rPr>
                      <w:rFonts w:cs="Times New Roman"/>
                      <w:sz w:val="21"/>
                      <w:szCs w:val="21"/>
                    </w:rPr>
                  </w:pPr>
                  <w:r>
                    <w:rPr>
                      <w:rFonts w:cs="Times New Roman"/>
                      <w:sz w:val="21"/>
                      <w:szCs w:val="21"/>
                    </w:rPr>
                    <w:t>0.000647</w:t>
                  </w:r>
                </w:p>
              </w:tc>
              <w:tc>
                <w:tcPr>
                  <w:tcW w:w="993" w:type="dxa"/>
                  <w:vAlign w:val="center"/>
                </w:tcPr>
                <w:p w14:paraId="1FD23A8F">
                  <w:pPr>
                    <w:spacing w:line="240" w:lineRule="auto"/>
                    <w:ind w:firstLine="0" w:firstLineChars="0"/>
                    <w:jc w:val="center"/>
                    <w:rPr>
                      <w:rFonts w:cs="Times New Roman"/>
                      <w:sz w:val="21"/>
                      <w:szCs w:val="21"/>
                    </w:rPr>
                  </w:pPr>
                  <w:r>
                    <w:rPr>
                      <w:rFonts w:cs="Times New Roman"/>
                      <w:sz w:val="21"/>
                      <w:szCs w:val="21"/>
                    </w:rPr>
                    <w:t>0.07</w:t>
                  </w:r>
                </w:p>
              </w:tc>
              <w:tc>
                <w:tcPr>
                  <w:tcW w:w="1212" w:type="dxa"/>
                  <w:vAlign w:val="center"/>
                </w:tcPr>
                <w:p w14:paraId="03961229">
                  <w:pPr>
                    <w:spacing w:line="240" w:lineRule="auto"/>
                    <w:ind w:firstLine="0" w:firstLineChars="0"/>
                    <w:jc w:val="center"/>
                    <w:rPr>
                      <w:rFonts w:cs="Times New Roman"/>
                      <w:sz w:val="21"/>
                      <w:szCs w:val="21"/>
                    </w:rPr>
                  </w:pPr>
                  <w:r>
                    <w:rPr>
                      <w:rFonts w:cs="Times New Roman"/>
                      <w:sz w:val="21"/>
                      <w:szCs w:val="21"/>
                    </w:rPr>
                    <w:t>0.000198</w:t>
                  </w:r>
                </w:p>
              </w:tc>
              <w:tc>
                <w:tcPr>
                  <w:tcW w:w="1026" w:type="dxa"/>
                  <w:vAlign w:val="center"/>
                </w:tcPr>
                <w:p w14:paraId="6AA5724C">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3E3F484D">
                  <w:pPr>
                    <w:spacing w:line="240" w:lineRule="auto"/>
                    <w:ind w:firstLine="0" w:firstLineChars="0"/>
                    <w:jc w:val="center"/>
                    <w:rPr>
                      <w:rFonts w:cs="Times New Roman"/>
                      <w:sz w:val="21"/>
                      <w:szCs w:val="21"/>
                    </w:rPr>
                  </w:pPr>
                  <w:r>
                    <w:rPr>
                      <w:rFonts w:cs="Times New Roman"/>
                      <w:sz w:val="21"/>
                      <w:szCs w:val="21"/>
                    </w:rPr>
                    <w:t>0.01601</w:t>
                  </w:r>
                </w:p>
              </w:tc>
              <w:tc>
                <w:tcPr>
                  <w:tcW w:w="993" w:type="dxa"/>
                  <w:vAlign w:val="center"/>
                </w:tcPr>
                <w:p w14:paraId="6B0BB30C">
                  <w:pPr>
                    <w:spacing w:line="240" w:lineRule="auto"/>
                    <w:ind w:firstLine="0" w:firstLineChars="0"/>
                    <w:jc w:val="center"/>
                    <w:rPr>
                      <w:rFonts w:cs="Times New Roman"/>
                      <w:sz w:val="21"/>
                      <w:szCs w:val="21"/>
                    </w:rPr>
                  </w:pPr>
                  <w:r>
                    <w:rPr>
                      <w:rFonts w:cs="Times New Roman"/>
                      <w:sz w:val="21"/>
                      <w:szCs w:val="21"/>
                    </w:rPr>
                    <w:t>1.78</w:t>
                  </w:r>
                </w:p>
              </w:tc>
            </w:tr>
            <w:tr w14:paraId="4547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74BC844">
                  <w:pPr>
                    <w:spacing w:line="240" w:lineRule="auto"/>
                    <w:ind w:firstLine="0" w:firstLineChars="0"/>
                    <w:jc w:val="center"/>
                    <w:rPr>
                      <w:rFonts w:cs="Times New Roman"/>
                      <w:sz w:val="21"/>
                      <w:szCs w:val="21"/>
                    </w:rPr>
                  </w:pPr>
                  <w:r>
                    <w:rPr>
                      <w:rFonts w:cs="Times New Roman"/>
                      <w:sz w:val="21"/>
                      <w:szCs w:val="21"/>
                    </w:rPr>
                    <w:t>2100</w:t>
                  </w:r>
                </w:p>
              </w:tc>
              <w:tc>
                <w:tcPr>
                  <w:tcW w:w="1199" w:type="dxa"/>
                  <w:vAlign w:val="center"/>
                </w:tcPr>
                <w:p w14:paraId="603D563B">
                  <w:pPr>
                    <w:spacing w:line="240" w:lineRule="auto"/>
                    <w:ind w:firstLine="0" w:firstLineChars="0"/>
                    <w:jc w:val="center"/>
                    <w:rPr>
                      <w:rFonts w:cs="Times New Roman"/>
                      <w:sz w:val="21"/>
                      <w:szCs w:val="21"/>
                    </w:rPr>
                  </w:pPr>
                  <w:r>
                    <w:rPr>
                      <w:rFonts w:cs="Times New Roman"/>
                      <w:sz w:val="21"/>
                      <w:szCs w:val="21"/>
                    </w:rPr>
                    <w:t>0.012877</w:t>
                  </w:r>
                </w:p>
              </w:tc>
              <w:tc>
                <w:tcPr>
                  <w:tcW w:w="993" w:type="dxa"/>
                  <w:vAlign w:val="center"/>
                </w:tcPr>
                <w:p w14:paraId="50F31896">
                  <w:pPr>
                    <w:spacing w:line="240" w:lineRule="auto"/>
                    <w:ind w:firstLine="0" w:firstLineChars="0"/>
                    <w:jc w:val="center"/>
                    <w:rPr>
                      <w:rFonts w:cs="Times New Roman"/>
                      <w:sz w:val="21"/>
                      <w:szCs w:val="21"/>
                    </w:rPr>
                  </w:pPr>
                  <w:r>
                    <w:rPr>
                      <w:rFonts w:cs="Times New Roman"/>
                      <w:sz w:val="21"/>
                      <w:szCs w:val="21"/>
                    </w:rPr>
                    <w:t>1.43</w:t>
                  </w:r>
                </w:p>
              </w:tc>
              <w:tc>
                <w:tcPr>
                  <w:tcW w:w="1202" w:type="dxa"/>
                  <w:vAlign w:val="center"/>
                </w:tcPr>
                <w:p w14:paraId="10933AEF">
                  <w:pPr>
                    <w:spacing w:line="240" w:lineRule="auto"/>
                    <w:ind w:firstLine="0" w:firstLineChars="0"/>
                    <w:jc w:val="center"/>
                    <w:rPr>
                      <w:rFonts w:cs="Times New Roman"/>
                      <w:sz w:val="21"/>
                      <w:szCs w:val="21"/>
                    </w:rPr>
                  </w:pPr>
                  <w:r>
                    <w:rPr>
                      <w:rFonts w:cs="Times New Roman"/>
                      <w:sz w:val="21"/>
                      <w:szCs w:val="21"/>
                    </w:rPr>
                    <w:t>0.000626</w:t>
                  </w:r>
                </w:p>
              </w:tc>
              <w:tc>
                <w:tcPr>
                  <w:tcW w:w="993" w:type="dxa"/>
                  <w:vAlign w:val="center"/>
                </w:tcPr>
                <w:p w14:paraId="46FD2368">
                  <w:pPr>
                    <w:spacing w:line="240" w:lineRule="auto"/>
                    <w:ind w:firstLine="0" w:firstLineChars="0"/>
                    <w:jc w:val="center"/>
                    <w:rPr>
                      <w:rFonts w:cs="Times New Roman"/>
                      <w:sz w:val="21"/>
                      <w:szCs w:val="21"/>
                    </w:rPr>
                  </w:pPr>
                  <w:r>
                    <w:rPr>
                      <w:rFonts w:cs="Times New Roman"/>
                      <w:sz w:val="21"/>
                      <w:szCs w:val="21"/>
                    </w:rPr>
                    <w:t>0.07</w:t>
                  </w:r>
                </w:p>
              </w:tc>
              <w:tc>
                <w:tcPr>
                  <w:tcW w:w="1212" w:type="dxa"/>
                  <w:vAlign w:val="center"/>
                </w:tcPr>
                <w:p w14:paraId="0EC5D64D">
                  <w:pPr>
                    <w:spacing w:line="240" w:lineRule="auto"/>
                    <w:ind w:firstLine="0" w:firstLineChars="0"/>
                    <w:jc w:val="center"/>
                    <w:rPr>
                      <w:rFonts w:cs="Times New Roman"/>
                      <w:sz w:val="21"/>
                      <w:szCs w:val="21"/>
                    </w:rPr>
                  </w:pPr>
                  <w:r>
                    <w:rPr>
                      <w:rFonts w:cs="Times New Roman"/>
                      <w:sz w:val="21"/>
                      <w:szCs w:val="21"/>
                    </w:rPr>
                    <w:t>0.000191</w:t>
                  </w:r>
                </w:p>
              </w:tc>
              <w:tc>
                <w:tcPr>
                  <w:tcW w:w="1026" w:type="dxa"/>
                  <w:vAlign w:val="center"/>
                </w:tcPr>
                <w:p w14:paraId="1F5F940B">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53DC6A85">
                  <w:pPr>
                    <w:spacing w:line="240" w:lineRule="auto"/>
                    <w:ind w:firstLine="0" w:firstLineChars="0"/>
                    <w:jc w:val="center"/>
                    <w:rPr>
                      <w:rFonts w:cs="Times New Roman"/>
                      <w:sz w:val="21"/>
                      <w:szCs w:val="21"/>
                    </w:rPr>
                  </w:pPr>
                  <w:r>
                    <w:rPr>
                      <w:rFonts w:cs="Times New Roman"/>
                      <w:sz w:val="21"/>
                      <w:szCs w:val="21"/>
                    </w:rPr>
                    <w:t>0.015466</w:t>
                  </w:r>
                </w:p>
              </w:tc>
              <w:tc>
                <w:tcPr>
                  <w:tcW w:w="993" w:type="dxa"/>
                  <w:vAlign w:val="center"/>
                </w:tcPr>
                <w:p w14:paraId="5DE464BE">
                  <w:pPr>
                    <w:spacing w:line="240" w:lineRule="auto"/>
                    <w:ind w:firstLine="0" w:firstLineChars="0"/>
                    <w:jc w:val="center"/>
                    <w:rPr>
                      <w:rFonts w:cs="Times New Roman"/>
                      <w:sz w:val="21"/>
                      <w:szCs w:val="21"/>
                    </w:rPr>
                  </w:pPr>
                  <w:r>
                    <w:rPr>
                      <w:rFonts w:cs="Times New Roman"/>
                      <w:sz w:val="21"/>
                      <w:szCs w:val="21"/>
                    </w:rPr>
                    <w:t>1.72</w:t>
                  </w:r>
                </w:p>
              </w:tc>
            </w:tr>
            <w:tr w14:paraId="754B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A682A39">
                  <w:pPr>
                    <w:spacing w:line="240" w:lineRule="auto"/>
                    <w:ind w:firstLine="0" w:firstLineChars="0"/>
                    <w:jc w:val="center"/>
                    <w:rPr>
                      <w:rFonts w:cs="Times New Roman"/>
                      <w:sz w:val="21"/>
                      <w:szCs w:val="21"/>
                    </w:rPr>
                  </w:pPr>
                  <w:r>
                    <w:rPr>
                      <w:rFonts w:cs="Times New Roman"/>
                      <w:sz w:val="21"/>
                      <w:szCs w:val="21"/>
                    </w:rPr>
                    <w:t>2200</w:t>
                  </w:r>
                </w:p>
              </w:tc>
              <w:tc>
                <w:tcPr>
                  <w:tcW w:w="1199" w:type="dxa"/>
                  <w:vAlign w:val="center"/>
                </w:tcPr>
                <w:p w14:paraId="5FAF2F96">
                  <w:pPr>
                    <w:spacing w:line="240" w:lineRule="auto"/>
                    <w:ind w:firstLine="0" w:firstLineChars="0"/>
                    <w:jc w:val="center"/>
                    <w:rPr>
                      <w:rFonts w:cs="Times New Roman"/>
                      <w:sz w:val="21"/>
                      <w:szCs w:val="21"/>
                    </w:rPr>
                  </w:pPr>
                  <w:r>
                    <w:rPr>
                      <w:rFonts w:cs="Times New Roman"/>
                      <w:sz w:val="21"/>
                      <w:szCs w:val="21"/>
                    </w:rPr>
                    <w:t>0.012463</w:t>
                  </w:r>
                </w:p>
              </w:tc>
              <w:tc>
                <w:tcPr>
                  <w:tcW w:w="993" w:type="dxa"/>
                  <w:vAlign w:val="center"/>
                </w:tcPr>
                <w:p w14:paraId="22321172">
                  <w:pPr>
                    <w:spacing w:line="240" w:lineRule="auto"/>
                    <w:ind w:firstLine="0" w:firstLineChars="0"/>
                    <w:jc w:val="center"/>
                    <w:rPr>
                      <w:rFonts w:cs="Times New Roman"/>
                      <w:sz w:val="21"/>
                      <w:szCs w:val="21"/>
                    </w:rPr>
                  </w:pPr>
                  <w:r>
                    <w:rPr>
                      <w:rFonts w:cs="Times New Roman"/>
                      <w:sz w:val="21"/>
                      <w:szCs w:val="21"/>
                    </w:rPr>
                    <w:t>1.38</w:t>
                  </w:r>
                </w:p>
              </w:tc>
              <w:tc>
                <w:tcPr>
                  <w:tcW w:w="1202" w:type="dxa"/>
                  <w:vAlign w:val="center"/>
                </w:tcPr>
                <w:p w14:paraId="68547B3C">
                  <w:pPr>
                    <w:spacing w:line="240" w:lineRule="auto"/>
                    <w:ind w:firstLine="0" w:firstLineChars="0"/>
                    <w:jc w:val="center"/>
                    <w:rPr>
                      <w:rFonts w:cs="Times New Roman"/>
                      <w:sz w:val="21"/>
                      <w:szCs w:val="21"/>
                    </w:rPr>
                  </w:pPr>
                  <w:r>
                    <w:rPr>
                      <w:rFonts w:cs="Times New Roman"/>
                      <w:sz w:val="21"/>
                      <w:szCs w:val="21"/>
                    </w:rPr>
                    <w:t>0.000606</w:t>
                  </w:r>
                </w:p>
              </w:tc>
              <w:tc>
                <w:tcPr>
                  <w:tcW w:w="993" w:type="dxa"/>
                  <w:vAlign w:val="center"/>
                </w:tcPr>
                <w:p w14:paraId="069FC77C">
                  <w:pPr>
                    <w:spacing w:line="240" w:lineRule="auto"/>
                    <w:ind w:firstLine="0" w:firstLineChars="0"/>
                    <w:jc w:val="center"/>
                    <w:rPr>
                      <w:rFonts w:cs="Times New Roman"/>
                      <w:sz w:val="21"/>
                      <w:szCs w:val="21"/>
                    </w:rPr>
                  </w:pPr>
                  <w:r>
                    <w:rPr>
                      <w:rFonts w:cs="Times New Roman"/>
                      <w:sz w:val="21"/>
                      <w:szCs w:val="21"/>
                    </w:rPr>
                    <w:t>0.07</w:t>
                  </w:r>
                </w:p>
              </w:tc>
              <w:tc>
                <w:tcPr>
                  <w:tcW w:w="1212" w:type="dxa"/>
                  <w:vAlign w:val="center"/>
                </w:tcPr>
                <w:p w14:paraId="52005C2A">
                  <w:pPr>
                    <w:spacing w:line="240" w:lineRule="auto"/>
                    <w:ind w:firstLine="0" w:firstLineChars="0"/>
                    <w:jc w:val="center"/>
                    <w:rPr>
                      <w:rFonts w:cs="Times New Roman"/>
                      <w:sz w:val="21"/>
                      <w:szCs w:val="21"/>
                    </w:rPr>
                  </w:pPr>
                  <w:r>
                    <w:rPr>
                      <w:rFonts w:cs="Times New Roman"/>
                      <w:sz w:val="21"/>
                      <w:szCs w:val="21"/>
                    </w:rPr>
                    <w:t>0.000185</w:t>
                  </w:r>
                </w:p>
              </w:tc>
              <w:tc>
                <w:tcPr>
                  <w:tcW w:w="1026" w:type="dxa"/>
                  <w:vAlign w:val="center"/>
                </w:tcPr>
                <w:p w14:paraId="7E986C63">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60C9AFCF">
                  <w:pPr>
                    <w:spacing w:line="240" w:lineRule="auto"/>
                    <w:ind w:firstLine="0" w:firstLineChars="0"/>
                    <w:jc w:val="center"/>
                    <w:rPr>
                      <w:rFonts w:cs="Times New Roman"/>
                      <w:sz w:val="21"/>
                      <w:szCs w:val="21"/>
                    </w:rPr>
                  </w:pPr>
                  <w:r>
                    <w:rPr>
                      <w:rFonts w:cs="Times New Roman"/>
                      <w:sz w:val="21"/>
                      <w:szCs w:val="21"/>
                    </w:rPr>
                    <w:t>0.014965</w:t>
                  </w:r>
                </w:p>
              </w:tc>
              <w:tc>
                <w:tcPr>
                  <w:tcW w:w="993" w:type="dxa"/>
                  <w:vAlign w:val="center"/>
                </w:tcPr>
                <w:p w14:paraId="7CA59236">
                  <w:pPr>
                    <w:spacing w:line="240" w:lineRule="auto"/>
                    <w:ind w:firstLine="0" w:firstLineChars="0"/>
                    <w:jc w:val="center"/>
                    <w:rPr>
                      <w:rFonts w:cs="Times New Roman"/>
                      <w:sz w:val="21"/>
                      <w:szCs w:val="21"/>
                    </w:rPr>
                  </w:pPr>
                  <w:r>
                    <w:rPr>
                      <w:rFonts w:cs="Times New Roman"/>
                      <w:sz w:val="21"/>
                      <w:szCs w:val="21"/>
                    </w:rPr>
                    <w:t>1.66</w:t>
                  </w:r>
                </w:p>
              </w:tc>
            </w:tr>
            <w:tr w14:paraId="3D1C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E09801A">
                  <w:pPr>
                    <w:spacing w:line="240" w:lineRule="auto"/>
                    <w:ind w:firstLine="0" w:firstLineChars="0"/>
                    <w:jc w:val="center"/>
                    <w:rPr>
                      <w:rFonts w:cs="Times New Roman"/>
                      <w:sz w:val="21"/>
                      <w:szCs w:val="21"/>
                    </w:rPr>
                  </w:pPr>
                  <w:r>
                    <w:rPr>
                      <w:rFonts w:cs="Times New Roman"/>
                      <w:sz w:val="21"/>
                      <w:szCs w:val="21"/>
                    </w:rPr>
                    <w:t>2300</w:t>
                  </w:r>
                </w:p>
              </w:tc>
              <w:tc>
                <w:tcPr>
                  <w:tcW w:w="1199" w:type="dxa"/>
                  <w:vAlign w:val="center"/>
                </w:tcPr>
                <w:p w14:paraId="71AA67A0">
                  <w:pPr>
                    <w:spacing w:line="240" w:lineRule="auto"/>
                    <w:ind w:firstLine="0" w:firstLineChars="0"/>
                    <w:jc w:val="center"/>
                    <w:rPr>
                      <w:rFonts w:cs="Times New Roman"/>
                      <w:sz w:val="21"/>
                      <w:szCs w:val="21"/>
                    </w:rPr>
                  </w:pPr>
                  <w:r>
                    <w:rPr>
                      <w:rFonts w:cs="Times New Roman"/>
                      <w:sz w:val="21"/>
                      <w:szCs w:val="21"/>
                    </w:rPr>
                    <w:t>0.01208</w:t>
                  </w:r>
                </w:p>
              </w:tc>
              <w:tc>
                <w:tcPr>
                  <w:tcW w:w="993" w:type="dxa"/>
                  <w:vAlign w:val="center"/>
                </w:tcPr>
                <w:p w14:paraId="73D686DA">
                  <w:pPr>
                    <w:spacing w:line="240" w:lineRule="auto"/>
                    <w:ind w:firstLine="0" w:firstLineChars="0"/>
                    <w:jc w:val="center"/>
                    <w:rPr>
                      <w:rFonts w:cs="Times New Roman"/>
                      <w:sz w:val="21"/>
                      <w:szCs w:val="21"/>
                    </w:rPr>
                  </w:pPr>
                  <w:r>
                    <w:rPr>
                      <w:rFonts w:cs="Times New Roman"/>
                      <w:sz w:val="21"/>
                      <w:szCs w:val="21"/>
                    </w:rPr>
                    <w:t>1.34</w:t>
                  </w:r>
                </w:p>
              </w:tc>
              <w:tc>
                <w:tcPr>
                  <w:tcW w:w="1202" w:type="dxa"/>
                  <w:vAlign w:val="center"/>
                </w:tcPr>
                <w:p w14:paraId="3FDD09B7">
                  <w:pPr>
                    <w:spacing w:line="240" w:lineRule="auto"/>
                    <w:ind w:firstLine="0" w:firstLineChars="0"/>
                    <w:jc w:val="center"/>
                    <w:rPr>
                      <w:rFonts w:cs="Times New Roman"/>
                      <w:sz w:val="21"/>
                      <w:szCs w:val="21"/>
                    </w:rPr>
                  </w:pPr>
                  <w:r>
                    <w:rPr>
                      <w:rFonts w:cs="Times New Roman"/>
                      <w:sz w:val="21"/>
                      <w:szCs w:val="21"/>
                    </w:rPr>
                    <w:t>0.000587</w:t>
                  </w:r>
                </w:p>
              </w:tc>
              <w:tc>
                <w:tcPr>
                  <w:tcW w:w="993" w:type="dxa"/>
                  <w:vAlign w:val="center"/>
                </w:tcPr>
                <w:p w14:paraId="1C039245">
                  <w:pPr>
                    <w:spacing w:line="240" w:lineRule="auto"/>
                    <w:ind w:firstLine="0" w:firstLineChars="0"/>
                    <w:jc w:val="center"/>
                    <w:rPr>
                      <w:rFonts w:cs="Times New Roman"/>
                      <w:sz w:val="21"/>
                      <w:szCs w:val="21"/>
                    </w:rPr>
                  </w:pPr>
                  <w:r>
                    <w:rPr>
                      <w:rFonts w:cs="Times New Roman"/>
                      <w:sz w:val="21"/>
                      <w:szCs w:val="21"/>
                    </w:rPr>
                    <w:t>0.07</w:t>
                  </w:r>
                </w:p>
              </w:tc>
              <w:tc>
                <w:tcPr>
                  <w:tcW w:w="1212" w:type="dxa"/>
                  <w:vAlign w:val="center"/>
                </w:tcPr>
                <w:p w14:paraId="6C825345">
                  <w:pPr>
                    <w:spacing w:line="240" w:lineRule="auto"/>
                    <w:ind w:firstLine="0" w:firstLineChars="0"/>
                    <w:jc w:val="center"/>
                    <w:rPr>
                      <w:rFonts w:cs="Times New Roman"/>
                      <w:sz w:val="21"/>
                      <w:szCs w:val="21"/>
                    </w:rPr>
                  </w:pPr>
                  <w:r>
                    <w:rPr>
                      <w:rFonts w:cs="Times New Roman"/>
                      <w:sz w:val="21"/>
                      <w:szCs w:val="21"/>
                    </w:rPr>
                    <w:t>0.000179</w:t>
                  </w:r>
                </w:p>
              </w:tc>
              <w:tc>
                <w:tcPr>
                  <w:tcW w:w="1026" w:type="dxa"/>
                  <w:vAlign w:val="center"/>
                </w:tcPr>
                <w:p w14:paraId="5A312C6B">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63CAF3C7">
                  <w:pPr>
                    <w:spacing w:line="240" w:lineRule="auto"/>
                    <w:ind w:firstLine="0" w:firstLineChars="0"/>
                    <w:jc w:val="center"/>
                    <w:rPr>
                      <w:rFonts w:cs="Times New Roman"/>
                      <w:sz w:val="21"/>
                      <w:szCs w:val="21"/>
                    </w:rPr>
                  </w:pPr>
                  <w:r>
                    <w:rPr>
                      <w:rFonts w:cs="Times New Roman"/>
                      <w:sz w:val="21"/>
                      <w:szCs w:val="21"/>
                    </w:rPr>
                    <w:t>0.014501</w:t>
                  </w:r>
                </w:p>
              </w:tc>
              <w:tc>
                <w:tcPr>
                  <w:tcW w:w="993" w:type="dxa"/>
                  <w:vAlign w:val="center"/>
                </w:tcPr>
                <w:p w14:paraId="193BB85D">
                  <w:pPr>
                    <w:spacing w:line="240" w:lineRule="auto"/>
                    <w:ind w:firstLine="0" w:firstLineChars="0"/>
                    <w:jc w:val="center"/>
                    <w:rPr>
                      <w:rFonts w:cs="Times New Roman"/>
                      <w:sz w:val="21"/>
                      <w:szCs w:val="21"/>
                    </w:rPr>
                  </w:pPr>
                  <w:r>
                    <w:rPr>
                      <w:rFonts w:cs="Times New Roman"/>
                      <w:sz w:val="21"/>
                      <w:szCs w:val="21"/>
                    </w:rPr>
                    <w:t>1.61</w:t>
                  </w:r>
                </w:p>
              </w:tc>
            </w:tr>
            <w:tr w14:paraId="4A65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D575F3E">
                  <w:pPr>
                    <w:spacing w:line="240" w:lineRule="auto"/>
                    <w:ind w:firstLine="0" w:firstLineChars="0"/>
                    <w:jc w:val="center"/>
                    <w:rPr>
                      <w:rFonts w:cs="Times New Roman"/>
                      <w:sz w:val="21"/>
                      <w:szCs w:val="21"/>
                    </w:rPr>
                  </w:pPr>
                  <w:r>
                    <w:rPr>
                      <w:rFonts w:cs="Times New Roman"/>
                      <w:sz w:val="21"/>
                      <w:szCs w:val="21"/>
                    </w:rPr>
                    <w:t>2400</w:t>
                  </w:r>
                </w:p>
              </w:tc>
              <w:tc>
                <w:tcPr>
                  <w:tcW w:w="1199" w:type="dxa"/>
                  <w:vAlign w:val="center"/>
                </w:tcPr>
                <w:p w14:paraId="093AD6EF">
                  <w:pPr>
                    <w:spacing w:line="240" w:lineRule="auto"/>
                    <w:ind w:firstLine="0" w:firstLineChars="0"/>
                    <w:jc w:val="center"/>
                    <w:rPr>
                      <w:rFonts w:cs="Times New Roman"/>
                      <w:sz w:val="21"/>
                      <w:szCs w:val="21"/>
                    </w:rPr>
                  </w:pPr>
                  <w:r>
                    <w:rPr>
                      <w:rFonts w:cs="Times New Roman"/>
                      <w:sz w:val="21"/>
                      <w:szCs w:val="21"/>
                    </w:rPr>
                    <w:t>0.011724</w:t>
                  </w:r>
                </w:p>
              </w:tc>
              <w:tc>
                <w:tcPr>
                  <w:tcW w:w="993" w:type="dxa"/>
                  <w:vAlign w:val="center"/>
                </w:tcPr>
                <w:p w14:paraId="4B01848E">
                  <w:pPr>
                    <w:spacing w:line="240" w:lineRule="auto"/>
                    <w:ind w:firstLine="0" w:firstLineChars="0"/>
                    <w:jc w:val="center"/>
                    <w:rPr>
                      <w:rFonts w:cs="Times New Roman"/>
                      <w:sz w:val="21"/>
                      <w:szCs w:val="21"/>
                    </w:rPr>
                  </w:pPr>
                  <w:r>
                    <w:rPr>
                      <w:rFonts w:cs="Times New Roman"/>
                      <w:sz w:val="21"/>
                      <w:szCs w:val="21"/>
                    </w:rPr>
                    <w:t>1.3</w:t>
                  </w:r>
                </w:p>
              </w:tc>
              <w:tc>
                <w:tcPr>
                  <w:tcW w:w="1202" w:type="dxa"/>
                  <w:vAlign w:val="center"/>
                </w:tcPr>
                <w:p w14:paraId="07416653">
                  <w:pPr>
                    <w:spacing w:line="240" w:lineRule="auto"/>
                    <w:ind w:firstLine="0" w:firstLineChars="0"/>
                    <w:jc w:val="center"/>
                    <w:rPr>
                      <w:rFonts w:cs="Times New Roman"/>
                      <w:sz w:val="21"/>
                      <w:szCs w:val="21"/>
                    </w:rPr>
                  </w:pPr>
                  <w:r>
                    <w:rPr>
                      <w:rFonts w:cs="Times New Roman"/>
                      <w:sz w:val="21"/>
                      <w:szCs w:val="21"/>
                    </w:rPr>
                    <w:t>0.00057</w:t>
                  </w:r>
                </w:p>
              </w:tc>
              <w:tc>
                <w:tcPr>
                  <w:tcW w:w="993" w:type="dxa"/>
                  <w:vAlign w:val="center"/>
                </w:tcPr>
                <w:p w14:paraId="2410A4A3">
                  <w:pPr>
                    <w:spacing w:line="240" w:lineRule="auto"/>
                    <w:ind w:firstLine="0" w:firstLineChars="0"/>
                    <w:jc w:val="center"/>
                    <w:rPr>
                      <w:rFonts w:cs="Times New Roman"/>
                      <w:sz w:val="21"/>
                      <w:szCs w:val="21"/>
                    </w:rPr>
                  </w:pPr>
                  <w:r>
                    <w:rPr>
                      <w:rFonts w:cs="Times New Roman"/>
                      <w:sz w:val="21"/>
                      <w:szCs w:val="21"/>
                    </w:rPr>
                    <w:t>0.06</w:t>
                  </w:r>
                </w:p>
              </w:tc>
              <w:tc>
                <w:tcPr>
                  <w:tcW w:w="1212" w:type="dxa"/>
                  <w:vAlign w:val="center"/>
                </w:tcPr>
                <w:p w14:paraId="318861C8">
                  <w:pPr>
                    <w:spacing w:line="240" w:lineRule="auto"/>
                    <w:ind w:firstLine="0" w:firstLineChars="0"/>
                    <w:jc w:val="center"/>
                    <w:rPr>
                      <w:rFonts w:cs="Times New Roman"/>
                      <w:sz w:val="21"/>
                      <w:szCs w:val="21"/>
                    </w:rPr>
                  </w:pPr>
                  <w:r>
                    <w:rPr>
                      <w:rFonts w:cs="Times New Roman"/>
                      <w:sz w:val="21"/>
                      <w:szCs w:val="21"/>
                    </w:rPr>
                    <w:t>0.000174</w:t>
                  </w:r>
                </w:p>
              </w:tc>
              <w:tc>
                <w:tcPr>
                  <w:tcW w:w="1026" w:type="dxa"/>
                  <w:vAlign w:val="center"/>
                </w:tcPr>
                <w:p w14:paraId="50357B80">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1B0D0B1E">
                  <w:pPr>
                    <w:spacing w:line="240" w:lineRule="auto"/>
                    <w:ind w:firstLine="0" w:firstLineChars="0"/>
                    <w:jc w:val="center"/>
                    <w:rPr>
                      <w:rFonts w:cs="Times New Roman"/>
                      <w:sz w:val="21"/>
                      <w:szCs w:val="21"/>
                    </w:rPr>
                  </w:pPr>
                  <w:r>
                    <w:rPr>
                      <w:rFonts w:cs="Times New Roman"/>
                      <w:sz w:val="21"/>
                      <w:szCs w:val="21"/>
                    </w:rPr>
                    <w:t>0.014071</w:t>
                  </w:r>
                </w:p>
              </w:tc>
              <w:tc>
                <w:tcPr>
                  <w:tcW w:w="993" w:type="dxa"/>
                  <w:vAlign w:val="center"/>
                </w:tcPr>
                <w:p w14:paraId="1CA3D10A">
                  <w:pPr>
                    <w:spacing w:line="240" w:lineRule="auto"/>
                    <w:ind w:firstLine="0" w:firstLineChars="0"/>
                    <w:jc w:val="center"/>
                    <w:rPr>
                      <w:rFonts w:cs="Times New Roman"/>
                      <w:sz w:val="21"/>
                      <w:szCs w:val="21"/>
                    </w:rPr>
                  </w:pPr>
                  <w:r>
                    <w:rPr>
                      <w:rFonts w:cs="Times New Roman"/>
                      <w:sz w:val="21"/>
                      <w:szCs w:val="21"/>
                    </w:rPr>
                    <w:t>1.56</w:t>
                  </w:r>
                </w:p>
              </w:tc>
            </w:tr>
            <w:tr w14:paraId="7C37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881E6F5">
                  <w:pPr>
                    <w:spacing w:line="240" w:lineRule="auto"/>
                    <w:ind w:firstLine="0" w:firstLineChars="0"/>
                    <w:jc w:val="center"/>
                    <w:rPr>
                      <w:rFonts w:cs="Times New Roman"/>
                      <w:sz w:val="21"/>
                      <w:szCs w:val="21"/>
                    </w:rPr>
                  </w:pPr>
                  <w:r>
                    <w:rPr>
                      <w:rFonts w:cs="Times New Roman"/>
                      <w:sz w:val="21"/>
                      <w:szCs w:val="21"/>
                    </w:rPr>
                    <w:t>2500</w:t>
                  </w:r>
                </w:p>
              </w:tc>
              <w:tc>
                <w:tcPr>
                  <w:tcW w:w="1199" w:type="dxa"/>
                  <w:vAlign w:val="center"/>
                </w:tcPr>
                <w:p w14:paraId="798C511E">
                  <w:pPr>
                    <w:spacing w:line="240" w:lineRule="auto"/>
                    <w:ind w:firstLine="0" w:firstLineChars="0"/>
                    <w:jc w:val="center"/>
                    <w:rPr>
                      <w:rFonts w:cs="Times New Roman"/>
                      <w:sz w:val="21"/>
                      <w:szCs w:val="21"/>
                    </w:rPr>
                  </w:pPr>
                  <w:r>
                    <w:rPr>
                      <w:rFonts w:cs="Times New Roman"/>
                      <w:sz w:val="21"/>
                      <w:szCs w:val="21"/>
                    </w:rPr>
                    <w:t>0.011392</w:t>
                  </w:r>
                </w:p>
              </w:tc>
              <w:tc>
                <w:tcPr>
                  <w:tcW w:w="993" w:type="dxa"/>
                  <w:vAlign w:val="center"/>
                </w:tcPr>
                <w:p w14:paraId="419346FB">
                  <w:pPr>
                    <w:spacing w:line="240" w:lineRule="auto"/>
                    <w:ind w:firstLine="0" w:firstLineChars="0"/>
                    <w:jc w:val="center"/>
                    <w:rPr>
                      <w:rFonts w:cs="Times New Roman"/>
                      <w:sz w:val="21"/>
                      <w:szCs w:val="21"/>
                    </w:rPr>
                  </w:pPr>
                  <w:r>
                    <w:rPr>
                      <w:rFonts w:cs="Times New Roman"/>
                      <w:sz w:val="21"/>
                      <w:szCs w:val="21"/>
                    </w:rPr>
                    <w:t>1.27</w:t>
                  </w:r>
                </w:p>
              </w:tc>
              <w:tc>
                <w:tcPr>
                  <w:tcW w:w="1202" w:type="dxa"/>
                  <w:vAlign w:val="center"/>
                </w:tcPr>
                <w:p w14:paraId="1519A27C">
                  <w:pPr>
                    <w:spacing w:line="240" w:lineRule="auto"/>
                    <w:ind w:firstLine="0" w:firstLineChars="0"/>
                    <w:jc w:val="center"/>
                    <w:rPr>
                      <w:rFonts w:cs="Times New Roman"/>
                      <w:sz w:val="21"/>
                      <w:szCs w:val="21"/>
                    </w:rPr>
                  </w:pPr>
                  <w:r>
                    <w:rPr>
                      <w:rFonts w:cs="Times New Roman"/>
                      <w:sz w:val="21"/>
                      <w:szCs w:val="21"/>
                    </w:rPr>
                    <w:t>0.000554</w:t>
                  </w:r>
                </w:p>
              </w:tc>
              <w:tc>
                <w:tcPr>
                  <w:tcW w:w="993" w:type="dxa"/>
                  <w:vAlign w:val="center"/>
                </w:tcPr>
                <w:p w14:paraId="77FCA8D4">
                  <w:pPr>
                    <w:spacing w:line="240" w:lineRule="auto"/>
                    <w:ind w:firstLine="0" w:firstLineChars="0"/>
                    <w:jc w:val="center"/>
                    <w:rPr>
                      <w:rFonts w:cs="Times New Roman"/>
                      <w:sz w:val="21"/>
                      <w:szCs w:val="21"/>
                    </w:rPr>
                  </w:pPr>
                  <w:r>
                    <w:rPr>
                      <w:rFonts w:cs="Times New Roman"/>
                      <w:sz w:val="21"/>
                      <w:szCs w:val="21"/>
                    </w:rPr>
                    <w:t>0.06</w:t>
                  </w:r>
                </w:p>
              </w:tc>
              <w:tc>
                <w:tcPr>
                  <w:tcW w:w="1212" w:type="dxa"/>
                  <w:vAlign w:val="center"/>
                </w:tcPr>
                <w:p w14:paraId="10080625">
                  <w:pPr>
                    <w:spacing w:line="240" w:lineRule="auto"/>
                    <w:ind w:firstLine="0" w:firstLineChars="0"/>
                    <w:jc w:val="center"/>
                    <w:rPr>
                      <w:rFonts w:cs="Times New Roman"/>
                      <w:sz w:val="21"/>
                      <w:szCs w:val="21"/>
                    </w:rPr>
                  </w:pPr>
                  <w:r>
                    <w:rPr>
                      <w:rFonts w:cs="Times New Roman"/>
                      <w:sz w:val="21"/>
                      <w:szCs w:val="21"/>
                    </w:rPr>
                    <w:t>0.000169</w:t>
                  </w:r>
                </w:p>
              </w:tc>
              <w:tc>
                <w:tcPr>
                  <w:tcW w:w="1026" w:type="dxa"/>
                  <w:vAlign w:val="center"/>
                </w:tcPr>
                <w:p w14:paraId="77392B53">
                  <w:pPr>
                    <w:spacing w:line="240" w:lineRule="auto"/>
                    <w:ind w:firstLine="0" w:firstLineChars="0"/>
                    <w:jc w:val="center"/>
                    <w:rPr>
                      <w:rFonts w:cs="Times New Roman"/>
                      <w:sz w:val="21"/>
                      <w:szCs w:val="21"/>
                    </w:rPr>
                  </w:pPr>
                  <w:r>
                    <w:rPr>
                      <w:rFonts w:cs="Times New Roman"/>
                      <w:sz w:val="21"/>
                      <w:szCs w:val="21"/>
                    </w:rPr>
                    <w:t>0.02</w:t>
                  </w:r>
                </w:p>
              </w:tc>
              <w:tc>
                <w:tcPr>
                  <w:tcW w:w="1224" w:type="dxa"/>
                  <w:vAlign w:val="center"/>
                </w:tcPr>
                <w:p w14:paraId="3925F7F5">
                  <w:pPr>
                    <w:spacing w:line="240" w:lineRule="auto"/>
                    <w:ind w:firstLine="0" w:firstLineChars="0"/>
                    <w:jc w:val="center"/>
                    <w:rPr>
                      <w:rFonts w:cs="Times New Roman"/>
                      <w:sz w:val="21"/>
                      <w:szCs w:val="21"/>
                    </w:rPr>
                  </w:pPr>
                  <w:r>
                    <w:rPr>
                      <w:rFonts w:cs="Times New Roman"/>
                      <w:sz w:val="21"/>
                      <w:szCs w:val="21"/>
                    </w:rPr>
                    <w:t>0.01367</w:t>
                  </w:r>
                </w:p>
              </w:tc>
              <w:tc>
                <w:tcPr>
                  <w:tcW w:w="993" w:type="dxa"/>
                  <w:vAlign w:val="center"/>
                </w:tcPr>
                <w:p w14:paraId="475B5F1C">
                  <w:pPr>
                    <w:spacing w:line="240" w:lineRule="auto"/>
                    <w:ind w:firstLine="0" w:firstLineChars="0"/>
                    <w:jc w:val="center"/>
                    <w:rPr>
                      <w:rFonts w:cs="Times New Roman"/>
                      <w:sz w:val="21"/>
                      <w:szCs w:val="21"/>
                    </w:rPr>
                  </w:pPr>
                  <w:r>
                    <w:rPr>
                      <w:rFonts w:cs="Times New Roman"/>
                      <w:sz w:val="21"/>
                      <w:szCs w:val="21"/>
                    </w:rPr>
                    <w:t>1.52</w:t>
                  </w:r>
                </w:p>
              </w:tc>
            </w:tr>
          </w:tbl>
          <w:p w14:paraId="6E5E5F0D">
            <w:pPr>
              <w:pStyle w:val="31"/>
              <w:rPr>
                <w:rFonts w:cs="Times New Roman"/>
              </w:rPr>
            </w:pPr>
            <w:r>
              <w:rPr>
                <w:rFonts w:cs="Times New Roman"/>
              </w:rPr>
              <w:t>表7-</w:t>
            </w:r>
            <w:r>
              <w:rPr>
                <w:rFonts w:hint="eastAsia" w:cs="Times New Roman"/>
              </w:rPr>
              <w:t>12</w:t>
            </w:r>
            <w:r>
              <w:rPr>
                <w:rFonts w:cs="Times New Roman"/>
              </w:rPr>
              <w:t xml:space="preserve">  项目污染物下风向最大落地浓度</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2686"/>
              <w:gridCol w:w="2502"/>
              <w:gridCol w:w="2364"/>
            </w:tblGrid>
            <w:tr w14:paraId="314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41AEBAC6">
                  <w:pPr>
                    <w:pStyle w:val="52"/>
                    <w:rPr>
                      <w:color w:val="auto"/>
                    </w:rPr>
                  </w:pPr>
                  <w:r>
                    <w:rPr>
                      <w:color w:val="auto"/>
                    </w:rPr>
                    <w:t>污染源及污染物</w:t>
                  </w:r>
                </w:p>
              </w:tc>
              <w:tc>
                <w:tcPr>
                  <w:tcW w:w="2686" w:type="dxa"/>
                  <w:vAlign w:val="center"/>
                </w:tcPr>
                <w:p w14:paraId="4986E4F3">
                  <w:pPr>
                    <w:pStyle w:val="52"/>
                    <w:rPr>
                      <w:color w:val="auto"/>
                      <w:szCs w:val="21"/>
                    </w:rPr>
                  </w:pPr>
                  <w:r>
                    <w:rPr>
                      <w:color w:val="auto"/>
                      <w:szCs w:val="21"/>
                    </w:rPr>
                    <w:t>下风向预测最大浓度C</w:t>
                  </w:r>
                  <w:r>
                    <w:rPr>
                      <w:color w:val="auto"/>
                      <w:szCs w:val="21"/>
                      <w:vertAlign w:val="subscript"/>
                    </w:rPr>
                    <w:t>max</w:t>
                  </w:r>
                  <w:r>
                    <w:rPr>
                      <w:color w:val="auto"/>
                      <w:szCs w:val="21"/>
                    </w:rPr>
                    <w:t>（mg/m</w:t>
                  </w:r>
                  <w:r>
                    <w:rPr>
                      <w:color w:val="auto"/>
                      <w:szCs w:val="21"/>
                      <w:vertAlign w:val="superscript"/>
                    </w:rPr>
                    <w:t>3</w:t>
                  </w:r>
                  <w:r>
                    <w:rPr>
                      <w:color w:val="auto"/>
                      <w:szCs w:val="21"/>
                    </w:rPr>
                    <w:t>）</w:t>
                  </w:r>
                </w:p>
              </w:tc>
              <w:tc>
                <w:tcPr>
                  <w:tcW w:w="2502" w:type="dxa"/>
                  <w:vAlign w:val="center"/>
                </w:tcPr>
                <w:p w14:paraId="42830647">
                  <w:pPr>
                    <w:pStyle w:val="52"/>
                    <w:rPr>
                      <w:color w:val="auto"/>
                      <w:szCs w:val="21"/>
                    </w:rPr>
                  </w:pPr>
                  <w:r>
                    <w:rPr>
                      <w:color w:val="auto"/>
                      <w:szCs w:val="21"/>
                    </w:rPr>
                    <w:t>最大浓度占标率</w:t>
                  </w:r>
                </w:p>
                <w:p w14:paraId="0C79233A">
                  <w:pPr>
                    <w:pStyle w:val="52"/>
                    <w:rPr>
                      <w:color w:val="auto"/>
                      <w:szCs w:val="21"/>
                    </w:rPr>
                  </w:pPr>
                  <w:r>
                    <w:rPr>
                      <w:color w:val="auto"/>
                      <w:szCs w:val="21"/>
                    </w:rPr>
                    <w:t>P</w:t>
                  </w:r>
                  <w:r>
                    <w:rPr>
                      <w:color w:val="auto"/>
                      <w:szCs w:val="21"/>
                      <w:vertAlign w:val="subscript"/>
                    </w:rPr>
                    <w:t>max</w:t>
                  </w:r>
                  <w:r>
                    <w:rPr>
                      <w:color w:val="auto"/>
                      <w:szCs w:val="21"/>
                    </w:rPr>
                    <w:t>/%</w:t>
                  </w:r>
                </w:p>
              </w:tc>
              <w:tc>
                <w:tcPr>
                  <w:tcW w:w="2364" w:type="dxa"/>
                  <w:vAlign w:val="center"/>
                </w:tcPr>
                <w:p w14:paraId="274A7E69">
                  <w:pPr>
                    <w:pStyle w:val="52"/>
                    <w:rPr>
                      <w:color w:val="auto"/>
                      <w:szCs w:val="21"/>
                    </w:rPr>
                  </w:pPr>
                  <w:r>
                    <w:rPr>
                      <w:color w:val="auto"/>
                      <w:szCs w:val="21"/>
                    </w:rPr>
                    <w:t>距污染源中心距离</w:t>
                  </w:r>
                </w:p>
                <w:p w14:paraId="2625CDA1">
                  <w:pPr>
                    <w:pStyle w:val="52"/>
                    <w:rPr>
                      <w:color w:val="auto"/>
                      <w:szCs w:val="21"/>
                    </w:rPr>
                  </w:pPr>
                  <w:r>
                    <w:rPr>
                      <w:color w:val="auto"/>
                      <w:szCs w:val="21"/>
                    </w:rPr>
                    <w:t>(m)</w:t>
                  </w:r>
                </w:p>
              </w:tc>
            </w:tr>
            <w:tr w14:paraId="14D7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30773761">
                  <w:pPr>
                    <w:pStyle w:val="52"/>
                    <w:rPr>
                      <w:color w:val="auto"/>
                    </w:rPr>
                  </w:pPr>
                  <w:r>
                    <w:rPr>
                      <w:color w:val="auto"/>
                    </w:rPr>
                    <w:t>采场工作面（TSP）</w:t>
                  </w:r>
                </w:p>
              </w:tc>
              <w:tc>
                <w:tcPr>
                  <w:tcW w:w="2686" w:type="dxa"/>
                  <w:vAlign w:val="center"/>
                </w:tcPr>
                <w:p w14:paraId="4AA9AFFC">
                  <w:pPr>
                    <w:spacing w:line="240" w:lineRule="auto"/>
                    <w:ind w:firstLine="0" w:firstLineChars="0"/>
                    <w:jc w:val="center"/>
                    <w:rPr>
                      <w:rFonts w:cs="Times New Roman"/>
                      <w:b/>
                      <w:sz w:val="21"/>
                      <w:szCs w:val="21"/>
                    </w:rPr>
                  </w:pPr>
                  <w:r>
                    <w:rPr>
                      <w:rFonts w:cs="Times New Roman"/>
                      <w:b/>
                      <w:sz w:val="21"/>
                      <w:szCs w:val="21"/>
                    </w:rPr>
                    <w:t>0.078077</w:t>
                  </w:r>
                </w:p>
              </w:tc>
              <w:tc>
                <w:tcPr>
                  <w:tcW w:w="2502" w:type="dxa"/>
                  <w:vAlign w:val="center"/>
                </w:tcPr>
                <w:p w14:paraId="3274DEDD">
                  <w:pPr>
                    <w:spacing w:line="240" w:lineRule="auto"/>
                    <w:ind w:firstLine="0" w:firstLineChars="0"/>
                    <w:jc w:val="center"/>
                    <w:rPr>
                      <w:rFonts w:cs="Times New Roman"/>
                      <w:b/>
                      <w:sz w:val="21"/>
                      <w:szCs w:val="21"/>
                    </w:rPr>
                  </w:pPr>
                  <w:r>
                    <w:rPr>
                      <w:rFonts w:cs="Times New Roman"/>
                      <w:b/>
                      <w:sz w:val="21"/>
                      <w:szCs w:val="21"/>
                    </w:rPr>
                    <w:t>8.68</w:t>
                  </w:r>
                </w:p>
              </w:tc>
              <w:tc>
                <w:tcPr>
                  <w:tcW w:w="2364" w:type="dxa"/>
                  <w:vAlign w:val="center"/>
                </w:tcPr>
                <w:p w14:paraId="12DC47F6">
                  <w:pPr>
                    <w:pStyle w:val="52"/>
                    <w:rPr>
                      <w:b/>
                      <w:color w:val="auto"/>
                    </w:rPr>
                  </w:pPr>
                  <w:r>
                    <w:rPr>
                      <w:b/>
                      <w:color w:val="auto"/>
                    </w:rPr>
                    <w:t>151</w:t>
                  </w:r>
                </w:p>
              </w:tc>
            </w:tr>
            <w:tr w14:paraId="206C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43054E50">
                  <w:pPr>
                    <w:pStyle w:val="52"/>
                    <w:rPr>
                      <w:color w:val="auto"/>
                    </w:rPr>
                  </w:pPr>
                  <w:r>
                    <w:rPr>
                      <w:color w:val="auto"/>
                    </w:rPr>
                    <w:t>弃渣场（TSP）</w:t>
                  </w:r>
                </w:p>
              </w:tc>
              <w:tc>
                <w:tcPr>
                  <w:tcW w:w="2686" w:type="dxa"/>
                  <w:vAlign w:val="center"/>
                </w:tcPr>
                <w:p w14:paraId="2286B520">
                  <w:pPr>
                    <w:spacing w:line="240" w:lineRule="auto"/>
                    <w:ind w:firstLine="0" w:firstLineChars="0"/>
                    <w:jc w:val="center"/>
                    <w:rPr>
                      <w:rFonts w:cs="Times New Roman"/>
                      <w:b/>
                      <w:sz w:val="21"/>
                      <w:szCs w:val="21"/>
                    </w:rPr>
                  </w:pPr>
                  <w:r>
                    <w:rPr>
                      <w:rFonts w:cs="Times New Roman"/>
                      <w:b/>
                      <w:sz w:val="21"/>
                      <w:szCs w:val="21"/>
                    </w:rPr>
                    <w:t>0.006004</w:t>
                  </w:r>
                </w:p>
              </w:tc>
              <w:tc>
                <w:tcPr>
                  <w:tcW w:w="2502" w:type="dxa"/>
                  <w:vAlign w:val="center"/>
                </w:tcPr>
                <w:p w14:paraId="0B6D0462">
                  <w:pPr>
                    <w:spacing w:line="240" w:lineRule="auto"/>
                    <w:ind w:firstLine="0" w:firstLineChars="0"/>
                    <w:jc w:val="center"/>
                    <w:rPr>
                      <w:rFonts w:cs="Times New Roman"/>
                      <w:b/>
                      <w:sz w:val="21"/>
                      <w:szCs w:val="21"/>
                    </w:rPr>
                  </w:pPr>
                  <w:r>
                    <w:rPr>
                      <w:rFonts w:cs="Times New Roman"/>
                      <w:b/>
                      <w:sz w:val="21"/>
                      <w:szCs w:val="21"/>
                    </w:rPr>
                    <w:t>0.67</w:t>
                  </w:r>
                </w:p>
              </w:tc>
              <w:tc>
                <w:tcPr>
                  <w:tcW w:w="2364" w:type="dxa"/>
                  <w:vAlign w:val="center"/>
                </w:tcPr>
                <w:p w14:paraId="4922913B">
                  <w:pPr>
                    <w:pStyle w:val="52"/>
                    <w:rPr>
                      <w:b/>
                      <w:color w:val="auto"/>
                    </w:rPr>
                  </w:pPr>
                  <w:r>
                    <w:rPr>
                      <w:b/>
                      <w:color w:val="auto"/>
                    </w:rPr>
                    <w:t>51</w:t>
                  </w:r>
                </w:p>
              </w:tc>
            </w:tr>
            <w:tr w14:paraId="5C8C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0D864A02">
                  <w:pPr>
                    <w:pStyle w:val="52"/>
                    <w:rPr>
                      <w:color w:val="auto"/>
                    </w:rPr>
                  </w:pPr>
                  <w:r>
                    <w:rPr>
                      <w:color w:val="auto"/>
                    </w:rPr>
                    <w:t>堆料场（TSP）</w:t>
                  </w:r>
                </w:p>
              </w:tc>
              <w:tc>
                <w:tcPr>
                  <w:tcW w:w="2686" w:type="dxa"/>
                  <w:vAlign w:val="center"/>
                </w:tcPr>
                <w:p w14:paraId="618F8898">
                  <w:pPr>
                    <w:spacing w:line="240" w:lineRule="auto"/>
                    <w:ind w:firstLine="0" w:firstLineChars="0"/>
                    <w:jc w:val="center"/>
                    <w:rPr>
                      <w:rFonts w:cs="Times New Roman"/>
                      <w:b/>
                      <w:sz w:val="21"/>
                      <w:szCs w:val="21"/>
                    </w:rPr>
                  </w:pPr>
                  <w:r>
                    <w:rPr>
                      <w:rFonts w:cs="Times New Roman"/>
                      <w:b/>
                      <w:sz w:val="21"/>
                      <w:szCs w:val="21"/>
                    </w:rPr>
                    <w:t>0.000957</w:t>
                  </w:r>
                </w:p>
              </w:tc>
              <w:tc>
                <w:tcPr>
                  <w:tcW w:w="2502" w:type="dxa"/>
                  <w:vAlign w:val="center"/>
                </w:tcPr>
                <w:p w14:paraId="69F65C64">
                  <w:pPr>
                    <w:spacing w:line="240" w:lineRule="auto"/>
                    <w:ind w:firstLine="0" w:firstLineChars="0"/>
                    <w:jc w:val="center"/>
                    <w:rPr>
                      <w:rFonts w:cs="Times New Roman"/>
                      <w:b/>
                      <w:sz w:val="21"/>
                      <w:szCs w:val="21"/>
                    </w:rPr>
                  </w:pPr>
                  <w:r>
                    <w:rPr>
                      <w:rFonts w:cs="Times New Roman"/>
                      <w:b/>
                      <w:sz w:val="21"/>
                      <w:szCs w:val="21"/>
                    </w:rPr>
                    <w:t>0.11</w:t>
                  </w:r>
                </w:p>
              </w:tc>
              <w:tc>
                <w:tcPr>
                  <w:tcW w:w="2364" w:type="dxa"/>
                  <w:vAlign w:val="center"/>
                </w:tcPr>
                <w:p w14:paraId="089A0258">
                  <w:pPr>
                    <w:pStyle w:val="52"/>
                    <w:rPr>
                      <w:b/>
                      <w:color w:val="auto"/>
                    </w:rPr>
                  </w:pPr>
                  <w:r>
                    <w:rPr>
                      <w:b/>
                      <w:color w:val="auto"/>
                    </w:rPr>
                    <w:t>107</w:t>
                  </w:r>
                </w:p>
              </w:tc>
            </w:tr>
            <w:tr w14:paraId="263F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4290E120">
                  <w:pPr>
                    <w:pStyle w:val="52"/>
                    <w:rPr>
                      <w:color w:val="auto"/>
                    </w:rPr>
                  </w:pPr>
                  <w:r>
                    <w:rPr>
                      <w:color w:val="auto"/>
                    </w:rPr>
                    <w:t>生产加工区（TSP）</w:t>
                  </w:r>
                </w:p>
              </w:tc>
              <w:tc>
                <w:tcPr>
                  <w:tcW w:w="2686" w:type="dxa"/>
                  <w:vAlign w:val="center"/>
                </w:tcPr>
                <w:p w14:paraId="528039D4">
                  <w:pPr>
                    <w:spacing w:line="240" w:lineRule="auto"/>
                    <w:ind w:firstLine="0" w:firstLineChars="0"/>
                    <w:jc w:val="center"/>
                    <w:rPr>
                      <w:rFonts w:cs="Times New Roman"/>
                      <w:b/>
                      <w:sz w:val="21"/>
                      <w:szCs w:val="21"/>
                    </w:rPr>
                  </w:pPr>
                  <w:r>
                    <w:rPr>
                      <w:rFonts w:cs="Times New Roman"/>
                      <w:b/>
                      <w:sz w:val="21"/>
                      <w:szCs w:val="21"/>
                    </w:rPr>
                    <w:t>0.083946</w:t>
                  </w:r>
                </w:p>
              </w:tc>
              <w:tc>
                <w:tcPr>
                  <w:tcW w:w="2502" w:type="dxa"/>
                  <w:vAlign w:val="center"/>
                </w:tcPr>
                <w:p w14:paraId="7DE55EC9">
                  <w:pPr>
                    <w:spacing w:line="240" w:lineRule="auto"/>
                    <w:ind w:firstLine="0" w:firstLineChars="0"/>
                    <w:jc w:val="center"/>
                    <w:rPr>
                      <w:rFonts w:cs="Times New Roman"/>
                      <w:b/>
                      <w:sz w:val="21"/>
                      <w:szCs w:val="21"/>
                    </w:rPr>
                  </w:pPr>
                  <w:r>
                    <w:rPr>
                      <w:rFonts w:cs="Times New Roman"/>
                      <w:b/>
                      <w:sz w:val="21"/>
                      <w:szCs w:val="21"/>
                    </w:rPr>
                    <w:t>9.33</w:t>
                  </w:r>
                </w:p>
              </w:tc>
              <w:tc>
                <w:tcPr>
                  <w:tcW w:w="2364" w:type="dxa"/>
                  <w:vAlign w:val="center"/>
                </w:tcPr>
                <w:p w14:paraId="1177910C">
                  <w:pPr>
                    <w:pStyle w:val="52"/>
                    <w:rPr>
                      <w:b/>
                      <w:color w:val="auto"/>
                    </w:rPr>
                  </w:pPr>
                  <w:r>
                    <w:rPr>
                      <w:b/>
                      <w:color w:val="auto"/>
                    </w:rPr>
                    <w:t>203</w:t>
                  </w:r>
                </w:p>
              </w:tc>
            </w:tr>
          </w:tbl>
          <w:p w14:paraId="66ED1609">
            <w:pPr>
              <w:ind w:firstLine="480"/>
              <w:jc w:val="both"/>
              <w:rPr>
                <w:rFonts w:cs="Times New Roman"/>
                <w:szCs w:val="24"/>
              </w:rPr>
            </w:pPr>
            <w:r>
              <w:rPr>
                <w:rFonts w:cs="Times New Roman"/>
                <w:szCs w:val="24"/>
              </w:rPr>
              <w:t>根据表7-8和7-9的预测结果，项目采场工作面、弃渣场、堆料场和生产加工区粉尘最大浓度占标率P</w:t>
            </w:r>
            <w:r>
              <w:rPr>
                <w:rFonts w:cs="Times New Roman"/>
                <w:szCs w:val="24"/>
                <w:vertAlign w:val="subscript"/>
              </w:rPr>
              <w:t>max</w:t>
            </w:r>
            <w:r>
              <w:rPr>
                <w:rFonts w:cs="Times New Roman"/>
                <w:szCs w:val="24"/>
              </w:rPr>
              <w:t>分别为8.68%&lt;10%、0.67%&lt;10%、0.11%&lt;10%，9.33%&lt;10%，粉尘最大落地浓度分别位于污染源下风向151m、51m、107m、203m处，最大落地浓度分别为</w:t>
            </w:r>
            <w:r>
              <w:rPr>
                <w:rFonts w:cs="Times New Roman"/>
              </w:rPr>
              <w:t>0.078077</w:t>
            </w:r>
            <w:r>
              <w:rPr>
                <w:rFonts w:cs="Times New Roman"/>
                <w:szCs w:val="24"/>
              </w:rPr>
              <w:t>mg/m</w:t>
            </w:r>
            <w:r>
              <w:rPr>
                <w:rFonts w:cs="Times New Roman"/>
                <w:szCs w:val="24"/>
                <w:vertAlign w:val="superscript"/>
              </w:rPr>
              <w:t>3</w:t>
            </w:r>
            <w:r>
              <w:rPr>
                <w:rFonts w:cs="Times New Roman"/>
                <w:szCs w:val="24"/>
              </w:rPr>
              <w:t>、</w:t>
            </w:r>
            <w:r>
              <w:rPr>
                <w:rFonts w:cs="Times New Roman"/>
              </w:rPr>
              <w:t>0.006004</w:t>
            </w:r>
            <w:r>
              <w:rPr>
                <w:rFonts w:cs="Times New Roman"/>
                <w:szCs w:val="24"/>
              </w:rPr>
              <w:t>mg/m</w:t>
            </w:r>
            <w:r>
              <w:rPr>
                <w:rFonts w:cs="Times New Roman"/>
                <w:szCs w:val="24"/>
                <w:vertAlign w:val="superscript"/>
              </w:rPr>
              <w:t>3</w:t>
            </w:r>
            <w:r>
              <w:rPr>
                <w:rFonts w:cs="Times New Roman"/>
                <w:szCs w:val="24"/>
              </w:rPr>
              <w:t>、</w:t>
            </w:r>
            <w:r>
              <w:rPr>
                <w:rFonts w:cs="Times New Roman"/>
              </w:rPr>
              <w:t>0.000957</w:t>
            </w:r>
            <w:r>
              <w:rPr>
                <w:rFonts w:cs="Times New Roman"/>
                <w:szCs w:val="24"/>
              </w:rPr>
              <w:t>mg/m</w:t>
            </w:r>
            <w:r>
              <w:rPr>
                <w:rFonts w:cs="Times New Roman"/>
                <w:szCs w:val="24"/>
                <w:vertAlign w:val="superscript"/>
              </w:rPr>
              <w:t>3</w:t>
            </w:r>
            <w:r>
              <w:rPr>
                <w:rFonts w:cs="Times New Roman"/>
                <w:szCs w:val="24"/>
              </w:rPr>
              <w:t>、</w:t>
            </w:r>
            <w:r>
              <w:rPr>
                <w:rFonts w:cs="Times New Roman"/>
              </w:rPr>
              <w:t>0.083946</w:t>
            </w:r>
            <w:r>
              <w:rPr>
                <w:rFonts w:cs="Times New Roman"/>
                <w:szCs w:val="24"/>
              </w:rPr>
              <w:t>mg/m</w:t>
            </w:r>
            <w:r>
              <w:rPr>
                <w:rFonts w:cs="Times New Roman"/>
                <w:szCs w:val="24"/>
                <w:vertAlign w:val="superscript"/>
              </w:rPr>
              <w:t>3</w:t>
            </w:r>
            <w:r>
              <w:rPr>
                <w:rFonts w:cs="Times New Roman"/>
                <w:szCs w:val="24"/>
              </w:rPr>
              <w:t>，远小于标准值1.0mg/m</w:t>
            </w:r>
            <w:r>
              <w:rPr>
                <w:rFonts w:cs="Times New Roman"/>
                <w:szCs w:val="24"/>
                <w:vertAlign w:val="superscript"/>
              </w:rPr>
              <w:t>3</w:t>
            </w:r>
            <w:r>
              <w:rPr>
                <w:rFonts w:cs="Times New Roman"/>
                <w:szCs w:val="24"/>
              </w:rPr>
              <w:t>，落地浓度能够满足</w:t>
            </w:r>
            <w:r>
              <w:rPr>
                <w:rFonts w:cs="Times New Roman"/>
              </w:rPr>
              <w:t>《大气污染物综合排放标准》（GB16297-1996）表2无组织排放监控浓度限值</w:t>
            </w:r>
            <w:r>
              <w:rPr>
                <w:rFonts w:cs="Times New Roman"/>
                <w:szCs w:val="24"/>
              </w:rPr>
              <w:t>要求，对大气环境影响较小。</w:t>
            </w:r>
          </w:p>
          <w:p w14:paraId="144C4A20">
            <w:pPr>
              <w:ind w:firstLine="480"/>
              <w:jc w:val="both"/>
              <w:rPr>
                <w:rFonts w:cs="Times New Roman"/>
              </w:rPr>
            </w:pPr>
            <w:r>
              <w:rPr>
                <w:rFonts w:cs="Times New Roman"/>
              </w:rPr>
              <w:t>项目区所处区域全年主导风向为西南风，项目区下风向最近的保护目标为西南侧300m处的芦姐萨村，距离较远，项目区运营期产生的粉尘对其影响不大。</w:t>
            </w:r>
          </w:p>
          <w:p w14:paraId="6DB8B092">
            <w:pPr>
              <w:ind w:firstLine="480"/>
              <w:jc w:val="both"/>
              <w:rPr>
                <w:rFonts w:cs="Times New Roman"/>
              </w:rPr>
            </w:pPr>
            <w:r>
              <w:rPr>
                <w:rFonts w:hint="eastAsia" w:ascii="宋体" w:hAnsi="宋体" w:cs="宋体"/>
              </w:rPr>
              <w:t>④</w:t>
            </w:r>
            <w:r>
              <w:rPr>
                <w:rFonts w:cs="Times New Roman"/>
              </w:rPr>
              <w:t>大气防护距离估算</w:t>
            </w:r>
          </w:p>
          <w:p w14:paraId="421071D4">
            <w:pPr>
              <w:ind w:firstLine="480"/>
              <w:jc w:val="both"/>
              <w:rPr>
                <w:rFonts w:cs="Times New Roman"/>
              </w:rPr>
            </w:pPr>
            <w:r>
              <w:rPr>
                <w:rFonts w:cs="Times New Roman"/>
                <w:kern w:val="0"/>
              </w:rPr>
              <w:t>本项目大气评价等级为二级，根据表 7-8 的预测结果，本项目排放的颗粒物厂界外短期贡献浓度满足《环境空气质量标准》（GB3095—2012）中二级标准要求。故无需计算大气环境防护距离，无需设置大气环境防护距离。</w:t>
            </w:r>
          </w:p>
          <w:p w14:paraId="50640B66">
            <w:pPr>
              <w:ind w:firstLine="480"/>
              <w:jc w:val="both"/>
              <w:rPr>
                <w:rFonts w:cs="Times New Roman"/>
              </w:rPr>
            </w:pPr>
            <w:r>
              <w:rPr>
                <w:rFonts w:cs="Times New Roman"/>
              </w:rPr>
              <w:t>（2）厨房油烟</w:t>
            </w:r>
          </w:p>
          <w:p w14:paraId="216F27E5">
            <w:pPr>
              <w:ind w:firstLine="480"/>
              <w:jc w:val="both"/>
              <w:rPr>
                <w:rFonts w:cs="Times New Roman"/>
              </w:rPr>
            </w:pPr>
            <w:r>
              <w:rPr>
                <w:rFonts w:cs="Times New Roman"/>
              </w:rPr>
              <w:t>改项目厨房使用电为能源，产生的污染较小，经工程分析，厨房油烟经小型油烟净化器处理后的排放浓度为0.89mg/m</w:t>
            </w:r>
            <w:r>
              <w:rPr>
                <w:rFonts w:cs="Times New Roman"/>
                <w:vertAlign w:val="superscript"/>
              </w:rPr>
              <w:t>3</w:t>
            </w:r>
            <w:r>
              <w:rPr>
                <w:rFonts w:cs="Times New Roman"/>
              </w:rPr>
              <w:t>，能够满足GB18483-2001《饮食业油烟排放标准》排放要求，即油烟最高允许排放浓度≤2.0mg/m</w:t>
            </w:r>
            <w:r>
              <w:rPr>
                <w:rFonts w:cs="Times New Roman"/>
                <w:vertAlign w:val="superscript"/>
              </w:rPr>
              <w:t>3</w:t>
            </w:r>
            <w:r>
              <w:rPr>
                <w:rFonts w:cs="Times New Roman"/>
              </w:rPr>
              <w:t>，本项目油烟排放量少且时间短，经空气稀释后对大气环境影响不大。</w:t>
            </w:r>
          </w:p>
          <w:p w14:paraId="201B2CAD">
            <w:pPr>
              <w:ind w:firstLine="482"/>
              <w:rPr>
                <w:rFonts w:cs="Times New Roman"/>
                <w:b/>
              </w:rPr>
            </w:pPr>
            <w:r>
              <w:rPr>
                <w:rFonts w:cs="Times New Roman"/>
                <w:b/>
              </w:rPr>
              <w:t>2、地表水环境影响分析</w:t>
            </w:r>
          </w:p>
          <w:p w14:paraId="1ABD7053">
            <w:pPr>
              <w:ind w:firstLine="480"/>
              <w:rPr>
                <w:rFonts w:cs="Times New Roman"/>
                <w:szCs w:val="24"/>
              </w:rPr>
            </w:pPr>
            <w:r>
              <w:rPr>
                <w:rFonts w:cs="Times New Roman"/>
                <w:szCs w:val="24"/>
              </w:rPr>
              <w:t>项目运营期废水主要为生活污水、弃渣场和露天采场</w:t>
            </w:r>
            <w:r>
              <w:rPr>
                <w:rFonts w:hint="eastAsia" w:cs="Times New Roman"/>
                <w:bCs/>
                <w:color w:val="FF0000"/>
              </w:rPr>
              <w:t>初期雨水</w:t>
            </w:r>
            <w:r>
              <w:rPr>
                <w:rFonts w:cs="Times New Roman"/>
                <w:szCs w:val="24"/>
              </w:rPr>
              <w:t>。</w:t>
            </w:r>
          </w:p>
          <w:p w14:paraId="26483B00">
            <w:pPr>
              <w:ind w:firstLine="480"/>
              <w:rPr>
                <w:rFonts w:cs="Times New Roman"/>
                <w:szCs w:val="24"/>
              </w:rPr>
            </w:pPr>
            <w:r>
              <w:rPr>
                <w:rFonts w:cs="Times New Roman"/>
                <w:szCs w:val="24"/>
              </w:rPr>
              <w:t>（1）生活污水</w:t>
            </w:r>
          </w:p>
          <w:p w14:paraId="0F83ACE2">
            <w:pPr>
              <w:pStyle w:val="43"/>
              <w:spacing w:line="360" w:lineRule="auto"/>
              <w:ind w:firstLine="480"/>
              <w:rPr>
                <w:rFonts w:cs="Times New Roman"/>
                <w:szCs w:val="24"/>
              </w:rPr>
            </w:pPr>
            <w:r>
              <w:rPr>
                <w:rFonts w:cs="Times New Roman"/>
                <w:szCs w:val="24"/>
              </w:rPr>
              <w:t>根据工程分析，项目生活污水产生量为3.2m</w:t>
            </w:r>
            <w:r>
              <w:rPr>
                <w:rFonts w:cs="Times New Roman"/>
                <w:szCs w:val="24"/>
                <w:vertAlign w:val="superscript"/>
              </w:rPr>
              <w:t>3</w:t>
            </w:r>
            <w:r>
              <w:rPr>
                <w:rFonts w:cs="Times New Roman"/>
                <w:szCs w:val="24"/>
              </w:rPr>
              <w:t>/d，其中员工厨房废水为0.96m</w:t>
            </w:r>
            <w:r>
              <w:rPr>
                <w:rFonts w:cs="Times New Roman"/>
                <w:szCs w:val="24"/>
                <w:vertAlign w:val="superscript"/>
              </w:rPr>
              <w:t>3</w:t>
            </w:r>
            <w:r>
              <w:rPr>
                <w:rFonts w:cs="Times New Roman"/>
                <w:szCs w:val="24"/>
              </w:rPr>
              <w:t>/d，员工办公、住宿废水为2.24m</w:t>
            </w:r>
            <w:r>
              <w:rPr>
                <w:rFonts w:cs="Times New Roman"/>
                <w:szCs w:val="24"/>
                <w:vertAlign w:val="superscript"/>
              </w:rPr>
              <w:t>3</w:t>
            </w:r>
            <w:r>
              <w:rPr>
                <w:rFonts w:cs="Times New Roman"/>
                <w:szCs w:val="24"/>
              </w:rPr>
              <w:t>/d，员工厨房废水经隔油池（2m</w:t>
            </w:r>
            <w:r>
              <w:rPr>
                <w:rFonts w:cs="Times New Roman"/>
                <w:szCs w:val="24"/>
                <w:vertAlign w:val="superscript"/>
              </w:rPr>
              <w:t>3</w:t>
            </w:r>
            <w:r>
              <w:rPr>
                <w:rFonts w:cs="Times New Roman"/>
                <w:szCs w:val="24"/>
              </w:rPr>
              <w:t>）处理后和员工办公、住宿废水一起经化粪池（12m</w:t>
            </w:r>
            <w:r>
              <w:rPr>
                <w:rFonts w:cs="Times New Roman"/>
                <w:szCs w:val="24"/>
                <w:vertAlign w:val="superscript"/>
              </w:rPr>
              <w:t>3</w:t>
            </w:r>
            <w:r>
              <w:rPr>
                <w:rFonts w:cs="Times New Roman"/>
                <w:szCs w:val="24"/>
              </w:rPr>
              <w:t>和5m</w:t>
            </w:r>
            <w:r>
              <w:rPr>
                <w:rFonts w:cs="Times New Roman"/>
                <w:szCs w:val="24"/>
                <w:vertAlign w:val="superscript"/>
              </w:rPr>
              <w:t>3</w:t>
            </w:r>
            <w:r>
              <w:rPr>
                <w:rFonts w:cs="Times New Roman"/>
                <w:szCs w:val="24"/>
              </w:rPr>
              <w:t>）处理后用于项目绿化施肥，不外排。</w:t>
            </w:r>
          </w:p>
          <w:p w14:paraId="5619F75B">
            <w:pPr>
              <w:ind w:firstLine="480"/>
              <w:rPr>
                <w:rFonts w:cs="Times New Roman"/>
                <w:szCs w:val="24"/>
              </w:rPr>
            </w:pPr>
            <w:r>
              <w:rPr>
                <w:rFonts w:cs="Times New Roman"/>
                <w:szCs w:val="24"/>
              </w:rPr>
              <w:t>（2）弃渣场和露天采场</w:t>
            </w:r>
            <w:r>
              <w:rPr>
                <w:rFonts w:hint="eastAsia" w:cs="Times New Roman"/>
                <w:bCs/>
                <w:color w:val="FF0000"/>
              </w:rPr>
              <w:t>初期雨水</w:t>
            </w:r>
          </w:p>
          <w:p w14:paraId="5B7F190B">
            <w:pPr>
              <w:ind w:firstLine="480"/>
              <w:rPr>
                <w:rFonts w:cs="Times New Roman"/>
                <w:szCs w:val="24"/>
              </w:rPr>
            </w:pPr>
            <w:r>
              <w:rPr>
                <w:rFonts w:cs="Times New Roman"/>
                <w:szCs w:val="24"/>
              </w:rPr>
              <w:t>项目弃渣场和露天采场</w:t>
            </w:r>
            <w:r>
              <w:rPr>
                <w:rFonts w:hint="eastAsia" w:cs="Times New Roman"/>
                <w:bCs/>
                <w:color w:val="FF0000"/>
              </w:rPr>
              <w:t>初期雨水</w:t>
            </w:r>
            <w:r>
              <w:rPr>
                <w:rFonts w:cs="Times New Roman"/>
                <w:szCs w:val="24"/>
              </w:rPr>
              <w:t>产生量为</w:t>
            </w:r>
            <w:r>
              <w:rPr>
                <w:rFonts w:cs="Times New Roman"/>
              </w:rPr>
              <w:t>748.2</w:t>
            </w:r>
            <w:r>
              <w:rPr>
                <w:rFonts w:cs="Times New Roman"/>
                <w:szCs w:val="24"/>
              </w:rPr>
              <w:t>m</w:t>
            </w:r>
            <w:r>
              <w:rPr>
                <w:rFonts w:cs="Times New Roman"/>
                <w:szCs w:val="24"/>
                <w:vertAlign w:val="superscript"/>
              </w:rPr>
              <w:t>3</w:t>
            </w:r>
            <w:r>
              <w:rPr>
                <w:rFonts w:cs="Times New Roman"/>
                <w:szCs w:val="24"/>
              </w:rPr>
              <w:t>/ d，通过排水沟排入雨水沉淀池进行沉淀处理外排。</w:t>
            </w:r>
          </w:p>
          <w:p w14:paraId="1385F631">
            <w:pPr>
              <w:ind w:firstLine="480"/>
              <w:rPr>
                <w:rFonts w:cs="Times New Roman"/>
              </w:rPr>
            </w:pPr>
            <w:r>
              <w:rPr>
                <w:rFonts w:cs="Times New Roman"/>
                <w:bCs/>
              </w:rPr>
              <w:t>本环评要求于生产加工区东北侧低洼处设置1个雨水沉淀池。雨水沉淀池的容积按沉淀时间不小于6h雨水量进行考虑，雨水沉淀池的容积不应小于100m</w:t>
            </w:r>
            <w:r>
              <w:rPr>
                <w:rFonts w:cs="Times New Roman"/>
                <w:bCs/>
                <w:vertAlign w:val="superscript"/>
              </w:rPr>
              <w:t>3</w:t>
            </w:r>
            <w:r>
              <w:rPr>
                <w:rFonts w:cs="Times New Roman"/>
                <w:bCs/>
              </w:rPr>
              <w:t>。</w:t>
            </w:r>
          </w:p>
          <w:p w14:paraId="1E680544">
            <w:pPr>
              <w:ind w:firstLine="482"/>
              <w:rPr>
                <w:rFonts w:cs="Times New Roman"/>
                <w:b/>
              </w:rPr>
            </w:pPr>
            <w:r>
              <w:rPr>
                <w:rFonts w:cs="Times New Roman"/>
                <w:b/>
              </w:rPr>
              <w:t>3、声环境影响分析</w:t>
            </w:r>
          </w:p>
          <w:p w14:paraId="6A79CD68">
            <w:pPr>
              <w:ind w:firstLine="480"/>
              <w:rPr>
                <w:rFonts w:cs="Times New Roman"/>
              </w:rPr>
            </w:pPr>
            <w:r>
              <w:rPr>
                <w:rFonts w:cs="Times New Roman"/>
              </w:rPr>
              <w:t>（1）噪声源分析</w:t>
            </w:r>
          </w:p>
          <w:p w14:paraId="0FB6C99E">
            <w:pPr>
              <w:ind w:firstLine="480"/>
              <w:rPr>
                <w:rFonts w:cs="Times New Roman"/>
              </w:rPr>
            </w:pPr>
            <w:r>
              <w:rPr>
                <w:rFonts w:cs="Times New Roman"/>
              </w:rPr>
              <w:t>项目噪声污染源主要来自露天开采、爆破、采矿机械设备运行、运输车辆等，其源强为75～110dB(A)，具体见表5-7，因爆破噪声具有周期性，本环评对爆破噪声单独分析。</w:t>
            </w:r>
          </w:p>
          <w:p w14:paraId="71F0BF10">
            <w:pPr>
              <w:ind w:firstLine="480"/>
              <w:rPr>
                <w:rFonts w:cs="Times New Roman"/>
              </w:rPr>
            </w:pPr>
            <w:r>
              <w:rPr>
                <w:rFonts w:hint="eastAsia" w:ascii="宋体" w:hAnsi="宋体" w:cs="宋体"/>
              </w:rPr>
              <w:t>①</w:t>
            </w:r>
            <w:r>
              <w:rPr>
                <w:rFonts w:cs="Times New Roman"/>
              </w:rPr>
              <w:t>爆破噪声影响分析</w:t>
            </w:r>
          </w:p>
          <w:p w14:paraId="3D8860F5">
            <w:pPr>
              <w:ind w:firstLine="480"/>
              <w:rPr>
                <w:rFonts w:cs="Times New Roman"/>
              </w:rPr>
            </w:pPr>
            <w:r>
              <w:rPr>
                <w:rFonts w:cs="Times New Roman"/>
              </w:rPr>
              <w:t>A、爆破噪声</w:t>
            </w:r>
          </w:p>
          <w:p w14:paraId="7909397B">
            <w:pPr>
              <w:ind w:firstLine="480"/>
              <w:rPr>
                <w:rFonts w:cs="Times New Roman"/>
              </w:rPr>
            </w:pPr>
            <w:r>
              <w:rPr>
                <w:rFonts w:cs="Times New Roman"/>
              </w:rPr>
              <w:t>项目爆破产生的噪声声级约110dB(A)，由于爆破不与别的工序同时进行，因此爆破不存在噪声叠加，根据上述的噪声衰减公式，可计算出爆破噪声的衰减结果如表7-1</w:t>
            </w:r>
            <w:r>
              <w:rPr>
                <w:rFonts w:hint="eastAsia" w:cs="Times New Roman"/>
              </w:rPr>
              <w:t>3</w:t>
            </w:r>
            <w:r>
              <w:rPr>
                <w:rFonts w:cs="Times New Roman"/>
              </w:rPr>
              <w:t>。</w:t>
            </w:r>
          </w:p>
          <w:p w14:paraId="40A4C455">
            <w:pPr>
              <w:pStyle w:val="31"/>
              <w:rPr>
                <w:rFonts w:cs="Times New Roman"/>
              </w:rPr>
            </w:pPr>
            <w:r>
              <w:rPr>
                <w:rFonts w:cs="Times New Roman"/>
              </w:rPr>
              <w:t>表7-1</w:t>
            </w:r>
            <w:r>
              <w:rPr>
                <w:rFonts w:hint="eastAsia" w:cs="Times New Roman"/>
              </w:rPr>
              <w:t>3</w:t>
            </w:r>
            <w:r>
              <w:rPr>
                <w:rFonts w:cs="Times New Roman"/>
              </w:rPr>
              <w:t xml:space="preserve">  不同距离的爆破噪声衰减结果</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789"/>
              <w:gridCol w:w="968"/>
              <w:gridCol w:w="968"/>
              <w:gridCol w:w="970"/>
              <w:gridCol w:w="923"/>
              <w:gridCol w:w="900"/>
              <w:gridCol w:w="900"/>
              <w:gridCol w:w="896"/>
            </w:tblGrid>
            <w:tr w14:paraId="5AAD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83" w:type="dxa"/>
                  <w:vAlign w:val="center"/>
                </w:tcPr>
                <w:p w14:paraId="5F9E85AE">
                  <w:pPr>
                    <w:pStyle w:val="32"/>
                    <w:rPr>
                      <w:rFonts w:cs="Times New Roman"/>
                    </w:rPr>
                  </w:pPr>
                  <w:r>
                    <w:rPr>
                      <w:rFonts w:cs="Times New Roman"/>
                    </w:rPr>
                    <w:t>距离声源距离（m）</w:t>
                  </w:r>
                </w:p>
              </w:tc>
              <w:tc>
                <w:tcPr>
                  <w:tcW w:w="789" w:type="dxa"/>
                  <w:vAlign w:val="center"/>
                </w:tcPr>
                <w:p w14:paraId="266E265C">
                  <w:pPr>
                    <w:pStyle w:val="32"/>
                    <w:rPr>
                      <w:rFonts w:cs="Times New Roman"/>
                    </w:rPr>
                  </w:pPr>
                  <w:r>
                    <w:rPr>
                      <w:rFonts w:cs="Times New Roman"/>
                    </w:rPr>
                    <w:t>1</w:t>
                  </w:r>
                </w:p>
              </w:tc>
              <w:tc>
                <w:tcPr>
                  <w:tcW w:w="968" w:type="dxa"/>
                  <w:vAlign w:val="center"/>
                </w:tcPr>
                <w:p w14:paraId="7CC631F1">
                  <w:pPr>
                    <w:pStyle w:val="32"/>
                    <w:rPr>
                      <w:rFonts w:cs="Times New Roman"/>
                    </w:rPr>
                  </w:pPr>
                  <w:r>
                    <w:rPr>
                      <w:rFonts w:cs="Times New Roman"/>
                    </w:rPr>
                    <w:t>50</w:t>
                  </w:r>
                </w:p>
              </w:tc>
              <w:tc>
                <w:tcPr>
                  <w:tcW w:w="968" w:type="dxa"/>
                  <w:vAlign w:val="center"/>
                </w:tcPr>
                <w:p w14:paraId="7EC45A8B">
                  <w:pPr>
                    <w:pStyle w:val="32"/>
                    <w:rPr>
                      <w:rFonts w:cs="Times New Roman"/>
                    </w:rPr>
                  </w:pPr>
                  <w:r>
                    <w:rPr>
                      <w:rFonts w:cs="Times New Roman"/>
                    </w:rPr>
                    <w:t>100</w:t>
                  </w:r>
                </w:p>
              </w:tc>
              <w:tc>
                <w:tcPr>
                  <w:tcW w:w="970" w:type="dxa"/>
                  <w:vAlign w:val="center"/>
                </w:tcPr>
                <w:p w14:paraId="4ABF13D8">
                  <w:pPr>
                    <w:pStyle w:val="32"/>
                    <w:rPr>
                      <w:rFonts w:cs="Times New Roman"/>
                    </w:rPr>
                  </w:pPr>
                  <w:r>
                    <w:rPr>
                      <w:rFonts w:cs="Times New Roman"/>
                    </w:rPr>
                    <w:t>200</w:t>
                  </w:r>
                </w:p>
              </w:tc>
              <w:tc>
                <w:tcPr>
                  <w:tcW w:w="923" w:type="dxa"/>
                  <w:vAlign w:val="center"/>
                </w:tcPr>
                <w:p w14:paraId="50E00397">
                  <w:pPr>
                    <w:pStyle w:val="32"/>
                    <w:rPr>
                      <w:rFonts w:cs="Times New Roman"/>
                    </w:rPr>
                  </w:pPr>
                  <w:r>
                    <w:rPr>
                      <w:rFonts w:cs="Times New Roman"/>
                    </w:rPr>
                    <w:t>300</w:t>
                  </w:r>
                </w:p>
              </w:tc>
              <w:tc>
                <w:tcPr>
                  <w:tcW w:w="900" w:type="dxa"/>
                  <w:vAlign w:val="center"/>
                </w:tcPr>
                <w:p w14:paraId="6D3D5626">
                  <w:pPr>
                    <w:pStyle w:val="32"/>
                    <w:rPr>
                      <w:rFonts w:cs="Times New Roman"/>
                    </w:rPr>
                  </w:pPr>
                  <w:r>
                    <w:rPr>
                      <w:rFonts w:cs="Times New Roman"/>
                    </w:rPr>
                    <w:t>400</w:t>
                  </w:r>
                </w:p>
              </w:tc>
              <w:tc>
                <w:tcPr>
                  <w:tcW w:w="900" w:type="dxa"/>
                  <w:vAlign w:val="center"/>
                </w:tcPr>
                <w:p w14:paraId="050A9022">
                  <w:pPr>
                    <w:pStyle w:val="32"/>
                    <w:rPr>
                      <w:rFonts w:cs="Times New Roman"/>
                    </w:rPr>
                  </w:pPr>
                  <w:r>
                    <w:rPr>
                      <w:rFonts w:cs="Times New Roman"/>
                    </w:rPr>
                    <w:t>500</w:t>
                  </w:r>
                </w:p>
              </w:tc>
              <w:tc>
                <w:tcPr>
                  <w:tcW w:w="896" w:type="dxa"/>
                  <w:vAlign w:val="center"/>
                </w:tcPr>
                <w:p w14:paraId="08617F54">
                  <w:pPr>
                    <w:pStyle w:val="32"/>
                    <w:rPr>
                      <w:rFonts w:cs="Times New Roman"/>
                    </w:rPr>
                  </w:pPr>
                  <w:r>
                    <w:rPr>
                      <w:rFonts w:cs="Times New Roman"/>
                    </w:rPr>
                    <w:t>600</w:t>
                  </w:r>
                </w:p>
              </w:tc>
            </w:tr>
            <w:tr w14:paraId="038B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83" w:type="dxa"/>
                  <w:vAlign w:val="center"/>
                </w:tcPr>
                <w:p w14:paraId="49FD7D48">
                  <w:pPr>
                    <w:pStyle w:val="32"/>
                    <w:rPr>
                      <w:rFonts w:cs="Times New Roman"/>
                    </w:rPr>
                  </w:pPr>
                  <w:r>
                    <w:rPr>
                      <w:rFonts w:cs="Times New Roman"/>
                    </w:rPr>
                    <w:t>爆破</w:t>
                  </w:r>
                </w:p>
              </w:tc>
              <w:tc>
                <w:tcPr>
                  <w:tcW w:w="789" w:type="dxa"/>
                  <w:vAlign w:val="center"/>
                </w:tcPr>
                <w:p w14:paraId="272FFF5B">
                  <w:pPr>
                    <w:pStyle w:val="32"/>
                    <w:rPr>
                      <w:rFonts w:cs="Times New Roman"/>
                    </w:rPr>
                  </w:pPr>
                  <w:r>
                    <w:rPr>
                      <w:rFonts w:cs="Times New Roman"/>
                    </w:rPr>
                    <w:t>110</w:t>
                  </w:r>
                </w:p>
              </w:tc>
              <w:tc>
                <w:tcPr>
                  <w:tcW w:w="968" w:type="dxa"/>
                  <w:vAlign w:val="center"/>
                </w:tcPr>
                <w:p w14:paraId="5C296BF0">
                  <w:pPr>
                    <w:pStyle w:val="32"/>
                    <w:rPr>
                      <w:rFonts w:cs="Times New Roman"/>
                    </w:rPr>
                  </w:pPr>
                  <w:r>
                    <w:rPr>
                      <w:rFonts w:cs="Times New Roman"/>
                    </w:rPr>
                    <w:t>76</w:t>
                  </w:r>
                </w:p>
              </w:tc>
              <w:tc>
                <w:tcPr>
                  <w:tcW w:w="968" w:type="dxa"/>
                  <w:vAlign w:val="center"/>
                </w:tcPr>
                <w:p w14:paraId="209B8A97">
                  <w:pPr>
                    <w:pStyle w:val="32"/>
                    <w:rPr>
                      <w:rFonts w:cs="Times New Roman"/>
                    </w:rPr>
                  </w:pPr>
                  <w:r>
                    <w:rPr>
                      <w:rFonts w:cs="Times New Roman"/>
                    </w:rPr>
                    <w:t>70</w:t>
                  </w:r>
                </w:p>
              </w:tc>
              <w:tc>
                <w:tcPr>
                  <w:tcW w:w="970" w:type="dxa"/>
                  <w:vAlign w:val="center"/>
                </w:tcPr>
                <w:p w14:paraId="1F78DE99">
                  <w:pPr>
                    <w:pStyle w:val="32"/>
                    <w:rPr>
                      <w:rFonts w:cs="Times New Roman"/>
                    </w:rPr>
                  </w:pPr>
                  <w:r>
                    <w:rPr>
                      <w:rFonts w:cs="Times New Roman"/>
                    </w:rPr>
                    <w:t>63.9</w:t>
                  </w:r>
                </w:p>
              </w:tc>
              <w:tc>
                <w:tcPr>
                  <w:tcW w:w="923" w:type="dxa"/>
                  <w:vAlign w:val="center"/>
                </w:tcPr>
                <w:p w14:paraId="34E11E61">
                  <w:pPr>
                    <w:pStyle w:val="32"/>
                    <w:rPr>
                      <w:rFonts w:cs="Times New Roman"/>
                    </w:rPr>
                  </w:pPr>
                  <w:r>
                    <w:rPr>
                      <w:rFonts w:cs="Times New Roman"/>
                    </w:rPr>
                    <w:t>60.5</w:t>
                  </w:r>
                </w:p>
              </w:tc>
              <w:tc>
                <w:tcPr>
                  <w:tcW w:w="900" w:type="dxa"/>
                  <w:vAlign w:val="center"/>
                </w:tcPr>
                <w:p w14:paraId="272D2D56">
                  <w:pPr>
                    <w:pStyle w:val="32"/>
                    <w:rPr>
                      <w:rFonts w:cs="Times New Roman"/>
                    </w:rPr>
                  </w:pPr>
                  <w:r>
                    <w:rPr>
                      <w:rFonts w:cs="Times New Roman"/>
                    </w:rPr>
                    <w:t>57.9</w:t>
                  </w:r>
                </w:p>
              </w:tc>
              <w:tc>
                <w:tcPr>
                  <w:tcW w:w="900" w:type="dxa"/>
                  <w:vAlign w:val="center"/>
                </w:tcPr>
                <w:p w14:paraId="2F66D199">
                  <w:pPr>
                    <w:pStyle w:val="32"/>
                    <w:rPr>
                      <w:rFonts w:cs="Times New Roman"/>
                    </w:rPr>
                  </w:pPr>
                  <w:r>
                    <w:rPr>
                      <w:rFonts w:cs="Times New Roman"/>
                    </w:rPr>
                    <w:t>56</w:t>
                  </w:r>
                </w:p>
              </w:tc>
              <w:tc>
                <w:tcPr>
                  <w:tcW w:w="896" w:type="dxa"/>
                  <w:vAlign w:val="center"/>
                </w:tcPr>
                <w:p w14:paraId="252510AA">
                  <w:pPr>
                    <w:pStyle w:val="32"/>
                    <w:rPr>
                      <w:rFonts w:cs="Times New Roman"/>
                    </w:rPr>
                  </w:pPr>
                  <w:r>
                    <w:rPr>
                      <w:rFonts w:cs="Times New Roman"/>
                    </w:rPr>
                    <w:t>54.4</w:t>
                  </w:r>
                </w:p>
              </w:tc>
            </w:tr>
          </w:tbl>
          <w:p w14:paraId="35D3C4A9">
            <w:pPr>
              <w:ind w:firstLine="480"/>
              <w:rPr>
                <w:rFonts w:cs="Times New Roman"/>
              </w:rPr>
            </w:pPr>
            <w:r>
              <w:rPr>
                <w:rFonts w:cs="Times New Roman"/>
              </w:rPr>
              <w:t>项目最近的环境敏感目标为项目厂界西南侧300m处的芦姐萨村，距离露天采场约800m，经过距离衰减，同时考虑到爆破噪声产生频次较低，项目爆破噪声不会对其产生较大的影响。</w:t>
            </w:r>
          </w:p>
          <w:p w14:paraId="2C1642D4">
            <w:pPr>
              <w:ind w:firstLine="480"/>
              <w:rPr>
                <w:rFonts w:cs="Times New Roman"/>
              </w:rPr>
            </w:pPr>
            <w:r>
              <w:rPr>
                <w:rFonts w:cs="Times New Roman"/>
              </w:rPr>
              <w:t>B、爆破震动</w:t>
            </w:r>
          </w:p>
          <w:p w14:paraId="66CF8FD1">
            <w:pPr>
              <w:ind w:firstLine="480"/>
              <w:rPr>
                <w:rFonts w:cs="Times New Roman"/>
              </w:rPr>
            </w:pPr>
            <w:r>
              <w:rPr>
                <w:rFonts w:cs="Times New Roman"/>
              </w:rPr>
              <w:t>项目生产爆破主要为采矿爆破，爆破时瞬间噪声为100~110dB(A)，委托民爆专业人员进行，矿山服务期限内，采矿爆破作用形成的振动对岩体结构及边坡稳定有一定影响。《中华人民共和国爆破安全规程》中规定了爆破地震烈度及其与最大振速的关系。爆破地震振动区质点振动速度普遍采用经验公式计算：</w:t>
            </w:r>
          </w:p>
          <w:p w14:paraId="05723BAB">
            <w:pPr>
              <w:ind w:firstLine="480"/>
              <w:jc w:val="center"/>
              <w:rPr>
                <w:rFonts w:cs="Times New Roman"/>
              </w:rPr>
            </w:pPr>
            <w:r>
              <w:rPr>
                <w:rFonts w:cs="Times New Roman"/>
              </w:rPr>
              <w:t>V=K·(Q</w:t>
            </w:r>
            <w:r>
              <w:rPr>
                <w:rFonts w:cs="Times New Roman"/>
                <w:vertAlign w:val="superscript"/>
              </w:rPr>
              <w:t>1/3</w:t>
            </w:r>
            <w:r>
              <w:rPr>
                <w:rFonts w:cs="Times New Roman"/>
              </w:rPr>
              <w:t>/R)</w:t>
            </w:r>
            <w:r>
              <w:rPr>
                <w:rFonts w:cs="Times New Roman"/>
                <w:vertAlign w:val="superscript"/>
              </w:rPr>
              <w:t>α</w:t>
            </w:r>
          </w:p>
          <w:p w14:paraId="5F816954">
            <w:pPr>
              <w:ind w:firstLine="480"/>
              <w:rPr>
                <w:rFonts w:cs="Times New Roman"/>
              </w:rPr>
            </w:pPr>
            <w:r>
              <w:rPr>
                <w:rFonts w:cs="Times New Roman"/>
              </w:rPr>
              <w:t xml:space="preserve">    式中： V—介质质点振动速度，cm/s</w:t>
            </w:r>
          </w:p>
          <w:p w14:paraId="7D9A8525">
            <w:pPr>
              <w:ind w:firstLine="480"/>
              <w:rPr>
                <w:rFonts w:cs="Times New Roman"/>
              </w:rPr>
            </w:pPr>
            <w:r>
              <w:rPr>
                <w:rFonts w:cs="Times New Roman"/>
              </w:rPr>
              <w:t xml:space="preserve">           Q—同时起爆的最大药量，kg</w:t>
            </w:r>
          </w:p>
          <w:p w14:paraId="1D59DAA6">
            <w:pPr>
              <w:ind w:firstLine="480"/>
              <w:rPr>
                <w:rFonts w:cs="Times New Roman"/>
              </w:rPr>
            </w:pPr>
            <w:r>
              <w:rPr>
                <w:rFonts w:cs="Times New Roman"/>
              </w:rPr>
              <w:t xml:space="preserve">           R—爆心距，即测点与爆破中心的距离，m</w:t>
            </w:r>
          </w:p>
          <w:p w14:paraId="4C3B4710">
            <w:pPr>
              <w:ind w:firstLine="480"/>
              <w:rPr>
                <w:rFonts w:cs="Times New Roman"/>
              </w:rPr>
            </w:pPr>
            <w:r>
              <w:rPr>
                <w:rFonts w:cs="Times New Roman"/>
              </w:rPr>
              <w:t xml:space="preserve">           α—地震波衰减指数</w:t>
            </w:r>
          </w:p>
          <w:p w14:paraId="459D05C6">
            <w:pPr>
              <w:ind w:firstLine="480"/>
              <w:rPr>
                <w:rFonts w:cs="Times New Roman"/>
              </w:rPr>
            </w:pPr>
            <w:r>
              <w:rPr>
                <w:rFonts w:cs="Times New Roman"/>
              </w:rPr>
              <w:t xml:space="preserve">           K—与介质性质、爆破方法等因素有关的系数</w:t>
            </w:r>
          </w:p>
          <w:p w14:paraId="3884E596">
            <w:pPr>
              <w:ind w:firstLine="480"/>
              <w:rPr>
                <w:rFonts w:cs="Times New Roman"/>
              </w:rPr>
            </w:pPr>
            <w:r>
              <w:rPr>
                <w:rFonts w:cs="Times New Roman"/>
              </w:rPr>
              <w:t>上式可转化为：R=Q</w:t>
            </w:r>
            <w:r>
              <w:rPr>
                <w:rFonts w:cs="Times New Roman"/>
                <w:vertAlign w:val="superscript"/>
              </w:rPr>
              <w:t>1/3</w:t>
            </w:r>
            <w:r>
              <w:rPr>
                <w:rFonts w:cs="Times New Roman"/>
              </w:rPr>
              <w:t>/(V/K)</w:t>
            </w:r>
            <w:r>
              <w:rPr>
                <w:rFonts w:cs="Times New Roman"/>
                <w:vertAlign w:val="superscript"/>
              </w:rPr>
              <w:t>1/α</w:t>
            </w:r>
          </w:p>
          <w:p w14:paraId="5F82B992">
            <w:pPr>
              <w:ind w:firstLine="480"/>
              <w:rPr>
                <w:rFonts w:cs="Times New Roman"/>
              </w:rPr>
            </w:pPr>
            <w:r>
              <w:rPr>
                <w:rFonts w:cs="Times New Roman"/>
              </w:rPr>
              <w:t>公式可用来计算距爆破中心某点的震级</w:t>
            </w:r>
            <w:bookmarkStart w:id="68" w:name="_GoBack"/>
            <w:bookmarkEnd w:id="68"/>
            <w:r>
              <w:rPr>
                <w:rFonts w:cs="Times New Roman"/>
              </w:rPr>
              <w:t>即已知平均用药量Q为20kg；视该地为理想均质场，α取1.4，K取100；V为相对于各组振动烈度的振动波最大速度，求出R。</w:t>
            </w:r>
          </w:p>
          <w:p w14:paraId="5FC3DED1">
            <w:pPr>
              <w:pStyle w:val="31"/>
              <w:rPr>
                <w:rFonts w:cs="Times New Roman"/>
              </w:rPr>
            </w:pPr>
            <w:r>
              <w:rPr>
                <w:rFonts w:cs="Times New Roman"/>
              </w:rPr>
              <w:t>表7-1</w:t>
            </w:r>
            <w:r>
              <w:rPr>
                <w:rFonts w:hint="eastAsia" w:cs="Times New Roman"/>
              </w:rPr>
              <w:t>4</w:t>
            </w:r>
            <w:r>
              <w:rPr>
                <w:rFonts w:cs="Times New Roman"/>
              </w:rPr>
              <w:t xml:space="preserve">  爆破用药量与地震烈度及振动范围关系表</w:t>
            </w:r>
          </w:p>
          <w:tbl>
            <w:tblPr>
              <w:tblStyle w:val="21"/>
              <w:tblW w:w="970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1"/>
              <w:gridCol w:w="1230"/>
              <w:gridCol w:w="1234"/>
              <w:gridCol w:w="2635"/>
              <w:gridCol w:w="3681"/>
            </w:tblGrid>
            <w:tr w14:paraId="7C434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Merge w:val="restart"/>
                  <w:vAlign w:val="center"/>
                </w:tcPr>
                <w:p w14:paraId="5A7003C9">
                  <w:pPr>
                    <w:pStyle w:val="32"/>
                    <w:rPr>
                      <w:rFonts w:cs="Times New Roman"/>
                    </w:rPr>
                  </w:pPr>
                  <w:r>
                    <w:rPr>
                      <w:rFonts w:cs="Times New Roman"/>
                    </w:rPr>
                    <w:t>烈度</w:t>
                  </w:r>
                </w:p>
              </w:tc>
              <w:tc>
                <w:tcPr>
                  <w:tcW w:w="2464" w:type="dxa"/>
                  <w:gridSpan w:val="2"/>
                  <w:vAlign w:val="center"/>
                </w:tcPr>
                <w:p w14:paraId="6701BBDD">
                  <w:pPr>
                    <w:pStyle w:val="32"/>
                    <w:rPr>
                      <w:rFonts w:cs="Times New Roman"/>
                    </w:rPr>
                  </w:pPr>
                  <w:r>
                    <w:rPr>
                      <w:rFonts w:cs="Times New Roman"/>
                    </w:rPr>
                    <w:t>常数</w:t>
                  </w:r>
                </w:p>
              </w:tc>
              <w:tc>
                <w:tcPr>
                  <w:tcW w:w="2635" w:type="dxa"/>
                  <w:vMerge w:val="restart"/>
                  <w:vAlign w:val="center"/>
                </w:tcPr>
                <w:p w14:paraId="43236C46">
                  <w:pPr>
                    <w:pStyle w:val="32"/>
                    <w:rPr>
                      <w:rFonts w:cs="Times New Roman"/>
                    </w:rPr>
                  </w:pPr>
                  <w:r>
                    <w:rPr>
                      <w:rFonts w:cs="Times New Roman"/>
                    </w:rPr>
                    <w:t>爆破地震最大速度</w:t>
                  </w:r>
                </w:p>
                <w:p w14:paraId="3A5222E1">
                  <w:pPr>
                    <w:pStyle w:val="32"/>
                    <w:rPr>
                      <w:rFonts w:cs="Times New Roman"/>
                    </w:rPr>
                  </w:pPr>
                  <w:r>
                    <w:rPr>
                      <w:rFonts w:cs="Times New Roman"/>
                    </w:rPr>
                    <w:t>V(cm/s)</w:t>
                  </w:r>
                </w:p>
              </w:tc>
              <w:tc>
                <w:tcPr>
                  <w:tcW w:w="3681" w:type="dxa"/>
                  <w:vMerge w:val="restart"/>
                  <w:vAlign w:val="center"/>
                </w:tcPr>
                <w:p w14:paraId="0A67B2F4">
                  <w:pPr>
                    <w:pStyle w:val="32"/>
                    <w:rPr>
                      <w:rFonts w:cs="Times New Roman"/>
                    </w:rPr>
                  </w:pPr>
                  <w:r>
                    <w:rPr>
                      <w:rFonts w:cs="Times New Roman"/>
                    </w:rPr>
                    <w:t>振动范围(m)</w:t>
                  </w:r>
                </w:p>
              </w:tc>
            </w:tr>
            <w:tr w14:paraId="6F61C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Merge w:val="continue"/>
                  <w:vAlign w:val="center"/>
                </w:tcPr>
                <w:p w14:paraId="1407EC9D">
                  <w:pPr>
                    <w:pStyle w:val="32"/>
                    <w:rPr>
                      <w:rFonts w:cs="Times New Roman"/>
                    </w:rPr>
                  </w:pPr>
                </w:p>
              </w:tc>
              <w:tc>
                <w:tcPr>
                  <w:tcW w:w="1230" w:type="dxa"/>
                  <w:vAlign w:val="center"/>
                </w:tcPr>
                <w:p w14:paraId="51CF6D73">
                  <w:pPr>
                    <w:pStyle w:val="32"/>
                    <w:rPr>
                      <w:rFonts w:cs="Times New Roman"/>
                    </w:rPr>
                  </w:pPr>
                  <w:r>
                    <w:rPr>
                      <w:rFonts w:cs="Times New Roman"/>
                    </w:rPr>
                    <w:t>K</w:t>
                  </w:r>
                </w:p>
              </w:tc>
              <w:tc>
                <w:tcPr>
                  <w:tcW w:w="1234" w:type="dxa"/>
                  <w:vAlign w:val="center"/>
                </w:tcPr>
                <w:p w14:paraId="38E1D715">
                  <w:pPr>
                    <w:pStyle w:val="32"/>
                    <w:rPr>
                      <w:rFonts w:cs="Times New Roman"/>
                    </w:rPr>
                  </w:pPr>
                  <w:r>
                    <w:rPr>
                      <w:rFonts w:cs="Times New Roman"/>
                    </w:rPr>
                    <w:t>α</w:t>
                  </w:r>
                </w:p>
              </w:tc>
              <w:tc>
                <w:tcPr>
                  <w:tcW w:w="2635" w:type="dxa"/>
                  <w:vMerge w:val="continue"/>
                  <w:vAlign w:val="center"/>
                </w:tcPr>
                <w:p w14:paraId="48D00A20">
                  <w:pPr>
                    <w:pStyle w:val="32"/>
                    <w:rPr>
                      <w:rFonts w:cs="Times New Roman"/>
                    </w:rPr>
                  </w:pPr>
                </w:p>
              </w:tc>
              <w:tc>
                <w:tcPr>
                  <w:tcW w:w="3681" w:type="dxa"/>
                  <w:vMerge w:val="continue"/>
                  <w:vAlign w:val="center"/>
                </w:tcPr>
                <w:p w14:paraId="3A8442C6">
                  <w:pPr>
                    <w:pStyle w:val="32"/>
                    <w:rPr>
                      <w:rFonts w:cs="Times New Roman"/>
                    </w:rPr>
                  </w:pPr>
                </w:p>
              </w:tc>
            </w:tr>
            <w:tr w14:paraId="7EAB2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664CDD08">
                  <w:pPr>
                    <w:pStyle w:val="32"/>
                    <w:rPr>
                      <w:rFonts w:cs="Times New Roman"/>
                    </w:rPr>
                  </w:pPr>
                  <w:r>
                    <w:rPr>
                      <w:rFonts w:cs="Times New Roman"/>
                    </w:rPr>
                    <w:t>1</w:t>
                  </w:r>
                </w:p>
              </w:tc>
              <w:tc>
                <w:tcPr>
                  <w:tcW w:w="1230" w:type="dxa"/>
                  <w:vAlign w:val="center"/>
                </w:tcPr>
                <w:p w14:paraId="53B6C2C2">
                  <w:pPr>
                    <w:pStyle w:val="32"/>
                    <w:rPr>
                      <w:rFonts w:cs="Times New Roman"/>
                    </w:rPr>
                  </w:pPr>
                  <w:r>
                    <w:rPr>
                      <w:rFonts w:cs="Times New Roman"/>
                    </w:rPr>
                    <w:t>100</w:t>
                  </w:r>
                </w:p>
              </w:tc>
              <w:tc>
                <w:tcPr>
                  <w:tcW w:w="1234" w:type="dxa"/>
                  <w:vAlign w:val="center"/>
                </w:tcPr>
                <w:p w14:paraId="1C585319">
                  <w:pPr>
                    <w:pStyle w:val="32"/>
                    <w:rPr>
                      <w:rFonts w:cs="Times New Roman"/>
                    </w:rPr>
                  </w:pPr>
                  <w:r>
                    <w:rPr>
                      <w:rFonts w:cs="Times New Roman"/>
                    </w:rPr>
                    <w:t>1.4</w:t>
                  </w:r>
                </w:p>
              </w:tc>
              <w:tc>
                <w:tcPr>
                  <w:tcW w:w="2635" w:type="dxa"/>
                  <w:vAlign w:val="center"/>
                </w:tcPr>
                <w:p w14:paraId="5D7B7754">
                  <w:pPr>
                    <w:pStyle w:val="32"/>
                    <w:rPr>
                      <w:rFonts w:cs="Times New Roman"/>
                    </w:rPr>
                  </w:pPr>
                  <w:r>
                    <w:rPr>
                      <w:rFonts w:cs="Times New Roman"/>
                    </w:rPr>
                    <w:t>&lt;0.2</w:t>
                  </w:r>
                </w:p>
              </w:tc>
              <w:tc>
                <w:tcPr>
                  <w:tcW w:w="3681" w:type="dxa"/>
                  <w:vAlign w:val="center"/>
                </w:tcPr>
                <w:p w14:paraId="027390B2">
                  <w:pPr>
                    <w:pStyle w:val="32"/>
                    <w:rPr>
                      <w:rFonts w:cs="Times New Roman"/>
                    </w:rPr>
                  </w:pPr>
                  <w:r>
                    <w:rPr>
                      <w:rFonts w:cs="Times New Roman"/>
                    </w:rPr>
                    <w:t>&gt;848</w:t>
                  </w:r>
                </w:p>
              </w:tc>
            </w:tr>
            <w:tr w14:paraId="033DC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25DCD624">
                  <w:pPr>
                    <w:pStyle w:val="32"/>
                    <w:rPr>
                      <w:rFonts w:cs="Times New Roman"/>
                    </w:rPr>
                  </w:pPr>
                  <w:r>
                    <w:rPr>
                      <w:rFonts w:cs="Times New Roman"/>
                    </w:rPr>
                    <w:t>2</w:t>
                  </w:r>
                </w:p>
              </w:tc>
              <w:tc>
                <w:tcPr>
                  <w:tcW w:w="1230" w:type="dxa"/>
                  <w:vAlign w:val="center"/>
                </w:tcPr>
                <w:p w14:paraId="75968EC5">
                  <w:pPr>
                    <w:pStyle w:val="32"/>
                    <w:rPr>
                      <w:rFonts w:cs="Times New Roman"/>
                    </w:rPr>
                  </w:pPr>
                  <w:r>
                    <w:rPr>
                      <w:rFonts w:cs="Times New Roman"/>
                    </w:rPr>
                    <w:t>100</w:t>
                  </w:r>
                </w:p>
              </w:tc>
              <w:tc>
                <w:tcPr>
                  <w:tcW w:w="1234" w:type="dxa"/>
                  <w:vAlign w:val="center"/>
                </w:tcPr>
                <w:p w14:paraId="771E4DC2">
                  <w:pPr>
                    <w:pStyle w:val="32"/>
                    <w:rPr>
                      <w:rFonts w:cs="Times New Roman"/>
                    </w:rPr>
                  </w:pPr>
                  <w:r>
                    <w:rPr>
                      <w:rFonts w:cs="Times New Roman"/>
                    </w:rPr>
                    <w:t>1.4</w:t>
                  </w:r>
                </w:p>
              </w:tc>
              <w:tc>
                <w:tcPr>
                  <w:tcW w:w="2635" w:type="dxa"/>
                  <w:vAlign w:val="center"/>
                </w:tcPr>
                <w:p w14:paraId="54BEB6F1">
                  <w:pPr>
                    <w:pStyle w:val="32"/>
                    <w:rPr>
                      <w:rFonts w:cs="Times New Roman"/>
                    </w:rPr>
                  </w:pPr>
                  <w:r>
                    <w:rPr>
                      <w:rFonts w:cs="Times New Roman"/>
                    </w:rPr>
                    <w:t>0.2-0.4</w:t>
                  </w:r>
                </w:p>
              </w:tc>
              <w:tc>
                <w:tcPr>
                  <w:tcW w:w="3681" w:type="dxa"/>
                  <w:vAlign w:val="center"/>
                </w:tcPr>
                <w:p w14:paraId="553BE000">
                  <w:pPr>
                    <w:pStyle w:val="32"/>
                    <w:rPr>
                      <w:rFonts w:cs="Times New Roman"/>
                    </w:rPr>
                  </w:pPr>
                  <w:r>
                    <w:rPr>
                      <w:rFonts w:cs="Times New Roman"/>
                    </w:rPr>
                    <w:t>848-516</w:t>
                  </w:r>
                </w:p>
              </w:tc>
            </w:tr>
            <w:tr w14:paraId="76467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595878B7">
                  <w:pPr>
                    <w:pStyle w:val="32"/>
                    <w:rPr>
                      <w:rFonts w:cs="Times New Roman"/>
                    </w:rPr>
                  </w:pPr>
                  <w:r>
                    <w:rPr>
                      <w:rFonts w:cs="Times New Roman"/>
                    </w:rPr>
                    <w:t>3</w:t>
                  </w:r>
                </w:p>
              </w:tc>
              <w:tc>
                <w:tcPr>
                  <w:tcW w:w="1230" w:type="dxa"/>
                  <w:vAlign w:val="center"/>
                </w:tcPr>
                <w:p w14:paraId="57BDB8A2">
                  <w:pPr>
                    <w:pStyle w:val="32"/>
                    <w:rPr>
                      <w:rFonts w:cs="Times New Roman"/>
                    </w:rPr>
                  </w:pPr>
                  <w:r>
                    <w:rPr>
                      <w:rFonts w:cs="Times New Roman"/>
                    </w:rPr>
                    <w:t>100</w:t>
                  </w:r>
                </w:p>
              </w:tc>
              <w:tc>
                <w:tcPr>
                  <w:tcW w:w="1234" w:type="dxa"/>
                  <w:vAlign w:val="center"/>
                </w:tcPr>
                <w:p w14:paraId="584980B1">
                  <w:pPr>
                    <w:pStyle w:val="32"/>
                    <w:rPr>
                      <w:rFonts w:cs="Times New Roman"/>
                    </w:rPr>
                  </w:pPr>
                  <w:r>
                    <w:rPr>
                      <w:rFonts w:cs="Times New Roman"/>
                    </w:rPr>
                    <w:t>1.4</w:t>
                  </w:r>
                </w:p>
              </w:tc>
              <w:tc>
                <w:tcPr>
                  <w:tcW w:w="2635" w:type="dxa"/>
                  <w:vAlign w:val="center"/>
                </w:tcPr>
                <w:p w14:paraId="392FE08C">
                  <w:pPr>
                    <w:pStyle w:val="32"/>
                    <w:rPr>
                      <w:rFonts w:cs="Times New Roman"/>
                    </w:rPr>
                  </w:pPr>
                  <w:r>
                    <w:rPr>
                      <w:rFonts w:cs="Times New Roman"/>
                    </w:rPr>
                    <w:t>0.4-0.8</w:t>
                  </w:r>
                </w:p>
              </w:tc>
              <w:tc>
                <w:tcPr>
                  <w:tcW w:w="3681" w:type="dxa"/>
                  <w:vAlign w:val="center"/>
                </w:tcPr>
                <w:p w14:paraId="144ACB82">
                  <w:pPr>
                    <w:pStyle w:val="32"/>
                    <w:rPr>
                      <w:rFonts w:cs="Times New Roman"/>
                    </w:rPr>
                  </w:pPr>
                  <w:r>
                    <w:rPr>
                      <w:rFonts w:cs="Times New Roman"/>
                    </w:rPr>
                    <w:t>516-315</w:t>
                  </w:r>
                </w:p>
              </w:tc>
            </w:tr>
            <w:tr w14:paraId="32E41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73E81F2F">
                  <w:pPr>
                    <w:pStyle w:val="32"/>
                    <w:rPr>
                      <w:rFonts w:cs="Times New Roman"/>
                    </w:rPr>
                  </w:pPr>
                  <w:r>
                    <w:rPr>
                      <w:rFonts w:cs="Times New Roman"/>
                    </w:rPr>
                    <w:t>4</w:t>
                  </w:r>
                </w:p>
              </w:tc>
              <w:tc>
                <w:tcPr>
                  <w:tcW w:w="1230" w:type="dxa"/>
                  <w:vAlign w:val="center"/>
                </w:tcPr>
                <w:p w14:paraId="1DCB139C">
                  <w:pPr>
                    <w:pStyle w:val="32"/>
                    <w:rPr>
                      <w:rFonts w:cs="Times New Roman"/>
                    </w:rPr>
                  </w:pPr>
                  <w:r>
                    <w:rPr>
                      <w:rFonts w:cs="Times New Roman"/>
                    </w:rPr>
                    <w:t>100</w:t>
                  </w:r>
                </w:p>
              </w:tc>
              <w:tc>
                <w:tcPr>
                  <w:tcW w:w="1234" w:type="dxa"/>
                  <w:vAlign w:val="center"/>
                </w:tcPr>
                <w:p w14:paraId="37B3B532">
                  <w:pPr>
                    <w:pStyle w:val="32"/>
                    <w:rPr>
                      <w:rFonts w:cs="Times New Roman"/>
                    </w:rPr>
                  </w:pPr>
                  <w:r>
                    <w:rPr>
                      <w:rFonts w:cs="Times New Roman"/>
                    </w:rPr>
                    <w:t>1.4</w:t>
                  </w:r>
                </w:p>
              </w:tc>
              <w:tc>
                <w:tcPr>
                  <w:tcW w:w="2635" w:type="dxa"/>
                  <w:vAlign w:val="center"/>
                </w:tcPr>
                <w:p w14:paraId="52A469C4">
                  <w:pPr>
                    <w:pStyle w:val="32"/>
                    <w:rPr>
                      <w:rFonts w:cs="Times New Roman"/>
                    </w:rPr>
                  </w:pPr>
                  <w:r>
                    <w:rPr>
                      <w:rFonts w:cs="Times New Roman"/>
                    </w:rPr>
                    <w:t>0.8-1.5</w:t>
                  </w:r>
                </w:p>
              </w:tc>
              <w:tc>
                <w:tcPr>
                  <w:tcW w:w="3681" w:type="dxa"/>
                  <w:vAlign w:val="center"/>
                </w:tcPr>
                <w:p w14:paraId="20D4BFD2">
                  <w:pPr>
                    <w:pStyle w:val="32"/>
                    <w:rPr>
                      <w:rFonts w:cs="Times New Roman"/>
                    </w:rPr>
                  </w:pPr>
                  <w:r>
                    <w:rPr>
                      <w:rFonts w:cs="Times New Roman"/>
                    </w:rPr>
                    <w:t>315-201</w:t>
                  </w:r>
                </w:p>
              </w:tc>
            </w:tr>
            <w:tr w14:paraId="0516E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30F79747">
                  <w:pPr>
                    <w:pStyle w:val="32"/>
                    <w:rPr>
                      <w:rFonts w:cs="Times New Roman"/>
                    </w:rPr>
                  </w:pPr>
                  <w:r>
                    <w:rPr>
                      <w:rFonts w:cs="Times New Roman"/>
                    </w:rPr>
                    <w:t>5</w:t>
                  </w:r>
                </w:p>
              </w:tc>
              <w:tc>
                <w:tcPr>
                  <w:tcW w:w="1230" w:type="dxa"/>
                  <w:vAlign w:val="center"/>
                </w:tcPr>
                <w:p w14:paraId="128B1767">
                  <w:pPr>
                    <w:pStyle w:val="32"/>
                    <w:rPr>
                      <w:rFonts w:cs="Times New Roman"/>
                    </w:rPr>
                  </w:pPr>
                  <w:r>
                    <w:rPr>
                      <w:rFonts w:cs="Times New Roman"/>
                    </w:rPr>
                    <w:t>100</w:t>
                  </w:r>
                </w:p>
              </w:tc>
              <w:tc>
                <w:tcPr>
                  <w:tcW w:w="1234" w:type="dxa"/>
                  <w:vAlign w:val="center"/>
                </w:tcPr>
                <w:p w14:paraId="442B4CD6">
                  <w:pPr>
                    <w:pStyle w:val="32"/>
                    <w:rPr>
                      <w:rFonts w:cs="Times New Roman"/>
                    </w:rPr>
                  </w:pPr>
                  <w:r>
                    <w:rPr>
                      <w:rFonts w:cs="Times New Roman"/>
                    </w:rPr>
                    <w:t>1.4</w:t>
                  </w:r>
                </w:p>
              </w:tc>
              <w:tc>
                <w:tcPr>
                  <w:tcW w:w="2635" w:type="dxa"/>
                  <w:vAlign w:val="center"/>
                </w:tcPr>
                <w:p w14:paraId="195DB3A3">
                  <w:pPr>
                    <w:pStyle w:val="32"/>
                    <w:rPr>
                      <w:rFonts w:cs="Times New Roman"/>
                    </w:rPr>
                  </w:pPr>
                  <w:r>
                    <w:rPr>
                      <w:rFonts w:cs="Times New Roman"/>
                    </w:rPr>
                    <w:t>1.5-3.0</w:t>
                  </w:r>
                </w:p>
              </w:tc>
              <w:tc>
                <w:tcPr>
                  <w:tcW w:w="3681" w:type="dxa"/>
                  <w:vAlign w:val="center"/>
                </w:tcPr>
                <w:p w14:paraId="3E385E05">
                  <w:pPr>
                    <w:pStyle w:val="32"/>
                    <w:rPr>
                      <w:rFonts w:cs="Times New Roman"/>
                    </w:rPr>
                  </w:pPr>
                  <w:r>
                    <w:rPr>
                      <w:rFonts w:cs="Times New Roman"/>
                    </w:rPr>
                    <w:t>201-122</w:t>
                  </w:r>
                </w:p>
              </w:tc>
            </w:tr>
            <w:tr w14:paraId="48470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76D7CD02">
                  <w:pPr>
                    <w:pStyle w:val="32"/>
                    <w:rPr>
                      <w:rFonts w:cs="Times New Roman"/>
                    </w:rPr>
                  </w:pPr>
                  <w:r>
                    <w:rPr>
                      <w:rFonts w:cs="Times New Roman"/>
                    </w:rPr>
                    <w:t>6</w:t>
                  </w:r>
                </w:p>
              </w:tc>
              <w:tc>
                <w:tcPr>
                  <w:tcW w:w="1230" w:type="dxa"/>
                  <w:vAlign w:val="center"/>
                </w:tcPr>
                <w:p w14:paraId="46E2E1C7">
                  <w:pPr>
                    <w:pStyle w:val="32"/>
                    <w:rPr>
                      <w:rFonts w:cs="Times New Roman"/>
                    </w:rPr>
                  </w:pPr>
                  <w:r>
                    <w:rPr>
                      <w:rFonts w:cs="Times New Roman"/>
                    </w:rPr>
                    <w:t>100</w:t>
                  </w:r>
                </w:p>
              </w:tc>
              <w:tc>
                <w:tcPr>
                  <w:tcW w:w="1234" w:type="dxa"/>
                  <w:vAlign w:val="center"/>
                </w:tcPr>
                <w:p w14:paraId="6E5B2318">
                  <w:pPr>
                    <w:pStyle w:val="32"/>
                    <w:rPr>
                      <w:rFonts w:cs="Times New Roman"/>
                    </w:rPr>
                  </w:pPr>
                  <w:r>
                    <w:rPr>
                      <w:rFonts w:cs="Times New Roman"/>
                    </w:rPr>
                    <w:t>1.4</w:t>
                  </w:r>
                </w:p>
              </w:tc>
              <w:tc>
                <w:tcPr>
                  <w:tcW w:w="2635" w:type="dxa"/>
                  <w:vAlign w:val="center"/>
                </w:tcPr>
                <w:p w14:paraId="4A391D57">
                  <w:pPr>
                    <w:pStyle w:val="32"/>
                    <w:rPr>
                      <w:rFonts w:cs="Times New Roman"/>
                    </w:rPr>
                  </w:pPr>
                  <w:r>
                    <w:rPr>
                      <w:rFonts w:cs="Times New Roman"/>
                    </w:rPr>
                    <w:t>3.0-6.0</w:t>
                  </w:r>
                </w:p>
              </w:tc>
              <w:tc>
                <w:tcPr>
                  <w:tcW w:w="3681" w:type="dxa"/>
                  <w:vAlign w:val="center"/>
                </w:tcPr>
                <w:p w14:paraId="42294D67">
                  <w:pPr>
                    <w:pStyle w:val="32"/>
                    <w:rPr>
                      <w:rFonts w:cs="Times New Roman"/>
                    </w:rPr>
                  </w:pPr>
                  <w:r>
                    <w:rPr>
                      <w:rFonts w:cs="Times New Roman"/>
                    </w:rPr>
                    <w:t>122-75</w:t>
                  </w:r>
                </w:p>
              </w:tc>
            </w:tr>
            <w:tr w14:paraId="635FE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5C3F0B88">
                  <w:pPr>
                    <w:pStyle w:val="32"/>
                    <w:rPr>
                      <w:rFonts w:cs="Times New Roman"/>
                    </w:rPr>
                  </w:pPr>
                  <w:r>
                    <w:rPr>
                      <w:rFonts w:cs="Times New Roman"/>
                    </w:rPr>
                    <w:t>≥7</w:t>
                  </w:r>
                </w:p>
              </w:tc>
              <w:tc>
                <w:tcPr>
                  <w:tcW w:w="1230" w:type="dxa"/>
                  <w:vAlign w:val="center"/>
                </w:tcPr>
                <w:p w14:paraId="700E962E">
                  <w:pPr>
                    <w:pStyle w:val="32"/>
                    <w:rPr>
                      <w:rFonts w:cs="Times New Roman"/>
                    </w:rPr>
                  </w:pPr>
                  <w:r>
                    <w:rPr>
                      <w:rFonts w:cs="Times New Roman"/>
                    </w:rPr>
                    <w:t>100</w:t>
                  </w:r>
                </w:p>
              </w:tc>
              <w:tc>
                <w:tcPr>
                  <w:tcW w:w="1234" w:type="dxa"/>
                  <w:vAlign w:val="center"/>
                </w:tcPr>
                <w:p w14:paraId="02FC543D">
                  <w:pPr>
                    <w:pStyle w:val="32"/>
                    <w:rPr>
                      <w:rFonts w:cs="Times New Roman"/>
                    </w:rPr>
                  </w:pPr>
                  <w:r>
                    <w:rPr>
                      <w:rFonts w:cs="Times New Roman"/>
                    </w:rPr>
                    <w:t>1.4</w:t>
                  </w:r>
                </w:p>
              </w:tc>
              <w:tc>
                <w:tcPr>
                  <w:tcW w:w="2635" w:type="dxa"/>
                  <w:vAlign w:val="center"/>
                </w:tcPr>
                <w:p w14:paraId="2135BC77">
                  <w:pPr>
                    <w:pStyle w:val="32"/>
                    <w:rPr>
                      <w:rFonts w:cs="Times New Roman"/>
                    </w:rPr>
                  </w:pPr>
                  <w:r>
                    <w:rPr>
                      <w:rFonts w:cs="Times New Roman"/>
                    </w:rPr>
                    <w:t>&gt;6.0</w:t>
                  </w:r>
                </w:p>
              </w:tc>
              <w:tc>
                <w:tcPr>
                  <w:tcW w:w="3681" w:type="dxa"/>
                  <w:vAlign w:val="center"/>
                </w:tcPr>
                <w:p w14:paraId="00BC2C87">
                  <w:pPr>
                    <w:pStyle w:val="32"/>
                    <w:rPr>
                      <w:rFonts w:cs="Times New Roman"/>
                    </w:rPr>
                  </w:pPr>
                  <w:r>
                    <w:rPr>
                      <w:rFonts w:cs="Times New Roman"/>
                    </w:rPr>
                    <w:t>&lt;75</w:t>
                  </w:r>
                </w:p>
              </w:tc>
            </w:tr>
          </w:tbl>
          <w:p w14:paraId="5E864CFC">
            <w:pPr>
              <w:ind w:firstLine="480"/>
              <w:rPr>
                <w:rFonts w:cs="Times New Roman"/>
              </w:rPr>
            </w:pPr>
            <w:r>
              <w:rPr>
                <w:rFonts w:cs="Times New Roman"/>
              </w:rPr>
              <w:t>项目区爆破频率约为1次/周，用药量20千克/次。根据《中华人民共和国爆破安全规程》中规定了爆破地震烈度及其与最大振速的关系，爆破地震振动区质点振动速度普遍采用经验公式计算。经预测，最近的保护目标为</w:t>
            </w:r>
            <w:r>
              <w:rPr>
                <w:rFonts w:hint="eastAsia" w:cs="Times New Roman"/>
                <w:color w:val="FF0000"/>
              </w:rPr>
              <w:t>矿区</w:t>
            </w:r>
            <w:r>
              <w:rPr>
                <w:rFonts w:cs="Times New Roman"/>
                <w:spacing w:val="-10"/>
              </w:rPr>
              <w:t>西南侧</w:t>
            </w:r>
            <w:r>
              <w:rPr>
                <w:rFonts w:cs="Times New Roman"/>
              </w:rPr>
              <w:t>300m处的</w:t>
            </w:r>
            <w:r>
              <w:rPr>
                <w:rFonts w:cs="Times New Roman"/>
                <w:snapToGrid w:val="0"/>
              </w:rPr>
              <w:t>芦姐萨</w:t>
            </w:r>
            <w:r>
              <w:rPr>
                <w:rFonts w:cs="Times New Roman"/>
              </w:rPr>
              <w:t>村，可算出爆破时此处的烈度为3级，爆破在白天进行，发生的瞬间短，故</w:t>
            </w:r>
            <w:r>
              <w:rPr>
                <w:rFonts w:hint="eastAsia" w:cs="Times New Roman"/>
              </w:rPr>
              <w:t>爆破</w:t>
            </w:r>
            <w:r>
              <w:rPr>
                <w:rFonts w:cs="Times New Roman"/>
              </w:rPr>
              <w:t>对距离</w:t>
            </w:r>
            <w:r>
              <w:rPr>
                <w:rFonts w:hint="eastAsia" w:cs="Times New Roman"/>
                <w:color w:val="FF0000"/>
              </w:rPr>
              <w:t>采区</w:t>
            </w:r>
            <w:r>
              <w:rPr>
                <w:rFonts w:cs="Times New Roman"/>
                <w:spacing w:val="-10"/>
              </w:rPr>
              <w:t>西南侧</w:t>
            </w:r>
            <w:r>
              <w:rPr>
                <w:rFonts w:cs="Times New Roman"/>
              </w:rPr>
              <w:t>800m处的</w:t>
            </w:r>
            <w:r>
              <w:rPr>
                <w:rFonts w:cs="Times New Roman"/>
                <w:snapToGrid w:val="0"/>
              </w:rPr>
              <w:t>芦姐萨</w:t>
            </w:r>
            <w:r>
              <w:rPr>
                <w:rFonts w:cs="Times New Roman"/>
              </w:rPr>
              <w:t>村的影响可以接受。</w:t>
            </w:r>
          </w:p>
          <w:p w14:paraId="3C8F2805">
            <w:pPr>
              <w:ind w:firstLine="480"/>
              <w:rPr>
                <w:rFonts w:cs="Times New Roman"/>
              </w:rPr>
            </w:pPr>
            <w:r>
              <w:rPr>
                <w:rFonts w:cs="Times New Roman"/>
              </w:rPr>
              <w:t>爆破时，项目应根据相关的要求，确定项目的爆破警戒线。</w:t>
            </w:r>
          </w:p>
          <w:p w14:paraId="395646D5">
            <w:pPr>
              <w:ind w:firstLine="480"/>
              <w:rPr>
                <w:rFonts w:cs="Times New Roman"/>
              </w:rPr>
            </w:pPr>
            <w:r>
              <w:rPr>
                <w:rFonts w:hint="eastAsia" w:ascii="宋体" w:hAnsi="宋体" w:cs="宋体"/>
              </w:rPr>
              <w:t>②</w:t>
            </w:r>
            <w:r>
              <w:rPr>
                <w:rFonts w:cs="Times New Roman"/>
              </w:rPr>
              <w:t>运营期噪声（除爆破噪声）</w:t>
            </w:r>
          </w:p>
          <w:p w14:paraId="1C6A284D">
            <w:pPr>
              <w:ind w:firstLine="480"/>
              <w:rPr>
                <w:rFonts w:cs="Times New Roman"/>
              </w:rPr>
            </w:pPr>
            <w:r>
              <w:rPr>
                <w:rFonts w:cs="Times New Roman"/>
              </w:rPr>
              <w:t>A、预测内容</w:t>
            </w:r>
          </w:p>
          <w:p w14:paraId="5B3DE2EB">
            <w:pPr>
              <w:ind w:firstLine="480"/>
              <w:rPr>
                <w:rFonts w:cs="Times New Roman"/>
              </w:rPr>
            </w:pPr>
            <w:r>
              <w:rPr>
                <w:rFonts w:cs="Times New Roman"/>
              </w:rPr>
              <w:t>针对工程总体布置情况，对工业场地厂界噪声进行评价，本项目工业场地主要噪声源距场界距离见表7-1</w:t>
            </w:r>
            <w:r>
              <w:rPr>
                <w:rFonts w:hint="eastAsia" w:cs="Times New Roman"/>
              </w:rPr>
              <w:t>5</w:t>
            </w:r>
            <w:r>
              <w:rPr>
                <w:rFonts w:cs="Times New Roman"/>
              </w:rPr>
              <w:t>。</w:t>
            </w:r>
          </w:p>
          <w:p w14:paraId="4B8DD52B">
            <w:pPr>
              <w:pStyle w:val="31"/>
              <w:rPr>
                <w:rFonts w:cs="Times New Roman"/>
              </w:rPr>
            </w:pPr>
            <w:r>
              <w:rPr>
                <w:rFonts w:cs="Times New Roman"/>
              </w:rPr>
              <w:t>表7-1</w:t>
            </w:r>
            <w:r>
              <w:rPr>
                <w:rFonts w:hint="eastAsia" w:cs="Times New Roman"/>
              </w:rPr>
              <w:t>5</w:t>
            </w:r>
            <w:r>
              <w:rPr>
                <w:rFonts w:cs="Times New Roman"/>
              </w:rPr>
              <w:t xml:space="preserve">  主要噪声源距场界最近的距离（单位m）</w:t>
            </w:r>
          </w:p>
          <w:tbl>
            <w:tblPr>
              <w:tblStyle w:val="21"/>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1658"/>
              <w:gridCol w:w="1325"/>
              <w:gridCol w:w="1491"/>
              <w:gridCol w:w="1161"/>
              <w:gridCol w:w="1219"/>
            </w:tblGrid>
            <w:tr w14:paraId="63A2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775" w:type="dxa"/>
                  <w:vMerge w:val="restart"/>
                  <w:tcBorders>
                    <w:tl2br w:val="single" w:color="auto" w:sz="4" w:space="0"/>
                  </w:tcBorders>
                  <w:shd w:val="clear" w:color="auto" w:fill="auto"/>
                  <w:vAlign w:val="center"/>
                </w:tcPr>
                <w:p w14:paraId="543BA9F6">
                  <w:pPr>
                    <w:pStyle w:val="52"/>
                    <w:rPr>
                      <w:color w:val="auto"/>
                    </w:rPr>
                  </w:pPr>
                  <w:r>
                    <w:rPr>
                      <w:color w:val="auto"/>
                    </w:rPr>
                    <w:t xml:space="preserve">           主要噪声源</w:t>
                  </w:r>
                </w:p>
                <w:p w14:paraId="5604C14C">
                  <w:pPr>
                    <w:pStyle w:val="52"/>
                    <w:jc w:val="left"/>
                    <w:rPr>
                      <w:color w:val="auto"/>
                    </w:rPr>
                  </w:pPr>
                  <w:r>
                    <w:rPr>
                      <w:color w:val="auto"/>
                    </w:rPr>
                    <w:t>厂界</w:t>
                  </w:r>
                </w:p>
              </w:tc>
              <w:tc>
                <w:tcPr>
                  <w:tcW w:w="6854" w:type="dxa"/>
                  <w:gridSpan w:val="5"/>
                  <w:shd w:val="clear" w:color="auto" w:fill="auto"/>
                  <w:vAlign w:val="center"/>
                </w:tcPr>
                <w:p w14:paraId="60885C15">
                  <w:pPr>
                    <w:pStyle w:val="52"/>
                    <w:rPr>
                      <w:color w:val="auto"/>
                    </w:rPr>
                  </w:pPr>
                  <w:r>
                    <w:rPr>
                      <w:color w:val="auto"/>
                    </w:rPr>
                    <w:t>工业场地</w:t>
                  </w:r>
                </w:p>
              </w:tc>
            </w:tr>
            <w:tr w14:paraId="6415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775" w:type="dxa"/>
                  <w:vMerge w:val="continue"/>
                  <w:shd w:val="clear" w:color="auto" w:fill="auto"/>
                  <w:vAlign w:val="center"/>
                </w:tcPr>
                <w:p w14:paraId="2F4CAAEC">
                  <w:pPr>
                    <w:pStyle w:val="52"/>
                    <w:rPr>
                      <w:color w:val="auto"/>
                    </w:rPr>
                  </w:pPr>
                </w:p>
              </w:tc>
              <w:tc>
                <w:tcPr>
                  <w:tcW w:w="1658" w:type="dxa"/>
                  <w:shd w:val="clear" w:color="auto" w:fill="auto"/>
                  <w:vAlign w:val="center"/>
                </w:tcPr>
                <w:p w14:paraId="699A7E28">
                  <w:pPr>
                    <w:pStyle w:val="52"/>
                    <w:rPr>
                      <w:color w:val="auto"/>
                    </w:rPr>
                  </w:pPr>
                  <w:r>
                    <w:rPr>
                      <w:color w:val="auto"/>
                    </w:rPr>
                    <w:t>潜孔钻</w:t>
                  </w:r>
                </w:p>
              </w:tc>
              <w:tc>
                <w:tcPr>
                  <w:tcW w:w="1325" w:type="dxa"/>
                  <w:shd w:val="clear" w:color="auto" w:fill="auto"/>
                  <w:vAlign w:val="center"/>
                </w:tcPr>
                <w:p w14:paraId="73E26D01">
                  <w:pPr>
                    <w:pStyle w:val="52"/>
                    <w:rPr>
                      <w:color w:val="auto"/>
                    </w:rPr>
                  </w:pPr>
                  <w:r>
                    <w:rPr>
                      <w:color w:val="auto"/>
                    </w:rPr>
                    <w:t>挖掘机</w:t>
                  </w:r>
                </w:p>
              </w:tc>
              <w:tc>
                <w:tcPr>
                  <w:tcW w:w="1491" w:type="dxa"/>
                  <w:vAlign w:val="center"/>
                </w:tcPr>
                <w:p w14:paraId="29413275">
                  <w:pPr>
                    <w:pStyle w:val="52"/>
                    <w:rPr>
                      <w:color w:val="auto"/>
                    </w:rPr>
                  </w:pPr>
                  <w:r>
                    <w:rPr>
                      <w:color w:val="auto"/>
                    </w:rPr>
                    <w:t>装载机</w:t>
                  </w:r>
                </w:p>
              </w:tc>
              <w:tc>
                <w:tcPr>
                  <w:tcW w:w="1161" w:type="dxa"/>
                  <w:vAlign w:val="center"/>
                </w:tcPr>
                <w:p w14:paraId="4CB6D24C">
                  <w:pPr>
                    <w:pStyle w:val="52"/>
                    <w:rPr>
                      <w:color w:val="auto"/>
                    </w:rPr>
                  </w:pPr>
                  <w:r>
                    <w:rPr>
                      <w:color w:val="auto"/>
                    </w:rPr>
                    <w:t>空压机</w:t>
                  </w:r>
                </w:p>
              </w:tc>
              <w:tc>
                <w:tcPr>
                  <w:tcW w:w="1219" w:type="dxa"/>
                  <w:vAlign w:val="center"/>
                </w:tcPr>
                <w:p w14:paraId="0A76C653">
                  <w:pPr>
                    <w:pStyle w:val="52"/>
                    <w:rPr>
                      <w:color w:val="auto"/>
                    </w:rPr>
                  </w:pPr>
                  <w:r>
                    <w:rPr>
                      <w:color w:val="auto"/>
                    </w:rPr>
                    <w:t>破碎机</w:t>
                  </w:r>
                </w:p>
              </w:tc>
            </w:tr>
            <w:tr w14:paraId="3CA1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75" w:type="dxa"/>
                  <w:shd w:val="clear" w:color="auto" w:fill="auto"/>
                  <w:vAlign w:val="center"/>
                </w:tcPr>
                <w:p w14:paraId="1C49CF4E">
                  <w:pPr>
                    <w:pStyle w:val="52"/>
                    <w:rPr>
                      <w:color w:val="auto"/>
                    </w:rPr>
                  </w:pPr>
                  <w:r>
                    <w:rPr>
                      <w:color w:val="auto"/>
                    </w:rPr>
                    <w:t>与厂界东面距离</w:t>
                  </w:r>
                </w:p>
              </w:tc>
              <w:tc>
                <w:tcPr>
                  <w:tcW w:w="1658" w:type="dxa"/>
                  <w:shd w:val="clear" w:color="auto" w:fill="auto"/>
                  <w:vAlign w:val="center"/>
                </w:tcPr>
                <w:p w14:paraId="6C917FC2">
                  <w:pPr>
                    <w:pStyle w:val="52"/>
                    <w:rPr>
                      <w:color w:val="auto"/>
                      <w:szCs w:val="21"/>
                    </w:rPr>
                  </w:pPr>
                  <w:r>
                    <w:rPr>
                      <w:color w:val="auto"/>
                      <w:szCs w:val="21"/>
                    </w:rPr>
                    <w:t>200</w:t>
                  </w:r>
                </w:p>
              </w:tc>
              <w:tc>
                <w:tcPr>
                  <w:tcW w:w="1325" w:type="dxa"/>
                  <w:shd w:val="clear" w:color="auto" w:fill="auto"/>
                  <w:vAlign w:val="center"/>
                </w:tcPr>
                <w:p w14:paraId="21BA5DFD">
                  <w:pPr>
                    <w:pStyle w:val="52"/>
                    <w:rPr>
                      <w:color w:val="auto"/>
                      <w:szCs w:val="21"/>
                    </w:rPr>
                  </w:pPr>
                  <w:r>
                    <w:rPr>
                      <w:color w:val="auto"/>
                      <w:szCs w:val="21"/>
                    </w:rPr>
                    <w:t>50</w:t>
                  </w:r>
                </w:p>
              </w:tc>
              <w:tc>
                <w:tcPr>
                  <w:tcW w:w="1491" w:type="dxa"/>
                  <w:vAlign w:val="center"/>
                </w:tcPr>
                <w:p w14:paraId="12904991">
                  <w:pPr>
                    <w:pStyle w:val="52"/>
                    <w:rPr>
                      <w:color w:val="auto"/>
                    </w:rPr>
                  </w:pPr>
                  <w:r>
                    <w:rPr>
                      <w:color w:val="auto"/>
                    </w:rPr>
                    <w:t>20</w:t>
                  </w:r>
                </w:p>
              </w:tc>
              <w:tc>
                <w:tcPr>
                  <w:tcW w:w="1161" w:type="dxa"/>
                  <w:vAlign w:val="center"/>
                </w:tcPr>
                <w:p w14:paraId="6C32EB73">
                  <w:pPr>
                    <w:pStyle w:val="52"/>
                    <w:rPr>
                      <w:color w:val="auto"/>
                    </w:rPr>
                  </w:pPr>
                  <w:r>
                    <w:rPr>
                      <w:color w:val="auto"/>
                    </w:rPr>
                    <w:t>50</w:t>
                  </w:r>
                </w:p>
              </w:tc>
              <w:tc>
                <w:tcPr>
                  <w:tcW w:w="1219" w:type="dxa"/>
                  <w:vAlign w:val="center"/>
                </w:tcPr>
                <w:p w14:paraId="0BBF36CE">
                  <w:pPr>
                    <w:pStyle w:val="52"/>
                    <w:rPr>
                      <w:color w:val="auto"/>
                    </w:rPr>
                  </w:pPr>
                  <w:r>
                    <w:rPr>
                      <w:color w:val="auto"/>
                    </w:rPr>
                    <w:t>60</w:t>
                  </w:r>
                </w:p>
              </w:tc>
            </w:tr>
            <w:tr w14:paraId="4261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197998C8">
                  <w:pPr>
                    <w:pStyle w:val="52"/>
                    <w:rPr>
                      <w:color w:val="auto"/>
                    </w:rPr>
                  </w:pPr>
                  <w:r>
                    <w:rPr>
                      <w:color w:val="auto"/>
                    </w:rPr>
                    <w:t>与厂界南面距离</w:t>
                  </w:r>
                </w:p>
              </w:tc>
              <w:tc>
                <w:tcPr>
                  <w:tcW w:w="1658" w:type="dxa"/>
                  <w:shd w:val="clear" w:color="auto" w:fill="auto"/>
                  <w:vAlign w:val="center"/>
                </w:tcPr>
                <w:p w14:paraId="33D3FEBD">
                  <w:pPr>
                    <w:pStyle w:val="52"/>
                    <w:rPr>
                      <w:color w:val="auto"/>
                      <w:szCs w:val="21"/>
                    </w:rPr>
                  </w:pPr>
                  <w:r>
                    <w:rPr>
                      <w:color w:val="auto"/>
                      <w:szCs w:val="21"/>
                    </w:rPr>
                    <w:t>50</w:t>
                  </w:r>
                </w:p>
              </w:tc>
              <w:tc>
                <w:tcPr>
                  <w:tcW w:w="1325" w:type="dxa"/>
                  <w:shd w:val="clear" w:color="auto" w:fill="auto"/>
                  <w:vAlign w:val="center"/>
                </w:tcPr>
                <w:p w14:paraId="4995BCCA">
                  <w:pPr>
                    <w:pStyle w:val="52"/>
                    <w:rPr>
                      <w:color w:val="auto"/>
                      <w:szCs w:val="21"/>
                    </w:rPr>
                  </w:pPr>
                  <w:r>
                    <w:rPr>
                      <w:color w:val="auto"/>
                      <w:szCs w:val="21"/>
                    </w:rPr>
                    <w:t>58</w:t>
                  </w:r>
                </w:p>
              </w:tc>
              <w:tc>
                <w:tcPr>
                  <w:tcW w:w="1491" w:type="dxa"/>
                  <w:vAlign w:val="center"/>
                </w:tcPr>
                <w:p w14:paraId="7514AD8C">
                  <w:pPr>
                    <w:pStyle w:val="52"/>
                    <w:rPr>
                      <w:color w:val="auto"/>
                    </w:rPr>
                  </w:pPr>
                  <w:r>
                    <w:rPr>
                      <w:color w:val="auto"/>
                    </w:rPr>
                    <w:t>20</w:t>
                  </w:r>
                </w:p>
              </w:tc>
              <w:tc>
                <w:tcPr>
                  <w:tcW w:w="1161" w:type="dxa"/>
                  <w:vAlign w:val="center"/>
                </w:tcPr>
                <w:p w14:paraId="36343DCC">
                  <w:pPr>
                    <w:pStyle w:val="52"/>
                    <w:rPr>
                      <w:color w:val="auto"/>
                    </w:rPr>
                  </w:pPr>
                  <w:r>
                    <w:rPr>
                      <w:color w:val="auto"/>
                    </w:rPr>
                    <w:t>70</w:t>
                  </w:r>
                </w:p>
              </w:tc>
              <w:tc>
                <w:tcPr>
                  <w:tcW w:w="1219" w:type="dxa"/>
                  <w:vAlign w:val="center"/>
                </w:tcPr>
                <w:p w14:paraId="27196A5E">
                  <w:pPr>
                    <w:pStyle w:val="52"/>
                    <w:rPr>
                      <w:color w:val="auto"/>
                    </w:rPr>
                  </w:pPr>
                  <w:r>
                    <w:rPr>
                      <w:color w:val="auto"/>
                    </w:rPr>
                    <w:t>80</w:t>
                  </w:r>
                </w:p>
              </w:tc>
            </w:tr>
            <w:tr w14:paraId="0B23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6E0F3EE3">
                  <w:pPr>
                    <w:pStyle w:val="52"/>
                    <w:rPr>
                      <w:color w:val="auto"/>
                    </w:rPr>
                  </w:pPr>
                  <w:r>
                    <w:rPr>
                      <w:color w:val="auto"/>
                    </w:rPr>
                    <w:t>与厂界西面距离</w:t>
                  </w:r>
                </w:p>
              </w:tc>
              <w:tc>
                <w:tcPr>
                  <w:tcW w:w="1658" w:type="dxa"/>
                  <w:shd w:val="clear" w:color="auto" w:fill="auto"/>
                  <w:vAlign w:val="center"/>
                </w:tcPr>
                <w:p w14:paraId="4C3069C9">
                  <w:pPr>
                    <w:pStyle w:val="52"/>
                    <w:rPr>
                      <w:color w:val="auto"/>
                      <w:szCs w:val="21"/>
                    </w:rPr>
                  </w:pPr>
                  <w:r>
                    <w:rPr>
                      <w:color w:val="auto"/>
                      <w:szCs w:val="21"/>
                    </w:rPr>
                    <w:t>200</w:t>
                  </w:r>
                </w:p>
              </w:tc>
              <w:tc>
                <w:tcPr>
                  <w:tcW w:w="1325" w:type="dxa"/>
                  <w:shd w:val="clear" w:color="auto" w:fill="auto"/>
                  <w:vAlign w:val="center"/>
                </w:tcPr>
                <w:p w14:paraId="0BA23392">
                  <w:pPr>
                    <w:pStyle w:val="52"/>
                    <w:rPr>
                      <w:color w:val="auto"/>
                      <w:szCs w:val="21"/>
                    </w:rPr>
                  </w:pPr>
                  <w:r>
                    <w:rPr>
                      <w:color w:val="auto"/>
                      <w:szCs w:val="21"/>
                    </w:rPr>
                    <w:t>180</w:t>
                  </w:r>
                </w:p>
              </w:tc>
              <w:tc>
                <w:tcPr>
                  <w:tcW w:w="1491" w:type="dxa"/>
                  <w:vAlign w:val="center"/>
                </w:tcPr>
                <w:p w14:paraId="4F0374B0">
                  <w:pPr>
                    <w:pStyle w:val="52"/>
                    <w:rPr>
                      <w:color w:val="auto"/>
                    </w:rPr>
                  </w:pPr>
                  <w:r>
                    <w:rPr>
                      <w:color w:val="auto"/>
                    </w:rPr>
                    <w:t>270</w:t>
                  </w:r>
                </w:p>
              </w:tc>
              <w:tc>
                <w:tcPr>
                  <w:tcW w:w="1161" w:type="dxa"/>
                  <w:vAlign w:val="center"/>
                </w:tcPr>
                <w:p w14:paraId="49D853C4">
                  <w:pPr>
                    <w:pStyle w:val="52"/>
                    <w:rPr>
                      <w:color w:val="auto"/>
                    </w:rPr>
                  </w:pPr>
                  <w:r>
                    <w:rPr>
                      <w:color w:val="auto"/>
                    </w:rPr>
                    <w:t>380</w:t>
                  </w:r>
                </w:p>
              </w:tc>
              <w:tc>
                <w:tcPr>
                  <w:tcW w:w="1219" w:type="dxa"/>
                  <w:vAlign w:val="center"/>
                </w:tcPr>
                <w:p w14:paraId="1AC4F41A">
                  <w:pPr>
                    <w:pStyle w:val="52"/>
                    <w:rPr>
                      <w:color w:val="auto"/>
                    </w:rPr>
                  </w:pPr>
                  <w:r>
                    <w:rPr>
                      <w:color w:val="auto"/>
                    </w:rPr>
                    <w:t>400</w:t>
                  </w:r>
                </w:p>
              </w:tc>
            </w:tr>
            <w:tr w14:paraId="2F28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34CE0B96">
                  <w:pPr>
                    <w:pStyle w:val="52"/>
                    <w:rPr>
                      <w:color w:val="auto"/>
                    </w:rPr>
                  </w:pPr>
                  <w:r>
                    <w:rPr>
                      <w:color w:val="auto"/>
                    </w:rPr>
                    <w:t>与厂界北面距离</w:t>
                  </w:r>
                </w:p>
              </w:tc>
              <w:tc>
                <w:tcPr>
                  <w:tcW w:w="1658" w:type="dxa"/>
                  <w:shd w:val="clear" w:color="auto" w:fill="auto"/>
                  <w:vAlign w:val="center"/>
                </w:tcPr>
                <w:p w14:paraId="78F1D4B9">
                  <w:pPr>
                    <w:pStyle w:val="52"/>
                    <w:rPr>
                      <w:color w:val="auto"/>
                      <w:szCs w:val="21"/>
                    </w:rPr>
                  </w:pPr>
                  <w:r>
                    <w:rPr>
                      <w:color w:val="auto"/>
                      <w:szCs w:val="21"/>
                    </w:rPr>
                    <w:t>80</w:t>
                  </w:r>
                </w:p>
              </w:tc>
              <w:tc>
                <w:tcPr>
                  <w:tcW w:w="1325" w:type="dxa"/>
                  <w:shd w:val="clear" w:color="auto" w:fill="auto"/>
                  <w:vAlign w:val="center"/>
                </w:tcPr>
                <w:p w14:paraId="4F4B83C8">
                  <w:pPr>
                    <w:pStyle w:val="52"/>
                    <w:rPr>
                      <w:color w:val="auto"/>
                      <w:szCs w:val="21"/>
                    </w:rPr>
                  </w:pPr>
                  <w:r>
                    <w:rPr>
                      <w:color w:val="auto"/>
                      <w:szCs w:val="21"/>
                    </w:rPr>
                    <w:t>80</w:t>
                  </w:r>
                </w:p>
              </w:tc>
              <w:tc>
                <w:tcPr>
                  <w:tcW w:w="1491" w:type="dxa"/>
                  <w:vAlign w:val="center"/>
                </w:tcPr>
                <w:p w14:paraId="3CC3C6E1">
                  <w:pPr>
                    <w:pStyle w:val="52"/>
                    <w:rPr>
                      <w:color w:val="auto"/>
                    </w:rPr>
                  </w:pPr>
                  <w:r>
                    <w:rPr>
                      <w:color w:val="auto"/>
                    </w:rPr>
                    <w:t>70</w:t>
                  </w:r>
                </w:p>
              </w:tc>
              <w:tc>
                <w:tcPr>
                  <w:tcW w:w="1161" w:type="dxa"/>
                  <w:vAlign w:val="center"/>
                </w:tcPr>
                <w:p w14:paraId="1A0E7F5D">
                  <w:pPr>
                    <w:pStyle w:val="52"/>
                    <w:rPr>
                      <w:color w:val="auto"/>
                    </w:rPr>
                  </w:pPr>
                  <w:r>
                    <w:rPr>
                      <w:color w:val="auto"/>
                    </w:rPr>
                    <w:t>160</w:t>
                  </w:r>
                </w:p>
              </w:tc>
              <w:tc>
                <w:tcPr>
                  <w:tcW w:w="1219" w:type="dxa"/>
                  <w:vAlign w:val="center"/>
                </w:tcPr>
                <w:p w14:paraId="4DBCD9F4">
                  <w:pPr>
                    <w:pStyle w:val="52"/>
                    <w:rPr>
                      <w:color w:val="auto"/>
                    </w:rPr>
                  </w:pPr>
                  <w:r>
                    <w:rPr>
                      <w:color w:val="auto"/>
                    </w:rPr>
                    <w:t>150</w:t>
                  </w:r>
                </w:p>
              </w:tc>
            </w:tr>
          </w:tbl>
          <w:p w14:paraId="3FD73381">
            <w:pPr>
              <w:ind w:firstLine="480"/>
              <w:rPr>
                <w:rFonts w:cs="Times New Roman"/>
              </w:rPr>
            </w:pPr>
            <w:r>
              <w:rPr>
                <w:rFonts w:cs="Times New Roman"/>
              </w:rPr>
              <w:t>B、预测模式</w:t>
            </w:r>
          </w:p>
          <w:p w14:paraId="1D0CEC22">
            <w:pPr>
              <w:ind w:firstLine="480"/>
              <w:rPr>
                <w:rFonts w:cs="Times New Roman"/>
              </w:rPr>
            </w:pPr>
            <w:r>
              <w:rPr>
                <w:rFonts w:cs="Times New Roman"/>
              </w:rPr>
              <w:t>运营期噪声源主要是设备噪声，所以按照点声源考虑，采用点声源评价模式：</w:t>
            </w:r>
          </w:p>
          <w:p w14:paraId="1CB14094">
            <w:pPr>
              <w:ind w:firstLine="480"/>
              <w:rPr>
                <w:rFonts w:cs="Times New Roman"/>
              </w:rPr>
            </w:pPr>
            <w:r>
              <w:rPr>
                <w:rFonts w:cs="Times New Roman"/>
              </w:rPr>
              <w:t>Loct(r)=Loct(r0)-20lg(r/r0)-</w:t>
            </w:r>
            <w:r>
              <w:rPr>
                <w:rFonts w:ascii="Cambria Math" w:hAnsi="Cambria Math" w:cs="Cambria Math"/>
              </w:rPr>
              <w:t>△</w:t>
            </w:r>
            <w:r>
              <w:rPr>
                <w:rFonts w:cs="Times New Roman"/>
              </w:rPr>
              <w:t>Loct</w:t>
            </w:r>
          </w:p>
          <w:p w14:paraId="75970C4E">
            <w:pPr>
              <w:ind w:firstLine="480"/>
              <w:rPr>
                <w:rFonts w:cs="Times New Roman"/>
              </w:rPr>
            </w:pPr>
            <w:r>
              <w:rPr>
                <w:rFonts w:cs="Times New Roman"/>
              </w:rPr>
              <w:t>式中：</w:t>
            </w:r>
            <w:r>
              <w:rPr>
                <w:rFonts w:cs="Times New Roman"/>
              </w:rPr>
              <w:tab/>
            </w:r>
            <w:r>
              <w:rPr>
                <w:rFonts w:cs="Times New Roman"/>
              </w:rPr>
              <w:t>Loct(r)—点声源在预测点产生的声压级</w:t>
            </w:r>
          </w:p>
          <w:p w14:paraId="638D5A8B">
            <w:pPr>
              <w:ind w:firstLine="1166" w:firstLineChars="486"/>
              <w:rPr>
                <w:rFonts w:cs="Times New Roman"/>
              </w:rPr>
            </w:pPr>
            <w:r>
              <w:rPr>
                <w:rFonts w:cs="Times New Roman"/>
              </w:rPr>
              <w:t>Loct(r0)—参考位置处的声压级</w:t>
            </w:r>
          </w:p>
          <w:p w14:paraId="0F65713A">
            <w:pPr>
              <w:ind w:firstLine="1166" w:firstLineChars="486"/>
              <w:rPr>
                <w:rFonts w:cs="Times New Roman"/>
              </w:rPr>
            </w:pPr>
            <w:r>
              <w:rPr>
                <w:rFonts w:cs="Times New Roman"/>
              </w:rPr>
              <w:t>r0—声源与参考位置间的距离，取值5m</w:t>
            </w:r>
          </w:p>
          <w:p w14:paraId="1263FC64">
            <w:pPr>
              <w:ind w:firstLine="1166" w:firstLineChars="486"/>
              <w:rPr>
                <w:rFonts w:cs="Times New Roman"/>
              </w:rPr>
            </w:pPr>
            <w:r>
              <w:rPr>
                <w:rFonts w:cs="Times New Roman"/>
              </w:rPr>
              <w:t>r—预测点与声源间的距离，m</w:t>
            </w:r>
          </w:p>
          <w:p w14:paraId="3091A25A">
            <w:pPr>
              <w:ind w:firstLine="1166" w:firstLineChars="486"/>
              <w:rPr>
                <w:rFonts w:cs="Times New Roman"/>
              </w:rPr>
            </w:pPr>
            <w:r>
              <w:rPr>
                <w:rFonts w:ascii="Cambria Math" w:hAnsi="Cambria Math" w:cs="Cambria Math"/>
              </w:rPr>
              <w:t>△</w:t>
            </w:r>
            <w:r>
              <w:rPr>
                <w:rFonts w:cs="Times New Roman"/>
              </w:rPr>
              <w:t>Loct—各种因素引起的衰减量，包括地面效应、建筑物隔声等多方面引起的衰减量。</w:t>
            </w:r>
          </w:p>
          <w:p w14:paraId="0750C7DB">
            <w:pPr>
              <w:ind w:firstLine="480"/>
              <w:rPr>
                <w:rFonts w:cs="Times New Roman"/>
              </w:rPr>
            </w:pPr>
            <w:r>
              <w:rPr>
                <w:rFonts w:cs="Times New Roman"/>
              </w:rPr>
              <w:t>各受声点的声源叠加按下列公式计算：</w:t>
            </w:r>
          </w:p>
          <w:p w14:paraId="34872D0A">
            <w:pPr>
              <w:ind w:firstLine="480"/>
              <w:rPr>
                <w:rFonts w:cs="Times New Roman"/>
              </w:rPr>
            </w:pPr>
            <w:r>
              <w:rPr>
                <w:rFonts w:cs="Times New Roman"/>
              </w:rPr>
              <w:drawing>
                <wp:inline distT="0" distB="0" distL="0" distR="0">
                  <wp:extent cx="1249680" cy="487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49680" cy="487680"/>
                          </a:xfrm>
                          <a:prstGeom prst="rect">
                            <a:avLst/>
                          </a:prstGeom>
                          <a:noFill/>
                          <a:ln>
                            <a:noFill/>
                          </a:ln>
                        </pic:spPr>
                      </pic:pic>
                    </a:graphicData>
                  </a:graphic>
                </wp:inline>
              </w:drawing>
            </w:r>
          </w:p>
          <w:p w14:paraId="39982EDE">
            <w:pPr>
              <w:ind w:firstLine="480"/>
              <w:rPr>
                <w:rFonts w:cs="Times New Roman"/>
              </w:rPr>
            </w:pPr>
            <w:r>
              <w:rPr>
                <w:rFonts w:cs="Times New Roman"/>
              </w:rPr>
              <w:t>式中：Li---第i个声源声值；</w:t>
            </w:r>
          </w:p>
          <w:p w14:paraId="50D0C9D2">
            <w:pPr>
              <w:ind w:firstLine="1166" w:firstLineChars="486"/>
              <w:rPr>
                <w:rFonts w:cs="Times New Roman"/>
              </w:rPr>
            </w:pPr>
            <w:r>
              <w:rPr>
                <w:rFonts w:cs="Times New Roman"/>
              </w:rPr>
              <w:t>LA---某点噪声总叠加值；</w:t>
            </w:r>
          </w:p>
          <w:p w14:paraId="5B4C4DED">
            <w:pPr>
              <w:ind w:firstLine="1166" w:firstLineChars="486"/>
              <w:rPr>
                <w:rFonts w:cs="Times New Roman"/>
              </w:rPr>
            </w:pPr>
            <w:r>
              <w:rPr>
                <w:rFonts w:cs="Times New Roman"/>
              </w:rPr>
              <w:t>n---声源个数；</w:t>
            </w:r>
          </w:p>
          <w:p w14:paraId="778FAEC2">
            <w:pPr>
              <w:ind w:firstLine="480"/>
              <w:rPr>
                <w:rFonts w:cs="Times New Roman"/>
              </w:rPr>
            </w:pPr>
            <w:r>
              <w:rPr>
                <w:rFonts w:cs="Times New Roman"/>
              </w:rPr>
              <w:t>C、预测结果</w:t>
            </w:r>
          </w:p>
          <w:p w14:paraId="5DBD3CD3">
            <w:pPr>
              <w:ind w:firstLine="480"/>
              <w:rPr>
                <w:rFonts w:cs="Times New Roman"/>
              </w:rPr>
            </w:pPr>
            <w:r>
              <w:rPr>
                <w:rFonts w:cs="Times New Roman"/>
              </w:rPr>
              <w:t>厂界噪声预测结果见表7-1</w:t>
            </w:r>
            <w:r>
              <w:rPr>
                <w:rFonts w:hint="eastAsia" w:cs="Times New Roman"/>
              </w:rPr>
              <w:t>6</w:t>
            </w:r>
            <w:r>
              <w:rPr>
                <w:rFonts w:cs="Times New Roman"/>
              </w:rPr>
              <w:t>。</w:t>
            </w:r>
          </w:p>
          <w:p w14:paraId="389AF17B">
            <w:pPr>
              <w:pStyle w:val="31"/>
              <w:spacing w:line="240" w:lineRule="auto"/>
              <w:rPr>
                <w:rFonts w:cs="Times New Roman"/>
              </w:rPr>
            </w:pPr>
            <w:r>
              <w:rPr>
                <w:rFonts w:cs="Times New Roman"/>
              </w:rPr>
              <w:t>表7-1</w:t>
            </w:r>
            <w:r>
              <w:rPr>
                <w:rFonts w:hint="eastAsia" w:cs="Times New Roman"/>
              </w:rPr>
              <w:t>6</w:t>
            </w:r>
            <w:r>
              <w:rPr>
                <w:rFonts w:cs="Times New Roman"/>
              </w:rPr>
              <w:t xml:space="preserve">  厂界噪声预测结果  单位：dB（A）</w:t>
            </w:r>
          </w:p>
          <w:tbl>
            <w:tblPr>
              <w:tblStyle w:val="21"/>
              <w:tblW w:w="9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9"/>
              <w:gridCol w:w="2019"/>
              <w:gridCol w:w="2011"/>
              <w:gridCol w:w="2015"/>
              <w:gridCol w:w="2013"/>
            </w:tblGrid>
            <w:tr w14:paraId="5A6CE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58" w:type="dxa"/>
                  <w:gridSpan w:val="2"/>
                  <w:vMerge w:val="restart"/>
                  <w:vAlign w:val="center"/>
                </w:tcPr>
                <w:p w14:paraId="0F0E4233">
                  <w:pPr>
                    <w:pStyle w:val="52"/>
                    <w:rPr>
                      <w:color w:val="auto"/>
                    </w:rPr>
                  </w:pPr>
                  <w:r>
                    <w:rPr>
                      <w:color w:val="auto"/>
                    </w:rPr>
                    <w:t>厂界</w:t>
                  </w:r>
                </w:p>
              </w:tc>
              <w:tc>
                <w:tcPr>
                  <w:tcW w:w="6039" w:type="dxa"/>
                  <w:gridSpan w:val="3"/>
                  <w:vAlign w:val="center"/>
                </w:tcPr>
                <w:p w14:paraId="17133B41">
                  <w:pPr>
                    <w:pStyle w:val="52"/>
                    <w:rPr>
                      <w:color w:val="auto"/>
                    </w:rPr>
                  </w:pPr>
                  <w:r>
                    <w:rPr>
                      <w:color w:val="auto"/>
                    </w:rPr>
                    <w:t>昼间</w:t>
                  </w:r>
                </w:p>
              </w:tc>
            </w:tr>
            <w:tr w14:paraId="3D86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58" w:type="dxa"/>
                  <w:gridSpan w:val="2"/>
                  <w:vMerge w:val="continue"/>
                  <w:vAlign w:val="center"/>
                </w:tcPr>
                <w:p w14:paraId="4204547A">
                  <w:pPr>
                    <w:pStyle w:val="52"/>
                    <w:rPr>
                      <w:color w:val="auto"/>
                    </w:rPr>
                  </w:pPr>
                </w:p>
              </w:tc>
              <w:tc>
                <w:tcPr>
                  <w:tcW w:w="2011" w:type="dxa"/>
                  <w:vAlign w:val="center"/>
                </w:tcPr>
                <w:p w14:paraId="402A0CE4">
                  <w:pPr>
                    <w:pStyle w:val="52"/>
                    <w:rPr>
                      <w:color w:val="auto"/>
                    </w:rPr>
                  </w:pPr>
                  <w:r>
                    <w:rPr>
                      <w:color w:val="auto"/>
                    </w:rPr>
                    <w:t>贡献值</w:t>
                  </w:r>
                </w:p>
              </w:tc>
              <w:tc>
                <w:tcPr>
                  <w:tcW w:w="2015" w:type="dxa"/>
                  <w:tcBorders>
                    <w:left w:val="single" w:color="auto" w:sz="4" w:space="0"/>
                    <w:right w:val="single" w:color="auto" w:sz="4" w:space="0"/>
                  </w:tcBorders>
                  <w:vAlign w:val="center"/>
                </w:tcPr>
                <w:p w14:paraId="2568F7C8">
                  <w:pPr>
                    <w:pStyle w:val="52"/>
                    <w:rPr>
                      <w:color w:val="auto"/>
                    </w:rPr>
                  </w:pPr>
                  <w:r>
                    <w:rPr>
                      <w:color w:val="auto"/>
                    </w:rPr>
                    <w:t>标准值</w:t>
                  </w:r>
                </w:p>
              </w:tc>
              <w:tc>
                <w:tcPr>
                  <w:tcW w:w="2013" w:type="dxa"/>
                  <w:tcBorders>
                    <w:left w:val="single" w:color="auto" w:sz="4" w:space="0"/>
                  </w:tcBorders>
                  <w:vAlign w:val="center"/>
                </w:tcPr>
                <w:p w14:paraId="416AA0F3">
                  <w:pPr>
                    <w:pStyle w:val="52"/>
                    <w:rPr>
                      <w:color w:val="auto"/>
                    </w:rPr>
                  </w:pPr>
                  <w:r>
                    <w:rPr>
                      <w:color w:val="auto"/>
                    </w:rPr>
                    <w:t>达标情况</w:t>
                  </w:r>
                </w:p>
              </w:tc>
            </w:tr>
            <w:tr w14:paraId="12F4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1639" w:type="dxa"/>
                  <w:vMerge w:val="restart"/>
                  <w:tcBorders>
                    <w:right w:val="single" w:color="auto" w:sz="4" w:space="0"/>
                  </w:tcBorders>
                  <w:vAlign w:val="center"/>
                </w:tcPr>
                <w:p w14:paraId="48C816A3">
                  <w:pPr>
                    <w:pStyle w:val="52"/>
                    <w:rPr>
                      <w:color w:val="auto"/>
                    </w:rPr>
                  </w:pPr>
                  <w:r>
                    <w:rPr>
                      <w:color w:val="auto"/>
                    </w:rPr>
                    <w:t>工业场地</w:t>
                  </w:r>
                </w:p>
              </w:tc>
              <w:tc>
                <w:tcPr>
                  <w:tcW w:w="2019" w:type="dxa"/>
                  <w:tcBorders>
                    <w:left w:val="single" w:color="auto" w:sz="4" w:space="0"/>
                  </w:tcBorders>
                  <w:vAlign w:val="center"/>
                </w:tcPr>
                <w:p w14:paraId="4503AAA1">
                  <w:pPr>
                    <w:pStyle w:val="52"/>
                    <w:rPr>
                      <w:color w:val="auto"/>
                    </w:rPr>
                  </w:pPr>
                  <w:r>
                    <w:rPr>
                      <w:color w:val="auto"/>
                    </w:rPr>
                    <w:t>东厂界</w:t>
                  </w:r>
                </w:p>
              </w:tc>
              <w:tc>
                <w:tcPr>
                  <w:tcW w:w="2011" w:type="dxa"/>
                  <w:tcBorders>
                    <w:left w:val="single" w:color="auto" w:sz="4" w:space="0"/>
                  </w:tcBorders>
                  <w:vAlign w:val="center"/>
                </w:tcPr>
                <w:p w14:paraId="5AE10598">
                  <w:pPr>
                    <w:pStyle w:val="52"/>
                    <w:rPr>
                      <w:color w:val="auto"/>
                    </w:rPr>
                  </w:pPr>
                  <w:r>
                    <w:rPr>
                      <w:color w:val="auto"/>
                    </w:rPr>
                    <w:t>56.71</w:t>
                  </w:r>
                </w:p>
              </w:tc>
              <w:tc>
                <w:tcPr>
                  <w:tcW w:w="2015" w:type="dxa"/>
                  <w:tcBorders>
                    <w:left w:val="single" w:color="auto" w:sz="4" w:space="0"/>
                    <w:right w:val="single" w:color="auto" w:sz="4" w:space="0"/>
                  </w:tcBorders>
                  <w:vAlign w:val="center"/>
                </w:tcPr>
                <w:p w14:paraId="595235D4">
                  <w:pPr>
                    <w:pStyle w:val="52"/>
                    <w:rPr>
                      <w:color w:val="auto"/>
                    </w:rPr>
                  </w:pPr>
                  <w:r>
                    <w:rPr>
                      <w:color w:val="auto"/>
                    </w:rPr>
                    <w:t>60</w:t>
                  </w:r>
                </w:p>
              </w:tc>
              <w:tc>
                <w:tcPr>
                  <w:tcW w:w="2013" w:type="dxa"/>
                  <w:tcBorders>
                    <w:left w:val="single" w:color="auto" w:sz="4" w:space="0"/>
                  </w:tcBorders>
                  <w:vAlign w:val="center"/>
                </w:tcPr>
                <w:p w14:paraId="19CA91B0">
                  <w:pPr>
                    <w:pStyle w:val="52"/>
                    <w:rPr>
                      <w:color w:val="auto"/>
                    </w:rPr>
                  </w:pPr>
                  <w:r>
                    <w:rPr>
                      <w:color w:val="auto"/>
                    </w:rPr>
                    <w:t>达标</w:t>
                  </w:r>
                </w:p>
              </w:tc>
            </w:tr>
            <w:tr w14:paraId="3CD3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jc w:val="center"/>
              </w:trPr>
              <w:tc>
                <w:tcPr>
                  <w:tcW w:w="1639" w:type="dxa"/>
                  <w:vMerge w:val="continue"/>
                  <w:tcBorders>
                    <w:right w:val="single" w:color="auto" w:sz="4" w:space="0"/>
                  </w:tcBorders>
                  <w:vAlign w:val="center"/>
                </w:tcPr>
                <w:p w14:paraId="23D0B438">
                  <w:pPr>
                    <w:pStyle w:val="52"/>
                    <w:rPr>
                      <w:color w:val="auto"/>
                    </w:rPr>
                  </w:pPr>
                </w:p>
              </w:tc>
              <w:tc>
                <w:tcPr>
                  <w:tcW w:w="2019" w:type="dxa"/>
                  <w:tcBorders>
                    <w:left w:val="single" w:color="auto" w:sz="4" w:space="0"/>
                  </w:tcBorders>
                  <w:vAlign w:val="center"/>
                </w:tcPr>
                <w:p w14:paraId="508A6FB8">
                  <w:pPr>
                    <w:pStyle w:val="52"/>
                    <w:rPr>
                      <w:color w:val="auto"/>
                    </w:rPr>
                  </w:pPr>
                  <w:r>
                    <w:rPr>
                      <w:color w:val="auto"/>
                    </w:rPr>
                    <w:t>南厂界</w:t>
                  </w:r>
                </w:p>
              </w:tc>
              <w:tc>
                <w:tcPr>
                  <w:tcW w:w="2011" w:type="dxa"/>
                  <w:tcBorders>
                    <w:left w:val="single" w:color="auto" w:sz="4" w:space="0"/>
                  </w:tcBorders>
                  <w:vAlign w:val="center"/>
                </w:tcPr>
                <w:p w14:paraId="2BAAAE52">
                  <w:pPr>
                    <w:pStyle w:val="52"/>
                    <w:rPr>
                      <w:color w:val="auto"/>
                    </w:rPr>
                  </w:pPr>
                  <w:r>
                    <w:rPr>
                      <w:color w:val="auto"/>
                    </w:rPr>
                    <w:t>55.22</w:t>
                  </w:r>
                </w:p>
              </w:tc>
              <w:tc>
                <w:tcPr>
                  <w:tcW w:w="2015" w:type="dxa"/>
                  <w:tcBorders>
                    <w:left w:val="single" w:color="auto" w:sz="4" w:space="0"/>
                    <w:right w:val="single" w:color="auto" w:sz="4" w:space="0"/>
                  </w:tcBorders>
                  <w:vAlign w:val="center"/>
                </w:tcPr>
                <w:p w14:paraId="6F64BF9B">
                  <w:pPr>
                    <w:pStyle w:val="52"/>
                    <w:rPr>
                      <w:color w:val="auto"/>
                    </w:rPr>
                  </w:pPr>
                  <w:r>
                    <w:rPr>
                      <w:color w:val="auto"/>
                    </w:rPr>
                    <w:t>60</w:t>
                  </w:r>
                </w:p>
              </w:tc>
              <w:tc>
                <w:tcPr>
                  <w:tcW w:w="2013" w:type="dxa"/>
                  <w:tcBorders>
                    <w:left w:val="single" w:color="auto" w:sz="4" w:space="0"/>
                  </w:tcBorders>
                  <w:vAlign w:val="center"/>
                </w:tcPr>
                <w:p w14:paraId="276FDC6B">
                  <w:pPr>
                    <w:pStyle w:val="52"/>
                    <w:rPr>
                      <w:color w:val="auto"/>
                    </w:rPr>
                  </w:pPr>
                  <w:r>
                    <w:rPr>
                      <w:color w:val="auto"/>
                    </w:rPr>
                    <w:t>达标</w:t>
                  </w:r>
                </w:p>
              </w:tc>
            </w:tr>
            <w:tr w14:paraId="5C44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1639" w:type="dxa"/>
                  <w:vMerge w:val="continue"/>
                  <w:tcBorders>
                    <w:right w:val="single" w:color="auto" w:sz="4" w:space="0"/>
                  </w:tcBorders>
                  <w:vAlign w:val="center"/>
                </w:tcPr>
                <w:p w14:paraId="4F9F9C00">
                  <w:pPr>
                    <w:pStyle w:val="52"/>
                    <w:rPr>
                      <w:color w:val="auto"/>
                    </w:rPr>
                  </w:pPr>
                </w:p>
              </w:tc>
              <w:tc>
                <w:tcPr>
                  <w:tcW w:w="2019" w:type="dxa"/>
                  <w:tcBorders>
                    <w:left w:val="single" w:color="auto" w:sz="4" w:space="0"/>
                  </w:tcBorders>
                  <w:vAlign w:val="center"/>
                </w:tcPr>
                <w:p w14:paraId="380F59A0">
                  <w:pPr>
                    <w:pStyle w:val="52"/>
                    <w:rPr>
                      <w:color w:val="auto"/>
                    </w:rPr>
                  </w:pPr>
                  <w:r>
                    <w:rPr>
                      <w:color w:val="auto"/>
                    </w:rPr>
                    <w:t>西厂界</w:t>
                  </w:r>
                </w:p>
              </w:tc>
              <w:tc>
                <w:tcPr>
                  <w:tcW w:w="2011" w:type="dxa"/>
                  <w:tcBorders>
                    <w:left w:val="single" w:color="auto" w:sz="4" w:space="0"/>
                  </w:tcBorders>
                  <w:vAlign w:val="center"/>
                </w:tcPr>
                <w:p w14:paraId="0A656DA6">
                  <w:pPr>
                    <w:pStyle w:val="52"/>
                    <w:rPr>
                      <w:color w:val="auto"/>
                    </w:rPr>
                  </w:pPr>
                  <w:r>
                    <w:rPr>
                      <w:color w:val="auto"/>
                    </w:rPr>
                    <w:t>46.59</w:t>
                  </w:r>
                </w:p>
              </w:tc>
              <w:tc>
                <w:tcPr>
                  <w:tcW w:w="2015" w:type="dxa"/>
                  <w:tcBorders>
                    <w:left w:val="single" w:color="auto" w:sz="4" w:space="0"/>
                    <w:right w:val="single" w:color="auto" w:sz="4" w:space="0"/>
                  </w:tcBorders>
                  <w:vAlign w:val="center"/>
                </w:tcPr>
                <w:p w14:paraId="0FD4F1C0">
                  <w:pPr>
                    <w:pStyle w:val="52"/>
                    <w:rPr>
                      <w:color w:val="auto"/>
                    </w:rPr>
                  </w:pPr>
                  <w:r>
                    <w:rPr>
                      <w:color w:val="auto"/>
                    </w:rPr>
                    <w:t>60</w:t>
                  </w:r>
                </w:p>
              </w:tc>
              <w:tc>
                <w:tcPr>
                  <w:tcW w:w="2013" w:type="dxa"/>
                  <w:tcBorders>
                    <w:left w:val="single" w:color="auto" w:sz="4" w:space="0"/>
                  </w:tcBorders>
                  <w:vAlign w:val="center"/>
                </w:tcPr>
                <w:p w14:paraId="1FD539DB">
                  <w:pPr>
                    <w:pStyle w:val="52"/>
                    <w:rPr>
                      <w:color w:val="auto"/>
                    </w:rPr>
                  </w:pPr>
                  <w:r>
                    <w:rPr>
                      <w:color w:val="auto"/>
                    </w:rPr>
                    <w:t>达标</w:t>
                  </w:r>
                </w:p>
              </w:tc>
            </w:tr>
            <w:tr w14:paraId="6F02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1639" w:type="dxa"/>
                  <w:vMerge w:val="continue"/>
                  <w:tcBorders>
                    <w:right w:val="single" w:color="auto" w:sz="4" w:space="0"/>
                  </w:tcBorders>
                  <w:vAlign w:val="center"/>
                </w:tcPr>
                <w:p w14:paraId="3EFF5D49">
                  <w:pPr>
                    <w:pStyle w:val="52"/>
                    <w:rPr>
                      <w:color w:val="auto"/>
                    </w:rPr>
                  </w:pPr>
                </w:p>
              </w:tc>
              <w:tc>
                <w:tcPr>
                  <w:tcW w:w="2019" w:type="dxa"/>
                  <w:tcBorders>
                    <w:left w:val="single" w:color="auto" w:sz="4" w:space="0"/>
                  </w:tcBorders>
                  <w:vAlign w:val="center"/>
                </w:tcPr>
                <w:p w14:paraId="24D407B1">
                  <w:pPr>
                    <w:pStyle w:val="52"/>
                    <w:rPr>
                      <w:color w:val="auto"/>
                    </w:rPr>
                  </w:pPr>
                  <w:r>
                    <w:rPr>
                      <w:color w:val="auto"/>
                    </w:rPr>
                    <w:t>北厂界</w:t>
                  </w:r>
                </w:p>
              </w:tc>
              <w:tc>
                <w:tcPr>
                  <w:tcW w:w="2011" w:type="dxa"/>
                  <w:tcBorders>
                    <w:left w:val="single" w:color="auto" w:sz="4" w:space="0"/>
                  </w:tcBorders>
                  <w:vAlign w:val="center"/>
                </w:tcPr>
                <w:p w14:paraId="2723A709">
                  <w:pPr>
                    <w:pStyle w:val="52"/>
                    <w:rPr>
                      <w:color w:val="auto"/>
                    </w:rPr>
                  </w:pPr>
                  <w:r>
                    <w:rPr>
                      <w:color w:val="auto"/>
                    </w:rPr>
                    <w:t>48.69</w:t>
                  </w:r>
                </w:p>
              </w:tc>
              <w:tc>
                <w:tcPr>
                  <w:tcW w:w="2015" w:type="dxa"/>
                  <w:tcBorders>
                    <w:left w:val="single" w:color="auto" w:sz="4" w:space="0"/>
                    <w:right w:val="single" w:color="auto" w:sz="4" w:space="0"/>
                  </w:tcBorders>
                  <w:vAlign w:val="center"/>
                </w:tcPr>
                <w:p w14:paraId="707653FB">
                  <w:pPr>
                    <w:pStyle w:val="52"/>
                    <w:rPr>
                      <w:color w:val="auto"/>
                    </w:rPr>
                  </w:pPr>
                  <w:r>
                    <w:rPr>
                      <w:color w:val="auto"/>
                    </w:rPr>
                    <w:t>60</w:t>
                  </w:r>
                </w:p>
              </w:tc>
              <w:tc>
                <w:tcPr>
                  <w:tcW w:w="2013" w:type="dxa"/>
                  <w:tcBorders>
                    <w:left w:val="single" w:color="auto" w:sz="4" w:space="0"/>
                  </w:tcBorders>
                  <w:vAlign w:val="center"/>
                </w:tcPr>
                <w:p w14:paraId="19044FB0">
                  <w:pPr>
                    <w:pStyle w:val="52"/>
                    <w:rPr>
                      <w:color w:val="auto"/>
                    </w:rPr>
                  </w:pPr>
                  <w:r>
                    <w:rPr>
                      <w:color w:val="auto"/>
                    </w:rPr>
                    <w:t>达标</w:t>
                  </w:r>
                </w:p>
              </w:tc>
            </w:tr>
            <w:tr w14:paraId="4E869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9697" w:type="dxa"/>
                  <w:gridSpan w:val="5"/>
                  <w:vAlign w:val="center"/>
                </w:tcPr>
                <w:p w14:paraId="45342B3C">
                  <w:pPr>
                    <w:pStyle w:val="52"/>
                    <w:rPr>
                      <w:color w:val="auto"/>
                    </w:rPr>
                  </w:pPr>
                  <w:r>
                    <w:rPr>
                      <w:color w:val="auto"/>
                    </w:rPr>
                    <w:t>项目夜间不进行生产</w:t>
                  </w:r>
                </w:p>
              </w:tc>
            </w:tr>
          </w:tbl>
          <w:p w14:paraId="3C6F8D7F">
            <w:pPr>
              <w:ind w:firstLine="480"/>
              <w:rPr>
                <w:rFonts w:cs="Times New Roman"/>
              </w:rPr>
            </w:pPr>
            <w:r>
              <w:rPr>
                <w:rFonts w:cs="Times New Roman"/>
              </w:rPr>
              <w:t>从表7-14可以看出，项目夜间不进行生产，项目厂界噪声昼间能够达到《工业企业厂界环境噪声排放标准》2类标准。</w:t>
            </w:r>
          </w:p>
          <w:p w14:paraId="5E64CAA0">
            <w:pPr>
              <w:ind w:firstLine="480"/>
              <w:rPr>
                <w:rFonts w:cs="Times New Roman"/>
              </w:rPr>
            </w:pPr>
            <w:r>
              <w:rPr>
                <w:rFonts w:cs="Times New Roman"/>
              </w:rPr>
              <w:t>项目区最近的保护目标为</w:t>
            </w:r>
            <w:r>
              <w:rPr>
                <w:rFonts w:hint="eastAsia" w:cs="Times New Roman"/>
              </w:rPr>
              <w:t>矿区</w:t>
            </w:r>
            <w:r>
              <w:rPr>
                <w:rFonts w:cs="Times New Roman"/>
                <w:spacing w:val="-10"/>
              </w:rPr>
              <w:t>西南侧</w:t>
            </w:r>
            <w:r>
              <w:rPr>
                <w:rFonts w:cs="Times New Roman"/>
              </w:rPr>
              <w:t>300m处的</w:t>
            </w:r>
            <w:r>
              <w:rPr>
                <w:rFonts w:cs="Times New Roman"/>
                <w:snapToGrid w:val="0"/>
              </w:rPr>
              <w:t>芦姐萨</w:t>
            </w:r>
            <w:r>
              <w:rPr>
                <w:rFonts w:cs="Times New Roman"/>
              </w:rPr>
              <w:t>村，项目运营期产生噪声对其影响不大。</w:t>
            </w:r>
          </w:p>
          <w:p w14:paraId="64C2C292">
            <w:pPr>
              <w:ind w:firstLine="480"/>
              <w:rPr>
                <w:rFonts w:cs="Times New Roman"/>
              </w:rPr>
            </w:pPr>
            <w:r>
              <w:rPr>
                <w:rFonts w:cs="Times New Roman"/>
              </w:rPr>
              <w:t>（2）小结</w:t>
            </w:r>
          </w:p>
          <w:p w14:paraId="5E05CE5A">
            <w:pPr>
              <w:ind w:firstLine="480"/>
              <w:rPr>
                <w:rFonts w:cs="Times New Roman"/>
              </w:rPr>
            </w:pPr>
            <w:r>
              <w:rPr>
                <w:rFonts w:cs="Times New Roman"/>
              </w:rPr>
              <w:t>根据预测分析，严格执行本环评提出措施后，项目夜间不进行生产，项目厂界噪声昼间能够达到《工业企业厂界环境噪声排放标准》2类标准。项目区最近的保护目标为采区</w:t>
            </w:r>
            <w:r>
              <w:rPr>
                <w:rFonts w:cs="Times New Roman"/>
                <w:spacing w:val="-10"/>
              </w:rPr>
              <w:t>西南侧</w:t>
            </w:r>
            <w:r>
              <w:rPr>
                <w:rFonts w:cs="Times New Roman"/>
              </w:rPr>
              <w:t>300m处的</w:t>
            </w:r>
            <w:r>
              <w:rPr>
                <w:rFonts w:cs="Times New Roman"/>
                <w:snapToGrid w:val="0"/>
              </w:rPr>
              <w:t>芦姐萨</w:t>
            </w:r>
            <w:r>
              <w:rPr>
                <w:rFonts w:cs="Times New Roman"/>
              </w:rPr>
              <w:t>村，项目运营期产生噪声对其影响不大。</w:t>
            </w:r>
          </w:p>
          <w:p w14:paraId="4704AACE">
            <w:pPr>
              <w:ind w:firstLine="482"/>
              <w:rPr>
                <w:rFonts w:cs="Times New Roman"/>
                <w:b/>
              </w:rPr>
            </w:pPr>
            <w:r>
              <w:rPr>
                <w:rFonts w:cs="Times New Roman"/>
                <w:b/>
              </w:rPr>
              <w:t>4、固体废物环境影响分析</w:t>
            </w:r>
          </w:p>
          <w:p w14:paraId="2887A7F5">
            <w:pPr>
              <w:ind w:firstLine="480"/>
              <w:rPr>
                <w:rFonts w:cs="Times New Roman"/>
              </w:rPr>
            </w:pPr>
            <w:r>
              <w:rPr>
                <w:rFonts w:cs="Times New Roman"/>
              </w:rPr>
              <w:t>项目开采期产生的固体废弃物主要是废土石，其次是少量的隔油池废油、厨房泔水、化粪池污泥、雨水沉淀池沉渣、生活垃圾及机修废油等。</w:t>
            </w:r>
          </w:p>
          <w:p w14:paraId="5973BCF4">
            <w:pPr>
              <w:ind w:firstLine="480"/>
              <w:rPr>
                <w:rFonts w:cs="Times New Roman"/>
              </w:rPr>
            </w:pPr>
            <w:r>
              <w:rPr>
                <w:rFonts w:cs="Times New Roman"/>
              </w:rPr>
              <w:t>（1）一般固废环境影响分析</w:t>
            </w:r>
          </w:p>
          <w:p w14:paraId="4F5F046D">
            <w:pPr>
              <w:ind w:firstLine="480"/>
              <w:rPr>
                <w:rFonts w:cs="Times New Roman"/>
              </w:rPr>
            </w:pPr>
            <w:r>
              <w:rPr>
                <w:rFonts w:cs="Times New Roman"/>
              </w:rPr>
              <w:t>项目剥离的废土石量为6.437万m</w:t>
            </w:r>
            <w:r>
              <w:rPr>
                <w:rFonts w:cs="Times New Roman"/>
                <w:vertAlign w:val="superscript"/>
              </w:rPr>
              <w:t>3</w:t>
            </w:r>
            <w:r>
              <w:rPr>
                <w:rFonts w:cs="Times New Roman"/>
              </w:rPr>
              <w:t>/年，服务年限内共产生废石量为</w:t>
            </w:r>
            <w:r>
              <w:rPr>
                <w:rFonts w:cs="Times New Roman"/>
                <w:szCs w:val="24"/>
                <w:lang w:val="zh-CN"/>
              </w:rPr>
              <w:t>145.47万m</w:t>
            </w:r>
            <w:r>
              <w:rPr>
                <w:rFonts w:cs="Times New Roman"/>
                <w:szCs w:val="24"/>
                <w:vertAlign w:val="superscript"/>
                <w:lang w:val="zh-CN"/>
              </w:rPr>
              <w:t>3</w:t>
            </w:r>
            <w:r>
              <w:rPr>
                <w:rFonts w:cs="Times New Roman"/>
              </w:rPr>
              <w:t>，存于弃渣场。</w:t>
            </w:r>
          </w:p>
          <w:p w14:paraId="1F74C895">
            <w:pPr>
              <w:ind w:firstLine="480"/>
              <w:rPr>
                <w:rFonts w:cs="Times New Roman"/>
              </w:rPr>
            </w:pPr>
            <w:r>
              <w:rPr>
                <w:rFonts w:cs="Times New Roman"/>
              </w:rPr>
              <w:t>矿山已经开采多年，本次建设把原有的弃渣场进行完善，增加拦渣坝，弃渣场设计库容</w:t>
            </w:r>
            <w:r>
              <w:rPr>
                <w:rFonts w:cs="Times New Roman"/>
                <w:kern w:val="10"/>
              </w:rPr>
              <w:t>156</w:t>
            </w:r>
            <w:r>
              <w:rPr>
                <w:rFonts w:cs="Times New Roman"/>
              </w:rPr>
              <w:t>万m</w:t>
            </w:r>
            <w:r>
              <w:rPr>
                <w:rFonts w:cs="Times New Roman"/>
                <w:vertAlign w:val="superscript"/>
              </w:rPr>
              <w:t>3</w:t>
            </w:r>
            <w:r>
              <w:rPr>
                <w:rFonts w:cs="Times New Roman"/>
              </w:rPr>
              <w:t>。</w:t>
            </w:r>
            <w:r>
              <w:rPr>
                <w:rFonts w:cs="Times New Roman"/>
                <w:bCs/>
                <w:kern w:val="10"/>
              </w:rPr>
              <w:t>实际开采中硅质白云岩和白云质灰岩夹石可与好的灰岩搭配使用，可大大降低弃渣场容量要求，</w:t>
            </w:r>
            <w:r>
              <w:rPr>
                <w:rFonts w:cs="Times New Roman"/>
                <w:kern w:val="10"/>
              </w:rPr>
              <w:t>容量能够满足</w:t>
            </w:r>
            <w:r>
              <w:rPr>
                <w:rFonts w:cs="Times New Roman"/>
                <w:bCs/>
                <w:kern w:val="10"/>
              </w:rPr>
              <w:t>排土排石使用。</w:t>
            </w:r>
          </w:p>
          <w:p w14:paraId="09678C31">
            <w:pPr>
              <w:ind w:firstLine="480"/>
              <w:rPr>
                <w:rFonts w:cs="Times New Roman"/>
              </w:rPr>
            </w:pPr>
            <w:r>
              <w:rPr>
                <w:rFonts w:cs="Times New Roman"/>
                <w:kern w:val="10"/>
              </w:rPr>
              <w:t>按设计弃渣场下游修建拦渣坝</w:t>
            </w:r>
            <w:r>
              <w:rPr>
                <w:rFonts w:cs="Times New Roman"/>
              </w:rPr>
              <w:t>（60m×0.5m×3.5m），拦渣坝须由资质单位设计建设，拦渣坝须由资质单位设计建设，并于弃渣场周边设置截排水沟。</w:t>
            </w:r>
          </w:p>
          <w:p w14:paraId="6639D864">
            <w:pPr>
              <w:ind w:firstLine="480"/>
              <w:rPr>
                <w:rFonts w:cs="Times New Roman"/>
              </w:rPr>
            </w:pPr>
            <w:r>
              <w:rPr>
                <w:rFonts w:cs="Times New Roman"/>
              </w:rPr>
              <w:t>（2）生活固废环境影响分析</w:t>
            </w:r>
          </w:p>
          <w:p w14:paraId="1F62E3A2">
            <w:pPr>
              <w:ind w:firstLine="480"/>
              <w:rPr>
                <w:rFonts w:cs="Times New Roman"/>
              </w:rPr>
            </w:pPr>
            <w:r>
              <w:rPr>
                <w:rFonts w:cs="Times New Roman"/>
              </w:rPr>
              <w:t>项目化粪池污泥产生量为0.432t/a，定期清掏后作为植被施肥；雨水沉淀池沉渣产生量为323.19t/a，定期清掏至弃渣场堆存；生活垃圾产生量约6.0t/a，利用垃圾桶收集后，定期外运至附近乡镇垃圾集中处置点处置；厨房泔水和隔油池废油产生量为2.4t/a，用带盖泔水收集桶收集后运至环卫部门指定的场所进行处置。</w:t>
            </w:r>
          </w:p>
          <w:p w14:paraId="7004640A">
            <w:pPr>
              <w:ind w:firstLine="480"/>
              <w:rPr>
                <w:rFonts w:cs="Times New Roman"/>
              </w:rPr>
            </w:pPr>
            <w:r>
              <w:rPr>
                <w:rFonts w:cs="Times New Roman"/>
              </w:rPr>
              <w:t>（3）危险废物环境影响分析</w:t>
            </w:r>
          </w:p>
          <w:p w14:paraId="57E6F504">
            <w:pPr>
              <w:ind w:firstLine="480"/>
              <w:rPr>
                <w:rFonts w:cs="Times New Roman"/>
              </w:rPr>
            </w:pPr>
            <w:r>
              <w:rPr>
                <w:rFonts w:cs="Times New Roman"/>
              </w:rPr>
              <w:t>项目机修废油产生量为0.03t/a，设置危险废物暂存间贮存后全部回用于破碎设备保养维护。按照《危险废物贮存污染控制标准》（GB18597-2001）及2013年修改单的一般要求，设置专门的废机油收集桶，暂存于危废暂存间，按规范设置标志，统一收集后作为润滑剂降级再利用。</w:t>
            </w:r>
          </w:p>
          <w:p w14:paraId="1C54637B">
            <w:pPr>
              <w:ind w:firstLine="480"/>
              <w:rPr>
                <w:rFonts w:cs="Times New Roman"/>
              </w:rPr>
            </w:pPr>
            <w:r>
              <w:rPr>
                <w:rFonts w:hint="eastAsia" w:ascii="宋体" w:hAnsi="宋体" w:cs="宋体"/>
              </w:rPr>
              <w:t>①</w:t>
            </w:r>
            <w:r>
              <w:rPr>
                <w:rFonts w:cs="Times New Roman"/>
              </w:rPr>
              <w:t>废机油贮存容器要求</w:t>
            </w:r>
          </w:p>
          <w:p w14:paraId="4E2551BE">
            <w:pPr>
              <w:ind w:firstLine="480"/>
              <w:rPr>
                <w:rFonts w:cs="Times New Roman"/>
              </w:rPr>
            </w:pPr>
            <w:r>
              <w:rPr>
                <w:rFonts w:cs="Times New Roman"/>
              </w:rPr>
              <w:t>a、危险废物的容器必须设置危险废物标识；</w:t>
            </w:r>
          </w:p>
          <w:p w14:paraId="0EF689CB">
            <w:pPr>
              <w:ind w:firstLine="480"/>
              <w:rPr>
                <w:rFonts w:cs="Times New Roman"/>
              </w:rPr>
            </w:pPr>
            <w:r>
              <w:rPr>
                <w:rFonts w:cs="Times New Roman"/>
              </w:rPr>
              <w:t>b、装载危险废物的容器要完好无损，防渗漏；</w:t>
            </w:r>
          </w:p>
          <w:p w14:paraId="6076FF5F">
            <w:pPr>
              <w:ind w:firstLine="480"/>
              <w:rPr>
                <w:rFonts w:cs="Times New Roman"/>
              </w:rPr>
            </w:pPr>
            <w:r>
              <w:rPr>
                <w:rFonts w:cs="Times New Roman"/>
              </w:rPr>
              <w:t>c、盛装危险废物的容器材质和衬里要与危险废物相容（不相互反应）；</w:t>
            </w:r>
          </w:p>
          <w:p w14:paraId="0FEC24EC">
            <w:pPr>
              <w:ind w:firstLine="480"/>
              <w:rPr>
                <w:rFonts w:cs="Times New Roman"/>
              </w:rPr>
            </w:pPr>
            <w:r>
              <w:rPr>
                <w:rFonts w:cs="Times New Roman"/>
              </w:rPr>
              <w:t>d、装载危险废物的容器及材质要满足相应的强度要求。</w:t>
            </w:r>
          </w:p>
          <w:p w14:paraId="4E8B89FB">
            <w:pPr>
              <w:ind w:firstLine="480"/>
              <w:rPr>
                <w:rFonts w:cs="Times New Roman"/>
              </w:rPr>
            </w:pPr>
            <w:r>
              <w:rPr>
                <w:rFonts w:hint="eastAsia" w:ascii="宋体" w:hAnsi="宋体" w:cs="宋体"/>
              </w:rPr>
              <w:t>②</w:t>
            </w:r>
            <w:r>
              <w:rPr>
                <w:rFonts w:cs="Times New Roman"/>
              </w:rPr>
              <w:t>项目危险废物暂存间建设要求</w:t>
            </w:r>
          </w:p>
          <w:p w14:paraId="7FE98F76">
            <w:pPr>
              <w:ind w:firstLine="480"/>
              <w:rPr>
                <w:rFonts w:cs="Times New Roman"/>
              </w:rPr>
            </w:pPr>
            <w:r>
              <w:rPr>
                <w:rFonts w:cs="Times New Roman"/>
              </w:rPr>
              <w:t>本环评要求建设单位单独设置危险废物暂存间对项目废机油进行临时贮存。危险废物暂存间的建设应满足以下要求：</w:t>
            </w:r>
          </w:p>
          <w:p w14:paraId="37F03205">
            <w:pPr>
              <w:ind w:firstLine="480"/>
              <w:rPr>
                <w:rFonts w:cs="Times New Roman"/>
              </w:rPr>
            </w:pPr>
            <w:r>
              <w:rPr>
                <w:rFonts w:cs="Times New Roman"/>
              </w:rPr>
              <w:t>a、地面与裙脚要用坚固、防渗的材料建造，建筑材料必须与危险废物相容；</w:t>
            </w:r>
          </w:p>
          <w:p w14:paraId="5D8C00B3">
            <w:pPr>
              <w:ind w:firstLine="480"/>
              <w:rPr>
                <w:rFonts w:cs="Times New Roman"/>
              </w:rPr>
            </w:pPr>
            <w:r>
              <w:rPr>
                <w:rFonts w:cs="Times New Roman"/>
              </w:rPr>
              <w:t>b、设施内要有安全照明设施和观察窗口；</w:t>
            </w:r>
          </w:p>
          <w:p w14:paraId="77A38DF2">
            <w:pPr>
              <w:ind w:firstLine="480"/>
              <w:rPr>
                <w:rFonts w:cs="Times New Roman"/>
              </w:rPr>
            </w:pPr>
            <w:r>
              <w:rPr>
                <w:rFonts w:cs="Times New Roman"/>
              </w:rPr>
              <w:t>c、基础必须防渗，防渗层为至少1米厚粘土层；</w:t>
            </w:r>
          </w:p>
          <w:p w14:paraId="619FA848">
            <w:pPr>
              <w:ind w:firstLine="480"/>
              <w:rPr>
                <w:rFonts w:cs="Times New Roman"/>
              </w:rPr>
            </w:pPr>
            <w:r>
              <w:rPr>
                <w:rFonts w:cs="Times New Roman"/>
              </w:rPr>
              <w:t>d、在衬里上设计、建造浸出液收集清除系统；</w:t>
            </w:r>
          </w:p>
          <w:p w14:paraId="0CFE90BD">
            <w:pPr>
              <w:ind w:firstLine="480"/>
              <w:rPr>
                <w:rFonts w:cs="Times New Roman"/>
              </w:rPr>
            </w:pPr>
            <w:r>
              <w:rPr>
                <w:rFonts w:cs="Times New Roman"/>
              </w:rPr>
              <w:t>e、应设计建造径流疏导系统，保证能防止25年一遇的暴雨不会流到危险废物堆里。</w:t>
            </w:r>
          </w:p>
          <w:p w14:paraId="309C58C5">
            <w:pPr>
              <w:ind w:firstLine="480"/>
              <w:rPr>
                <w:rFonts w:cs="Times New Roman"/>
              </w:rPr>
            </w:pPr>
            <w:r>
              <w:rPr>
                <w:rFonts w:hint="eastAsia" w:ascii="宋体" w:hAnsi="宋体" w:cs="宋体"/>
              </w:rPr>
              <w:t>③</w:t>
            </w:r>
            <w:r>
              <w:rPr>
                <w:rFonts w:cs="Times New Roman"/>
              </w:rPr>
              <w:t>暂存管理制度</w:t>
            </w:r>
          </w:p>
          <w:p w14:paraId="242838A6">
            <w:pPr>
              <w:ind w:firstLine="480"/>
              <w:rPr>
                <w:rFonts w:cs="Times New Roman"/>
              </w:rPr>
            </w:pPr>
            <w:r>
              <w:rPr>
                <w:rFonts w:cs="Times New Roman"/>
              </w:rPr>
              <w:t>按照《危险废物贮存污染控制标准》（GB18597-2001）要求储存和管理废机油暂存时应遵循以下管理制度：</w:t>
            </w:r>
          </w:p>
          <w:p w14:paraId="428D2295">
            <w:pPr>
              <w:ind w:firstLine="480"/>
              <w:rPr>
                <w:rFonts w:cs="Times New Roman"/>
              </w:rPr>
            </w:pPr>
            <w:r>
              <w:rPr>
                <w:rFonts w:cs="Times New Roman"/>
              </w:rPr>
              <w:t>a、废机油暂时贮存处应设有明显的危险废物识别标志</w:t>
            </w:r>
          </w:p>
          <w:p w14:paraId="15C15F77">
            <w:pPr>
              <w:ind w:firstLine="480"/>
              <w:rPr>
                <w:rFonts w:cs="Times New Roman"/>
              </w:rPr>
            </w:pPr>
            <w:r>
              <w:rPr>
                <w:rFonts w:cs="Times New Roman"/>
              </w:rPr>
              <w:t>b、对危险废物暂时贮存场所要加强管理，定期巡检，确保危险废物不扩散、不渗漏、不丢失。</w:t>
            </w:r>
          </w:p>
          <w:p w14:paraId="377D44B7">
            <w:pPr>
              <w:ind w:firstLine="480"/>
              <w:rPr>
                <w:rFonts w:cs="Times New Roman"/>
              </w:rPr>
            </w:pPr>
            <w:r>
              <w:rPr>
                <w:rFonts w:cs="Times New Roman"/>
              </w:rPr>
              <w:t>c、认真执行各项安全措施，防止渗漏和雨水冲刷。</w:t>
            </w:r>
          </w:p>
          <w:p w14:paraId="737E5841">
            <w:pPr>
              <w:ind w:firstLine="480"/>
              <w:rPr>
                <w:rFonts w:cs="Times New Roman"/>
              </w:rPr>
            </w:pPr>
            <w:r>
              <w:rPr>
                <w:rFonts w:cs="Times New Roman"/>
              </w:rPr>
              <w:t>d、必须定期对所贮存的危险废物包装容器及贮存设施进行检查，发现破损，应及时采取措施清理更换。</w:t>
            </w:r>
          </w:p>
          <w:p w14:paraId="35594DA6">
            <w:pPr>
              <w:ind w:firstLine="480"/>
              <w:rPr>
                <w:rFonts w:cs="Times New Roman"/>
              </w:rPr>
            </w:pPr>
            <w:r>
              <w:rPr>
                <w:rFonts w:cs="Times New Roman"/>
              </w:rPr>
              <w:t>e、危废暂存间周围应设置围墙或其它防护栅栏。</w:t>
            </w:r>
          </w:p>
          <w:p w14:paraId="69A0A927">
            <w:pPr>
              <w:ind w:firstLine="480"/>
              <w:rPr>
                <w:rFonts w:cs="Times New Roman"/>
              </w:rPr>
            </w:pPr>
            <w:r>
              <w:rPr>
                <w:rFonts w:cs="Times New Roman"/>
              </w:rPr>
              <w:t>综上，项目运营期产生的固体废物能够得到妥善的处置。</w:t>
            </w:r>
          </w:p>
          <w:p w14:paraId="0D6539B6">
            <w:pPr>
              <w:ind w:firstLine="482"/>
              <w:rPr>
                <w:rFonts w:cs="Times New Roman"/>
                <w:b/>
              </w:rPr>
            </w:pPr>
            <w:r>
              <w:rPr>
                <w:rFonts w:cs="Times New Roman"/>
                <w:b/>
              </w:rPr>
              <w:t>5、生态环境影响分析</w:t>
            </w:r>
          </w:p>
          <w:p w14:paraId="744A8D63">
            <w:pPr>
              <w:ind w:firstLine="480"/>
              <w:rPr>
                <w:rFonts w:cs="Times New Roman"/>
                <w:bCs/>
              </w:rPr>
            </w:pPr>
            <w:r>
              <w:rPr>
                <w:rFonts w:cs="Times New Roman"/>
                <w:bCs/>
              </w:rPr>
              <w:t>（1）土地利用影响分析</w:t>
            </w:r>
          </w:p>
          <w:p w14:paraId="346DA033">
            <w:pPr>
              <w:ind w:firstLine="480"/>
              <w:jc w:val="both"/>
              <w:rPr>
                <w:rFonts w:cs="Times New Roman"/>
              </w:rPr>
            </w:pPr>
            <w:r>
              <w:rPr>
                <w:rFonts w:cs="Times New Roman"/>
              </w:rPr>
              <w:t>本项目工程建设将导致对项目区的土地利用结构有一定影响，将使评价区的现有土地利用类型中，灌木林地面积将有所减少。项目新增土地利用性质转变为工矿用地，土地利用类型发生较大变化，而土地利用的价值将有所提高。在项目建设完成后，通过绿化等措施恢复占地，能够对提高项目区生态环境起到积极的作用，项目对于用地性质的改变将维持到封场期。</w:t>
            </w:r>
          </w:p>
          <w:p w14:paraId="04185226">
            <w:pPr>
              <w:ind w:firstLine="480"/>
              <w:rPr>
                <w:rFonts w:cs="Times New Roman"/>
              </w:rPr>
            </w:pPr>
            <w:r>
              <w:rPr>
                <w:rFonts w:cs="Times New Roman"/>
              </w:rPr>
              <w:t>总体来说，项目建设对区域土地利用影响程度较小。</w:t>
            </w:r>
          </w:p>
          <w:p w14:paraId="7639762A">
            <w:pPr>
              <w:ind w:firstLine="480"/>
              <w:rPr>
                <w:rFonts w:cs="Times New Roman"/>
                <w:bCs/>
              </w:rPr>
            </w:pPr>
            <w:r>
              <w:rPr>
                <w:rFonts w:cs="Times New Roman"/>
                <w:bCs/>
              </w:rPr>
              <w:t>（2）对植被影响分析</w:t>
            </w:r>
          </w:p>
          <w:p w14:paraId="0FEB5FED">
            <w:pPr>
              <w:pStyle w:val="94"/>
              <w:ind w:firstLine="480"/>
              <w:rPr>
                <w:rFonts w:cs="Times New Roman"/>
              </w:rPr>
            </w:pPr>
            <w:r>
              <w:rPr>
                <w:rFonts w:cs="Times New Roman"/>
              </w:rPr>
              <w:t>根据表1-3，本项目工程总占地面积37.44hm</w:t>
            </w:r>
            <w:r>
              <w:rPr>
                <w:rFonts w:cs="Times New Roman"/>
                <w:vertAlign w:val="superscript"/>
              </w:rPr>
              <w:t>2</w:t>
            </w:r>
            <w:r>
              <w:rPr>
                <w:rFonts w:cs="Times New Roman"/>
              </w:rPr>
              <w:t>，其中灌木林地28.21hm</w:t>
            </w:r>
            <w:r>
              <w:rPr>
                <w:rFonts w:cs="Times New Roman"/>
                <w:vertAlign w:val="superscript"/>
              </w:rPr>
              <w:t>2</w:t>
            </w:r>
            <w:r>
              <w:rPr>
                <w:rFonts w:cs="Times New Roman"/>
              </w:rPr>
              <w:t>，有林地0.12hm</w:t>
            </w:r>
            <w:r>
              <w:rPr>
                <w:rFonts w:cs="Times New Roman"/>
                <w:vertAlign w:val="superscript"/>
              </w:rPr>
              <w:t>2</w:t>
            </w:r>
            <w:r>
              <w:rPr>
                <w:rFonts w:cs="Times New Roman"/>
              </w:rPr>
              <w:t>，主要以稀树灌木草丛及旱冬瓜灌丛为主，采石场开采对植被的影响，首先是开采面、道路区覆盖层被剥离成为裸露地，其上生长的植物损毁死亡，道路区等占压植被使植物死亡，造成矿区范围内植物数量减少、植被覆盖率下降；其次是矿产资源开发导致人为影响加强，矿区植被类型和组成植物种类发生改变，影响矿区周边自然生态系统的稳定。</w:t>
            </w:r>
          </w:p>
          <w:p w14:paraId="126F61B3">
            <w:pPr>
              <w:pStyle w:val="94"/>
              <w:ind w:firstLine="480"/>
              <w:rPr>
                <w:rFonts w:cs="Times New Roman"/>
              </w:rPr>
            </w:pPr>
            <w:r>
              <w:rPr>
                <w:rFonts w:cs="Times New Roman"/>
              </w:rPr>
              <w:t>本项目矿区范围内植物物种主要为旱冬瓜、</w:t>
            </w:r>
            <w:r>
              <w:rPr>
                <w:rFonts w:cs="Times New Roman"/>
                <w:szCs w:val="24"/>
              </w:rPr>
              <w:t>大乌泡、卵</w:t>
            </w:r>
            <w:r>
              <w:rPr>
                <w:rFonts w:cs="Times New Roman"/>
                <w:szCs w:val="28"/>
              </w:rPr>
              <w:t>叶悬钩子、岗柃、盐肤木、臭荚蒾、无柄金丝桃</w:t>
            </w:r>
            <w:r>
              <w:rPr>
                <w:rFonts w:cs="Times New Roman"/>
              </w:rPr>
              <w:t>等，都是一些常见种，无国家级及当地保护植物，也没有地区特有种和科研价值高的物种。因此，矿山开采不会使某种植物物种灭绝。该矿山采取边进行矿石开采，边进行植被复垦，并合理的搭配不同种类的植物作植被恢复，使项目区域植被覆盖率达到并超过开采前的植被覆盖率，减轻项目实施对植被、植物影响。因此，项目实施对植被、植物的影响不大。</w:t>
            </w:r>
          </w:p>
          <w:p w14:paraId="354F8186">
            <w:pPr>
              <w:ind w:firstLine="480"/>
              <w:rPr>
                <w:rFonts w:cs="Times New Roman"/>
              </w:rPr>
            </w:pPr>
            <w:r>
              <w:rPr>
                <w:rFonts w:cs="Times New Roman"/>
              </w:rPr>
              <w:t>（3）对植物的影响分析</w:t>
            </w:r>
          </w:p>
          <w:p w14:paraId="2883C503">
            <w:pPr>
              <w:ind w:firstLine="480"/>
              <w:rPr>
                <w:rFonts w:cs="Times New Roman"/>
              </w:rPr>
            </w:pPr>
            <w:r>
              <w:rPr>
                <w:rFonts w:cs="Times New Roman"/>
              </w:rPr>
              <w:t>通过现场调查，</w:t>
            </w:r>
            <w:r>
              <w:rPr>
                <w:rFonts w:cs="Times New Roman"/>
                <w:bCs/>
              </w:rPr>
              <w:t>评价范围内无</w:t>
            </w:r>
            <w:r>
              <w:rPr>
                <w:rFonts w:cs="Times New Roman"/>
              </w:rPr>
              <w:t>国家和省级重点保护野生植物，未发现狭义的当地特有植物的分布，所有植物资源种类为常见种。</w:t>
            </w:r>
          </w:p>
          <w:p w14:paraId="7CC7DC70">
            <w:pPr>
              <w:ind w:firstLine="480"/>
              <w:rPr>
                <w:rFonts w:cs="Times New Roman"/>
              </w:rPr>
            </w:pPr>
            <w:r>
              <w:rPr>
                <w:rFonts w:cs="Times New Roman"/>
              </w:rPr>
              <w:t>本工程共占用土地37.44hm</w:t>
            </w:r>
            <w:r>
              <w:rPr>
                <w:rFonts w:cs="Times New Roman"/>
                <w:vertAlign w:val="superscript"/>
              </w:rPr>
              <w:t>2</w:t>
            </w:r>
            <w:r>
              <w:rPr>
                <w:rFonts w:cs="Times New Roman"/>
              </w:rPr>
              <w:t>，矿山开采将使部分植物资源遭到破坏，导致这些植物种群数量的减少和分布生境的缩小，但这些物种在芒市的其他区域广为分布，大多数种类也是区域的常见种类，在云南省的许多区域都可以发现这些群落和植物，矿山开采不会导致植物群落和植物物种的消失，不会造成物种灭绝。因此矿山开采所产生的这种影响是有限的、局部的，是可以接受的。</w:t>
            </w:r>
          </w:p>
          <w:p w14:paraId="14D24E19">
            <w:pPr>
              <w:ind w:firstLine="480"/>
              <w:rPr>
                <w:rFonts w:cs="Times New Roman"/>
                <w:bCs/>
              </w:rPr>
            </w:pPr>
            <w:r>
              <w:rPr>
                <w:rFonts w:cs="Times New Roman"/>
                <w:bCs/>
              </w:rPr>
              <w:t>（4）动物资源影响分析</w:t>
            </w:r>
          </w:p>
          <w:p w14:paraId="633527E9">
            <w:pPr>
              <w:ind w:firstLine="480"/>
              <w:rPr>
                <w:rFonts w:cs="Times New Roman"/>
              </w:rPr>
            </w:pPr>
            <w:r>
              <w:rPr>
                <w:rFonts w:cs="Times New Roman"/>
              </w:rPr>
              <w:t>项目区由于受人为活动的干扰，根据现场调查评价区内无大型动物，无国家保护的珍稀濒危动物。</w:t>
            </w:r>
          </w:p>
          <w:p w14:paraId="3F35AB5C">
            <w:pPr>
              <w:ind w:firstLine="480"/>
              <w:rPr>
                <w:rFonts w:cs="Times New Roman"/>
              </w:rPr>
            </w:pPr>
            <w:r>
              <w:rPr>
                <w:rFonts w:cs="Times New Roman"/>
              </w:rPr>
              <w:t>项目开采对植被破坏的同时，也破坏了原有生态环境中小型野生动物的栖息环境，加上机械噪声及人员活动产生的影响，对周围动物的生活造成干扰，使它们的生活受到威胁而迁徙，远离开采区。</w:t>
            </w:r>
          </w:p>
          <w:p w14:paraId="6D1343AA">
            <w:pPr>
              <w:ind w:firstLine="480"/>
              <w:rPr>
                <w:rFonts w:cs="Times New Roman"/>
              </w:rPr>
            </w:pPr>
            <w:r>
              <w:rPr>
                <w:rFonts w:cs="Times New Roman"/>
              </w:rPr>
              <w:t>但由于本项目扰动范围较小，对野生动物栖息地的影响有限。因此，矿山开采对评价区小型野生动物的类型及数量会产生一定影响，但影响较小。</w:t>
            </w:r>
          </w:p>
          <w:p w14:paraId="012AAF18">
            <w:pPr>
              <w:ind w:firstLine="482"/>
              <w:rPr>
                <w:rFonts w:cs="Times New Roman"/>
                <w:b/>
                <w:bCs/>
              </w:rPr>
            </w:pPr>
            <w:bookmarkStart w:id="43" w:name="_Toc381653706"/>
            <w:r>
              <w:rPr>
                <w:rFonts w:cs="Times New Roman"/>
                <w:b/>
                <w:bCs/>
              </w:rPr>
              <w:t>6、景观影响分析</w:t>
            </w:r>
            <w:bookmarkEnd w:id="43"/>
          </w:p>
          <w:p w14:paraId="26B7B08D">
            <w:pPr>
              <w:ind w:firstLine="480"/>
              <w:rPr>
                <w:rFonts w:cs="Times New Roman"/>
              </w:rPr>
            </w:pPr>
            <w:r>
              <w:rPr>
                <w:rFonts w:cs="Times New Roman"/>
              </w:rPr>
              <w:t>矿山开采对景观的影响主要是对矿区原自然景观和生态景观的影响，表现在施工期工程挖填方、表层剥采、生产加工区、弃渣场的设置，改变了原有地形、地貌，破坏地表结构，影响了地表形态的连续性和协调性；植被、土壤及山体的破坏造成剖面表土、地表裸露，人工痕迹明显，与地表生物群落景观不和谐，影响视感景观；矿区原始的植被被生活设施、开采区、加工设备等人工建（构）筑物遮掩，与周围环境的色彩、形态形成强烈的对比，引起的视觉污染较大，使区域生态景观原有的协调性和自然性受到破坏；频繁的开采活动会破坏高原原有的静谧。因此，应采取相应的工程措施和生态恢复措施，加强施工管理，规范施工行为，方可减轻工程建设对环境景观的影响。</w:t>
            </w:r>
          </w:p>
          <w:p w14:paraId="3CAAE762">
            <w:pPr>
              <w:ind w:firstLine="480"/>
              <w:rPr>
                <w:rFonts w:cs="Times New Roman"/>
              </w:rPr>
            </w:pPr>
            <w:r>
              <w:rPr>
                <w:rFonts w:cs="Times New Roman"/>
              </w:rPr>
              <w:t>目前开采期对景观的影响主要表现在：</w:t>
            </w:r>
          </w:p>
          <w:p w14:paraId="6CCBCECD">
            <w:pPr>
              <w:ind w:firstLine="480"/>
              <w:rPr>
                <w:rFonts w:cs="Times New Roman"/>
              </w:rPr>
            </w:pPr>
            <w:r>
              <w:rPr>
                <w:rFonts w:cs="Times New Roman"/>
              </w:rPr>
              <w:t>（1）项目区产生的废土石堆置于弃渣场，与周边自然环境不协调，对局部自然景观造成一定影响。</w:t>
            </w:r>
          </w:p>
          <w:p w14:paraId="4D79EEED">
            <w:pPr>
              <w:ind w:firstLine="480"/>
              <w:rPr>
                <w:rFonts w:cs="Times New Roman"/>
              </w:rPr>
            </w:pPr>
            <w:r>
              <w:rPr>
                <w:rFonts w:cs="Times New Roman"/>
              </w:rPr>
              <w:t>（2）已形成的露天采场使原有自然山体及植被被破坏，形成裸露的，切割样地貌，对景观的产生一定程度的影响，随采区范围扩大，这种影响范围将进一步扩大。</w:t>
            </w:r>
          </w:p>
          <w:p w14:paraId="71D4B287">
            <w:pPr>
              <w:ind w:firstLine="480"/>
              <w:rPr>
                <w:rFonts w:cs="Times New Roman"/>
              </w:rPr>
            </w:pPr>
            <w:r>
              <w:rPr>
                <w:rFonts w:cs="Times New Roman"/>
              </w:rPr>
              <w:t>（3）项目区可视范围内无铁路、省道、国道等主干道，满足《矿山生态环境保护与污染防治技术政策》的视觉景观要求，对视觉影响较小。</w:t>
            </w:r>
          </w:p>
          <w:p w14:paraId="5C273C6E">
            <w:pPr>
              <w:ind w:firstLine="480"/>
              <w:rPr>
                <w:rFonts w:cs="Times New Roman"/>
              </w:rPr>
            </w:pPr>
            <w:r>
              <w:rPr>
                <w:rFonts w:cs="Times New Roman"/>
              </w:rPr>
              <w:t>综上，本项目选址附近无风景名胜区、无自然保护区、附近无河流、湿地等重要敏感环境保护目标，且矿山开采规模不大，占地面积小，施工人员少，矿区周围人烟稀少，未处于铁路、国道、省道两侧的直观可视范围，满足《矿山生态环境保护与污染防治技术政策》的视觉景观要求，本工程对景观的影响范围有限。</w:t>
            </w:r>
          </w:p>
          <w:p w14:paraId="324D703B">
            <w:pPr>
              <w:ind w:firstLine="482"/>
              <w:rPr>
                <w:rFonts w:cs="Times New Roman"/>
                <w:b/>
              </w:rPr>
            </w:pPr>
            <w:r>
              <w:rPr>
                <w:rFonts w:cs="Times New Roman"/>
                <w:b/>
              </w:rPr>
              <w:t>7、环境风险影响评价</w:t>
            </w:r>
          </w:p>
          <w:p w14:paraId="3C0317ED">
            <w:pPr>
              <w:ind w:firstLine="480"/>
              <w:rPr>
                <w:rFonts w:cs="Times New Roman"/>
                <w:bCs/>
              </w:rPr>
            </w:pPr>
            <w:bookmarkStart w:id="44" w:name="_Toc383205578"/>
            <w:bookmarkStart w:id="45" w:name="_Toc459747057"/>
            <w:r>
              <w:rPr>
                <w:rFonts w:cs="Times New Roman"/>
                <w:bCs/>
              </w:rPr>
              <w:t>（1）概述</w:t>
            </w:r>
            <w:bookmarkEnd w:id="44"/>
            <w:bookmarkEnd w:id="45"/>
          </w:p>
          <w:p w14:paraId="647F0ED7">
            <w:pPr>
              <w:ind w:firstLine="480"/>
              <w:rPr>
                <w:rFonts w:cs="Times New Roman"/>
              </w:rPr>
            </w:pPr>
            <w:r>
              <w:rPr>
                <w:rFonts w:cs="Times New Roman"/>
              </w:rPr>
              <w:t>环境风险评价是分析和预测建设项目存在的潜在危险、有害因素，建设项目建设和运营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309695FB">
            <w:pPr>
              <w:ind w:firstLine="480"/>
              <w:rPr>
                <w:rFonts w:cs="Times New Roman"/>
                <w:bCs/>
              </w:rPr>
            </w:pPr>
            <w:bookmarkStart w:id="46" w:name="_Toc459747058"/>
            <w:bookmarkStart w:id="47" w:name="_Toc383205579"/>
            <w:r>
              <w:rPr>
                <w:rFonts w:cs="Times New Roman"/>
                <w:bCs/>
              </w:rPr>
              <w:t>（1）环境风险识别</w:t>
            </w:r>
            <w:bookmarkEnd w:id="46"/>
            <w:bookmarkEnd w:id="47"/>
          </w:p>
          <w:p w14:paraId="14B76060">
            <w:pPr>
              <w:ind w:firstLine="480"/>
              <w:rPr>
                <w:rFonts w:cs="Times New Roman"/>
                <w:bCs/>
              </w:rPr>
            </w:pPr>
            <w:r>
              <w:rPr>
                <w:rFonts w:hint="eastAsia" w:ascii="宋体" w:hAnsi="宋体" w:cs="宋体"/>
                <w:bCs/>
              </w:rPr>
              <w:t>①</w:t>
            </w:r>
            <w:r>
              <w:rPr>
                <w:rFonts w:cs="Times New Roman"/>
                <w:bCs/>
              </w:rPr>
              <w:t>危险化学品风险识别</w:t>
            </w:r>
          </w:p>
          <w:p w14:paraId="4FEC2959">
            <w:pPr>
              <w:ind w:firstLine="480"/>
              <w:rPr>
                <w:rFonts w:cs="Times New Roman"/>
              </w:rPr>
            </w:pPr>
            <w:r>
              <w:rPr>
                <w:rFonts w:cs="Times New Roman"/>
              </w:rPr>
              <w:t>本项目矿山开采使用的化学品主要为硝酸铵和柴油，矿山委托有资质单位的民爆公司进行矿山的开采爆破，项目区不设置炸药库，因此，项目使用的危险化学品主要为柴油。</w:t>
            </w:r>
          </w:p>
          <w:p w14:paraId="0C50DF11">
            <w:pPr>
              <w:ind w:firstLine="480"/>
              <w:rPr>
                <w:rFonts w:cs="Times New Roman"/>
                <w:bCs/>
              </w:rPr>
            </w:pPr>
            <w:r>
              <w:rPr>
                <w:rFonts w:cs="Times New Roman"/>
                <w:bCs/>
              </w:rPr>
              <w:t>A、重大危险源识别</w:t>
            </w:r>
          </w:p>
          <w:p w14:paraId="5F476197">
            <w:pPr>
              <w:ind w:firstLine="480"/>
              <w:rPr>
                <w:rFonts w:cs="Times New Roman"/>
              </w:rPr>
            </w:pPr>
            <w:r>
              <w:rPr>
                <w:rFonts w:cs="Times New Roman"/>
              </w:rPr>
              <w:t>根据《建设项目环境风险评价技术导则》（HJ/T169-2004）及《危险化学品重大危险源辨识》（GB18218-2009）物质风险识别范围包括原材料及辅助材料、燃料、中间产品、最终产品项目，原辅料年用量见表7-1</w:t>
            </w:r>
            <w:r>
              <w:rPr>
                <w:rFonts w:hint="eastAsia" w:cs="Times New Roman"/>
              </w:rPr>
              <w:t>7</w:t>
            </w:r>
            <w:r>
              <w:rPr>
                <w:rFonts w:cs="Times New Roman"/>
              </w:rPr>
              <w:t>。</w:t>
            </w:r>
          </w:p>
          <w:p w14:paraId="17708659">
            <w:pPr>
              <w:pStyle w:val="31"/>
              <w:rPr>
                <w:rFonts w:cs="Times New Roman"/>
              </w:rPr>
            </w:pPr>
            <w:r>
              <w:rPr>
                <w:rFonts w:cs="Times New Roman"/>
              </w:rPr>
              <w:t>表7-1</w:t>
            </w:r>
            <w:r>
              <w:rPr>
                <w:rFonts w:hint="eastAsia" w:cs="Times New Roman"/>
              </w:rPr>
              <w:t>7</w:t>
            </w:r>
            <w:r>
              <w:rPr>
                <w:rFonts w:cs="Times New Roman"/>
              </w:rPr>
              <w:t xml:space="preserve">  原辅料储存统计一览表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2095"/>
              <w:gridCol w:w="1775"/>
              <w:gridCol w:w="1934"/>
              <w:gridCol w:w="1998"/>
            </w:tblGrid>
            <w:tr w14:paraId="465E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95" w:type="dxa"/>
                  <w:vAlign w:val="center"/>
                </w:tcPr>
                <w:p w14:paraId="1084F302">
                  <w:pPr>
                    <w:pStyle w:val="52"/>
                    <w:rPr>
                      <w:color w:val="auto"/>
                    </w:rPr>
                  </w:pPr>
                  <w:r>
                    <w:rPr>
                      <w:color w:val="auto"/>
                    </w:rPr>
                    <w:t>名称</w:t>
                  </w:r>
                </w:p>
              </w:tc>
              <w:tc>
                <w:tcPr>
                  <w:tcW w:w="2095" w:type="dxa"/>
                  <w:vAlign w:val="center"/>
                </w:tcPr>
                <w:p w14:paraId="338F9611">
                  <w:pPr>
                    <w:pStyle w:val="52"/>
                    <w:rPr>
                      <w:color w:val="auto"/>
                    </w:rPr>
                  </w:pPr>
                  <w:r>
                    <w:rPr>
                      <w:color w:val="auto"/>
                    </w:rPr>
                    <w:t>储存量（t）</w:t>
                  </w:r>
                </w:p>
              </w:tc>
              <w:tc>
                <w:tcPr>
                  <w:tcW w:w="1775" w:type="dxa"/>
                </w:tcPr>
                <w:p w14:paraId="3DAA5B5F">
                  <w:pPr>
                    <w:pStyle w:val="52"/>
                    <w:rPr>
                      <w:color w:val="auto"/>
                    </w:rPr>
                  </w:pPr>
                  <w:r>
                    <w:rPr>
                      <w:color w:val="auto"/>
                    </w:rPr>
                    <w:t>年用量（t）</w:t>
                  </w:r>
                </w:p>
              </w:tc>
              <w:tc>
                <w:tcPr>
                  <w:tcW w:w="1934" w:type="dxa"/>
                </w:tcPr>
                <w:p w14:paraId="328F8AF2">
                  <w:pPr>
                    <w:pStyle w:val="52"/>
                    <w:rPr>
                      <w:color w:val="auto"/>
                    </w:rPr>
                  </w:pPr>
                  <w:r>
                    <w:rPr>
                      <w:color w:val="auto"/>
                    </w:rPr>
                    <w:t>临界量</w:t>
                  </w:r>
                </w:p>
              </w:tc>
              <w:tc>
                <w:tcPr>
                  <w:tcW w:w="1998" w:type="dxa"/>
                </w:tcPr>
                <w:p w14:paraId="318825E7">
                  <w:pPr>
                    <w:pStyle w:val="52"/>
                    <w:rPr>
                      <w:color w:val="auto"/>
                    </w:rPr>
                  </w:pPr>
                  <w:r>
                    <w:rPr>
                      <w:color w:val="auto"/>
                    </w:rPr>
                    <w:t>AQR</w:t>
                  </w:r>
                </w:p>
              </w:tc>
            </w:tr>
            <w:tr w14:paraId="704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95" w:type="dxa"/>
                  <w:vAlign w:val="center"/>
                </w:tcPr>
                <w:p w14:paraId="581F12DE">
                  <w:pPr>
                    <w:pStyle w:val="52"/>
                    <w:rPr>
                      <w:color w:val="auto"/>
                    </w:rPr>
                  </w:pPr>
                  <w:r>
                    <w:rPr>
                      <w:color w:val="auto"/>
                    </w:rPr>
                    <w:t>柴油</w:t>
                  </w:r>
                </w:p>
              </w:tc>
              <w:tc>
                <w:tcPr>
                  <w:tcW w:w="2095" w:type="dxa"/>
                  <w:vAlign w:val="center"/>
                </w:tcPr>
                <w:p w14:paraId="55481C26">
                  <w:pPr>
                    <w:pStyle w:val="52"/>
                    <w:rPr>
                      <w:color w:val="auto"/>
                    </w:rPr>
                  </w:pPr>
                  <w:r>
                    <w:rPr>
                      <w:color w:val="auto"/>
                    </w:rPr>
                    <w:t>20</w:t>
                  </w:r>
                </w:p>
              </w:tc>
              <w:tc>
                <w:tcPr>
                  <w:tcW w:w="1775" w:type="dxa"/>
                </w:tcPr>
                <w:p w14:paraId="6B48D7C8">
                  <w:pPr>
                    <w:pStyle w:val="52"/>
                    <w:rPr>
                      <w:color w:val="auto"/>
                    </w:rPr>
                  </w:pPr>
                  <w:r>
                    <w:rPr>
                      <w:color w:val="auto"/>
                    </w:rPr>
                    <w:t>120</w:t>
                  </w:r>
                </w:p>
              </w:tc>
              <w:tc>
                <w:tcPr>
                  <w:tcW w:w="1934" w:type="dxa"/>
                </w:tcPr>
                <w:p w14:paraId="1C84AE32">
                  <w:pPr>
                    <w:pStyle w:val="52"/>
                    <w:rPr>
                      <w:color w:val="auto"/>
                    </w:rPr>
                  </w:pPr>
                  <w:r>
                    <w:rPr>
                      <w:color w:val="auto"/>
                    </w:rPr>
                    <w:t>200</w:t>
                  </w:r>
                </w:p>
              </w:tc>
              <w:tc>
                <w:tcPr>
                  <w:tcW w:w="1998" w:type="dxa"/>
                </w:tcPr>
                <w:p w14:paraId="76AC502C">
                  <w:pPr>
                    <w:pStyle w:val="52"/>
                    <w:rPr>
                      <w:color w:val="auto"/>
                    </w:rPr>
                  </w:pPr>
                  <w:r>
                    <w:rPr>
                      <w:color w:val="auto"/>
                    </w:rPr>
                    <w:t>0.05</w:t>
                  </w:r>
                </w:p>
              </w:tc>
            </w:tr>
          </w:tbl>
          <w:p w14:paraId="31861E6B">
            <w:pPr>
              <w:ind w:firstLine="480"/>
              <w:rPr>
                <w:rFonts w:cs="Times New Roman"/>
              </w:rPr>
            </w:pPr>
            <w:r>
              <w:rPr>
                <w:rFonts w:cs="Times New Roman"/>
              </w:rPr>
              <w:t>根据HJ/T169-2004《建设项目环境风险评价技术导则》，单元内存在的危险化学品的数量根据处理危险化学品种类的多少区分为以下两种情况：</w:t>
            </w:r>
          </w:p>
          <w:p w14:paraId="1095E299">
            <w:pPr>
              <w:ind w:firstLine="480"/>
              <w:rPr>
                <w:rFonts w:cs="Times New Roman"/>
              </w:rPr>
            </w:pPr>
            <w:bookmarkStart w:id="48" w:name="_Toc362618174"/>
            <w:r>
              <w:rPr>
                <w:rFonts w:cs="Times New Roman"/>
              </w:rPr>
              <w:t>a.单元内存在的危险物质为单一品种，该物质的数量即为单元内危险物质的总量，若等于或超过相应的临界量，则定为重大危险源</w:t>
            </w:r>
            <w:bookmarkEnd w:id="48"/>
            <w:r>
              <w:rPr>
                <w:rFonts w:cs="Times New Roman"/>
              </w:rPr>
              <w:t>。</w:t>
            </w:r>
          </w:p>
          <w:p w14:paraId="1AA36540">
            <w:pPr>
              <w:ind w:firstLine="480"/>
              <w:rPr>
                <w:rFonts w:cs="Times New Roman"/>
              </w:rPr>
            </w:pPr>
            <w:bookmarkStart w:id="49" w:name="_Toc362618175"/>
            <w:r>
              <w:rPr>
                <w:rFonts w:cs="Times New Roman"/>
              </w:rPr>
              <w:t>b.单元内存在的危险物质为多品种时，则按下式计算，若满足下式，则定为重大危险源。</w:t>
            </w:r>
            <w:bookmarkEnd w:id="49"/>
          </w:p>
          <w:p w14:paraId="2B12136F">
            <w:pPr>
              <w:ind w:firstLine="480"/>
              <w:rPr>
                <w:rFonts w:cs="Times New Roman"/>
              </w:rPr>
            </w:pPr>
            <w:r>
              <w:rPr>
                <w:rFonts w:cs="Times New Roman"/>
              </w:rPr>
              <w:pict>
                <v:shape id="_x0000_i1029" o:spt="75" type="#_x0000_t75" style="height:38.25pt;width:141pt;" filled="f" o:preferrelative="t" stroked="f" coordsize="21600,21600">
                  <v:path/>
                  <v:fill on="f" focussize="0,0"/>
                  <v:stroke on="f" joinstyle="miter"/>
                  <v:imagedata r:id="rId25" o:title=""/>
                  <o:lock v:ext="edit" aspectratio="t"/>
                  <w10:wrap type="none"/>
                  <w10:anchorlock/>
                </v:shape>
              </w:pict>
            </w:r>
          </w:p>
          <w:p w14:paraId="233F4904">
            <w:pPr>
              <w:ind w:firstLine="480"/>
              <w:rPr>
                <w:rFonts w:cs="Times New Roman"/>
              </w:rPr>
            </w:pPr>
            <w:r>
              <w:rPr>
                <w:rFonts w:cs="Times New Roman"/>
              </w:rPr>
              <w:t>式中：q</w:t>
            </w:r>
            <w:r>
              <w:rPr>
                <w:rFonts w:cs="Times New Roman"/>
                <w:vertAlign w:val="subscript"/>
              </w:rPr>
              <w:t>1</w:t>
            </w:r>
            <w:r>
              <w:rPr>
                <w:rFonts w:cs="Times New Roman"/>
              </w:rPr>
              <w:t>，q</w:t>
            </w:r>
            <w:r>
              <w:rPr>
                <w:rFonts w:cs="Times New Roman"/>
                <w:vertAlign w:val="subscript"/>
              </w:rPr>
              <w:t>2</w:t>
            </w:r>
            <w:r>
              <w:rPr>
                <w:rFonts w:cs="Times New Roman"/>
              </w:rPr>
              <w:t>…，q</w:t>
            </w:r>
            <w:r>
              <w:rPr>
                <w:rFonts w:cs="Times New Roman"/>
                <w:vertAlign w:val="subscript"/>
              </w:rPr>
              <w:t xml:space="preserve">n </w:t>
            </w:r>
            <w:r>
              <w:rPr>
                <w:rFonts w:cs="Times New Roman"/>
              </w:rPr>
              <w:t>为每种危险物质实际存在量，t。</w:t>
            </w:r>
          </w:p>
          <w:p w14:paraId="33F70E07">
            <w:pPr>
              <w:ind w:firstLine="1080" w:firstLineChars="450"/>
              <w:rPr>
                <w:rFonts w:cs="Times New Roman"/>
              </w:rPr>
            </w:pPr>
            <w:r>
              <w:rPr>
                <w:rFonts w:cs="Times New Roman"/>
              </w:rPr>
              <w:t>Q</w:t>
            </w:r>
            <w:r>
              <w:rPr>
                <w:rFonts w:cs="Times New Roman"/>
                <w:vertAlign w:val="subscript"/>
              </w:rPr>
              <w:t>1</w:t>
            </w:r>
            <w:r>
              <w:rPr>
                <w:rFonts w:cs="Times New Roman"/>
              </w:rPr>
              <w:t>，Q</w:t>
            </w:r>
            <w:r>
              <w:rPr>
                <w:rFonts w:cs="Times New Roman"/>
                <w:vertAlign w:val="subscript"/>
              </w:rPr>
              <w:t>2</w:t>
            </w:r>
            <w:r>
              <w:rPr>
                <w:rFonts w:cs="Times New Roman"/>
              </w:rPr>
              <w:t>…Q</w:t>
            </w:r>
            <w:r>
              <w:rPr>
                <w:rFonts w:cs="Times New Roman"/>
                <w:vertAlign w:val="subscript"/>
              </w:rPr>
              <w:t xml:space="preserve">n </w:t>
            </w:r>
            <w:r>
              <w:rPr>
                <w:rFonts w:cs="Times New Roman"/>
              </w:rPr>
              <w:t>为与各危险物质相对应的生产场所或贮存区的临界量，t。</w:t>
            </w:r>
          </w:p>
          <w:p w14:paraId="6769FB19">
            <w:pPr>
              <w:ind w:firstLine="480"/>
              <w:rPr>
                <w:rFonts w:cs="Times New Roman"/>
              </w:rPr>
            </w:pPr>
            <w:r>
              <w:rPr>
                <w:rFonts w:cs="Times New Roman"/>
              </w:rPr>
              <w:t>根据上述公式计算，本项目柴油贮存辨识指标AQR=0.05＜1，不构成重大危险源。</w:t>
            </w:r>
          </w:p>
          <w:p w14:paraId="6933FB38">
            <w:pPr>
              <w:ind w:firstLine="480"/>
              <w:rPr>
                <w:rFonts w:cs="Times New Roman"/>
                <w:bCs/>
              </w:rPr>
            </w:pPr>
            <w:bookmarkStart w:id="50" w:name="_Toc362882209"/>
            <w:bookmarkStart w:id="51" w:name="_Toc362794295"/>
            <w:bookmarkStart w:id="52" w:name="_Toc363823341"/>
            <w:bookmarkStart w:id="53" w:name="_Toc362618177"/>
            <w:r>
              <w:rPr>
                <w:rFonts w:cs="Times New Roman"/>
                <w:bCs/>
              </w:rPr>
              <w:t>B、评价等级</w:t>
            </w:r>
            <w:bookmarkEnd w:id="50"/>
            <w:bookmarkEnd w:id="51"/>
            <w:bookmarkEnd w:id="52"/>
            <w:bookmarkEnd w:id="53"/>
          </w:p>
          <w:p w14:paraId="0C9B1550">
            <w:pPr>
              <w:ind w:firstLine="480"/>
              <w:jc w:val="both"/>
              <w:rPr>
                <w:rFonts w:cs="Times New Roman"/>
              </w:rPr>
            </w:pPr>
            <w:r>
              <w:rPr>
                <w:rFonts w:cs="Times New Roman"/>
              </w:rPr>
              <w:t>本项目使用的柴油属于易燃液体，经上述分析本项目属于非重大危险源，根据HJ/T169-2004《建设项目环境风险评价技术导则》，具体等级划分依据见表7-1</w:t>
            </w:r>
            <w:r>
              <w:rPr>
                <w:rFonts w:hint="eastAsia" w:cs="Times New Roman"/>
              </w:rPr>
              <w:t>8</w:t>
            </w:r>
            <w:r>
              <w:rPr>
                <w:rFonts w:cs="Times New Roman"/>
              </w:rPr>
              <w:t>。</w:t>
            </w:r>
          </w:p>
          <w:p w14:paraId="0FD95EFB">
            <w:pPr>
              <w:pStyle w:val="31"/>
              <w:rPr>
                <w:rFonts w:cs="Times New Roman"/>
              </w:rPr>
            </w:pPr>
            <w:r>
              <w:rPr>
                <w:rFonts w:cs="Times New Roman"/>
              </w:rPr>
              <w:t>表7-1</w:t>
            </w:r>
            <w:r>
              <w:rPr>
                <w:rFonts w:hint="eastAsia" w:cs="Times New Roman"/>
              </w:rPr>
              <w:t>8</w:t>
            </w:r>
            <w:r>
              <w:rPr>
                <w:rFonts w:cs="Times New Roman"/>
              </w:rPr>
              <w:t xml:space="preserve">  环境风险评价工作等级</w:t>
            </w:r>
          </w:p>
          <w:tbl>
            <w:tblPr>
              <w:tblStyle w:val="2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701"/>
              <w:gridCol w:w="2106"/>
              <w:gridCol w:w="2430"/>
              <w:gridCol w:w="1730"/>
            </w:tblGrid>
            <w:tr w14:paraId="7036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12F08248">
                  <w:pPr>
                    <w:pStyle w:val="52"/>
                    <w:rPr>
                      <w:color w:val="auto"/>
                    </w:rPr>
                  </w:pPr>
                  <w:r>
                    <w:rPr>
                      <w:color w:val="auto"/>
                    </w:rPr>
                    <w:t>类别</w:t>
                  </w:r>
                </w:p>
              </w:tc>
              <w:tc>
                <w:tcPr>
                  <w:tcW w:w="1701" w:type="dxa"/>
                  <w:vAlign w:val="center"/>
                </w:tcPr>
                <w:p w14:paraId="6AEF30C9">
                  <w:pPr>
                    <w:pStyle w:val="52"/>
                    <w:rPr>
                      <w:color w:val="auto"/>
                    </w:rPr>
                  </w:pPr>
                  <w:r>
                    <w:rPr>
                      <w:color w:val="auto"/>
                    </w:rPr>
                    <w:t>剧毒危险性物质</w:t>
                  </w:r>
                </w:p>
              </w:tc>
              <w:tc>
                <w:tcPr>
                  <w:tcW w:w="2106" w:type="dxa"/>
                  <w:vAlign w:val="center"/>
                </w:tcPr>
                <w:p w14:paraId="06E5A896">
                  <w:pPr>
                    <w:pStyle w:val="52"/>
                    <w:rPr>
                      <w:color w:val="auto"/>
                    </w:rPr>
                  </w:pPr>
                  <w:r>
                    <w:rPr>
                      <w:color w:val="auto"/>
                    </w:rPr>
                    <w:t>一般毒性危险物质</w:t>
                  </w:r>
                </w:p>
              </w:tc>
              <w:tc>
                <w:tcPr>
                  <w:tcW w:w="2430" w:type="dxa"/>
                  <w:vAlign w:val="center"/>
                </w:tcPr>
                <w:p w14:paraId="77D8FB5C">
                  <w:pPr>
                    <w:pStyle w:val="52"/>
                    <w:rPr>
                      <w:color w:val="auto"/>
                    </w:rPr>
                  </w:pPr>
                  <w:r>
                    <w:rPr>
                      <w:color w:val="auto"/>
                    </w:rPr>
                    <w:t>可燃、易燃危险性物质</w:t>
                  </w:r>
                </w:p>
              </w:tc>
              <w:tc>
                <w:tcPr>
                  <w:tcW w:w="1730" w:type="dxa"/>
                  <w:vAlign w:val="center"/>
                </w:tcPr>
                <w:p w14:paraId="4FA5E019">
                  <w:pPr>
                    <w:pStyle w:val="52"/>
                    <w:rPr>
                      <w:color w:val="auto"/>
                    </w:rPr>
                  </w:pPr>
                  <w:r>
                    <w:rPr>
                      <w:color w:val="auto"/>
                    </w:rPr>
                    <w:t>爆炸危险性物质</w:t>
                  </w:r>
                </w:p>
              </w:tc>
            </w:tr>
            <w:tr w14:paraId="0A0D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1745B7DC">
                  <w:pPr>
                    <w:pStyle w:val="52"/>
                    <w:rPr>
                      <w:color w:val="auto"/>
                    </w:rPr>
                  </w:pPr>
                  <w:r>
                    <w:rPr>
                      <w:color w:val="auto"/>
                    </w:rPr>
                    <w:t>重大危险源</w:t>
                  </w:r>
                </w:p>
              </w:tc>
              <w:tc>
                <w:tcPr>
                  <w:tcW w:w="1701" w:type="dxa"/>
                  <w:vAlign w:val="center"/>
                </w:tcPr>
                <w:p w14:paraId="751204C7">
                  <w:pPr>
                    <w:pStyle w:val="52"/>
                    <w:rPr>
                      <w:color w:val="auto"/>
                    </w:rPr>
                  </w:pPr>
                  <w:r>
                    <w:rPr>
                      <w:color w:val="auto"/>
                    </w:rPr>
                    <w:t>一</w:t>
                  </w:r>
                </w:p>
              </w:tc>
              <w:tc>
                <w:tcPr>
                  <w:tcW w:w="2106" w:type="dxa"/>
                  <w:tcBorders>
                    <w:bottom w:val="single" w:color="auto" w:sz="4" w:space="0"/>
                  </w:tcBorders>
                  <w:vAlign w:val="center"/>
                </w:tcPr>
                <w:p w14:paraId="4F0BD4B0">
                  <w:pPr>
                    <w:pStyle w:val="52"/>
                    <w:rPr>
                      <w:color w:val="auto"/>
                    </w:rPr>
                  </w:pPr>
                  <w:r>
                    <w:rPr>
                      <w:color w:val="auto"/>
                    </w:rPr>
                    <w:t>二</w:t>
                  </w:r>
                </w:p>
              </w:tc>
              <w:tc>
                <w:tcPr>
                  <w:tcW w:w="2430" w:type="dxa"/>
                  <w:tcBorders>
                    <w:bottom w:val="single" w:color="auto" w:sz="4" w:space="0"/>
                  </w:tcBorders>
                  <w:vAlign w:val="center"/>
                </w:tcPr>
                <w:p w14:paraId="402E207F">
                  <w:pPr>
                    <w:pStyle w:val="52"/>
                    <w:rPr>
                      <w:color w:val="auto"/>
                    </w:rPr>
                  </w:pPr>
                  <w:r>
                    <w:rPr>
                      <w:color w:val="auto"/>
                    </w:rPr>
                    <w:t>一</w:t>
                  </w:r>
                </w:p>
              </w:tc>
              <w:tc>
                <w:tcPr>
                  <w:tcW w:w="1730" w:type="dxa"/>
                  <w:vAlign w:val="center"/>
                </w:tcPr>
                <w:p w14:paraId="6088300C">
                  <w:pPr>
                    <w:pStyle w:val="52"/>
                    <w:rPr>
                      <w:color w:val="auto"/>
                    </w:rPr>
                  </w:pPr>
                  <w:r>
                    <w:rPr>
                      <w:color w:val="auto"/>
                    </w:rPr>
                    <w:t>一</w:t>
                  </w:r>
                </w:p>
              </w:tc>
            </w:tr>
            <w:tr w14:paraId="61E5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70ACDC5F">
                  <w:pPr>
                    <w:pStyle w:val="52"/>
                    <w:rPr>
                      <w:color w:val="auto"/>
                    </w:rPr>
                  </w:pPr>
                  <w:r>
                    <w:rPr>
                      <w:color w:val="auto"/>
                    </w:rPr>
                    <w:t>非重大危险源</w:t>
                  </w:r>
                </w:p>
              </w:tc>
              <w:tc>
                <w:tcPr>
                  <w:tcW w:w="1701" w:type="dxa"/>
                  <w:vAlign w:val="center"/>
                </w:tcPr>
                <w:p w14:paraId="53314815">
                  <w:pPr>
                    <w:pStyle w:val="52"/>
                    <w:rPr>
                      <w:color w:val="auto"/>
                    </w:rPr>
                  </w:pPr>
                  <w:r>
                    <w:rPr>
                      <w:color w:val="auto"/>
                    </w:rPr>
                    <w:t>二</w:t>
                  </w:r>
                </w:p>
              </w:tc>
              <w:tc>
                <w:tcPr>
                  <w:tcW w:w="2106" w:type="dxa"/>
                  <w:vAlign w:val="center"/>
                </w:tcPr>
                <w:p w14:paraId="3F86AB65">
                  <w:pPr>
                    <w:pStyle w:val="52"/>
                    <w:rPr>
                      <w:color w:val="auto"/>
                    </w:rPr>
                  </w:pPr>
                  <w:r>
                    <w:rPr>
                      <w:color w:val="auto"/>
                    </w:rPr>
                    <w:t>二</w:t>
                  </w:r>
                </w:p>
              </w:tc>
              <w:tc>
                <w:tcPr>
                  <w:tcW w:w="2430" w:type="dxa"/>
                  <w:tcBorders>
                    <w:bottom w:val="single" w:color="auto" w:sz="4" w:space="0"/>
                  </w:tcBorders>
                  <w:vAlign w:val="center"/>
                </w:tcPr>
                <w:p w14:paraId="6041C457">
                  <w:pPr>
                    <w:pStyle w:val="52"/>
                    <w:rPr>
                      <w:color w:val="auto"/>
                    </w:rPr>
                  </w:pPr>
                  <w:r>
                    <w:rPr>
                      <w:color w:val="auto"/>
                    </w:rPr>
                    <w:t>二</w:t>
                  </w:r>
                </w:p>
              </w:tc>
              <w:tc>
                <w:tcPr>
                  <w:tcW w:w="1730" w:type="dxa"/>
                  <w:vAlign w:val="center"/>
                </w:tcPr>
                <w:p w14:paraId="47FB17B9">
                  <w:pPr>
                    <w:pStyle w:val="52"/>
                    <w:rPr>
                      <w:color w:val="auto"/>
                    </w:rPr>
                  </w:pPr>
                  <w:r>
                    <w:rPr>
                      <w:color w:val="auto"/>
                    </w:rPr>
                    <w:t>二</w:t>
                  </w:r>
                </w:p>
              </w:tc>
            </w:tr>
            <w:tr w14:paraId="7D53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6FF08F6E">
                  <w:pPr>
                    <w:pStyle w:val="52"/>
                    <w:rPr>
                      <w:color w:val="auto"/>
                    </w:rPr>
                  </w:pPr>
                  <w:r>
                    <w:rPr>
                      <w:color w:val="auto"/>
                    </w:rPr>
                    <w:t>环境敏感地区</w:t>
                  </w:r>
                </w:p>
              </w:tc>
              <w:tc>
                <w:tcPr>
                  <w:tcW w:w="1701" w:type="dxa"/>
                  <w:vAlign w:val="center"/>
                </w:tcPr>
                <w:p w14:paraId="0236E1FF">
                  <w:pPr>
                    <w:pStyle w:val="52"/>
                    <w:rPr>
                      <w:color w:val="auto"/>
                    </w:rPr>
                  </w:pPr>
                  <w:r>
                    <w:rPr>
                      <w:color w:val="auto"/>
                    </w:rPr>
                    <w:t>一</w:t>
                  </w:r>
                </w:p>
              </w:tc>
              <w:tc>
                <w:tcPr>
                  <w:tcW w:w="2106" w:type="dxa"/>
                  <w:vAlign w:val="center"/>
                </w:tcPr>
                <w:p w14:paraId="4440C6C4">
                  <w:pPr>
                    <w:pStyle w:val="52"/>
                    <w:rPr>
                      <w:color w:val="auto"/>
                    </w:rPr>
                  </w:pPr>
                  <w:r>
                    <w:rPr>
                      <w:color w:val="auto"/>
                    </w:rPr>
                    <w:t>一</w:t>
                  </w:r>
                </w:p>
              </w:tc>
              <w:tc>
                <w:tcPr>
                  <w:tcW w:w="2430" w:type="dxa"/>
                  <w:vAlign w:val="center"/>
                </w:tcPr>
                <w:p w14:paraId="4FE75305">
                  <w:pPr>
                    <w:pStyle w:val="52"/>
                    <w:rPr>
                      <w:color w:val="auto"/>
                    </w:rPr>
                  </w:pPr>
                  <w:r>
                    <w:rPr>
                      <w:color w:val="auto"/>
                    </w:rPr>
                    <w:t>一</w:t>
                  </w:r>
                </w:p>
              </w:tc>
              <w:tc>
                <w:tcPr>
                  <w:tcW w:w="1730" w:type="dxa"/>
                  <w:vAlign w:val="center"/>
                </w:tcPr>
                <w:p w14:paraId="539E688F">
                  <w:pPr>
                    <w:pStyle w:val="52"/>
                    <w:rPr>
                      <w:color w:val="auto"/>
                    </w:rPr>
                  </w:pPr>
                  <w:r>
                    <w:rPr>
                      <w:color w:val="auto"/>
                    </w:rPr>
                    <w:t>一</w:t>
                  </w:r>
                </w:p>
              </w:tc>
            </w:tr>
          </w:tbl>
          <w:p w14:paraId="427C4E15">
            <w:pPr>
              <w:ind w:firstLine="480"/>
              <w:rPr>
                <w:rFonts w:cs="Times New Roman"/>
              </w:rPr>
            </w:pPr>
            <w:r>
              <w:rPr>
                <w:rFonts w:cs="Times New Roman"/>
              </w:rPr>
              <w:t>根据上表分析，项目不属于环境敏感地区，本项目环境风险做二级评价，对事故影响进行定性预测，说明影响范围和程度，提出防范、减缓和应急措施。</w:t>
            </w:r>
          </w:p>
          <w:p w14:paraId="74DAC407">
            <w:pPr>
              <w:ind w:firstLine="480"/>
              <w:rPr>
                <w:rFonts w:cs="Times New Roman"/>
                <w:bCs/>
              </w:rPr>
            </w:pPr>
            <w:r>
              <w:rPr>
                <w:rFonts w:hint="eastAsia" w:ascii="宋体" w:hAnsi="宋体" w:cs="宋体"/>
                <w:bCs/>
              </w:rPr>
              <w:t>②</w:t>
            </w:r>
            <w:r>
              <w:rPr>
                <w:rFonts w:cs="Times New Roman"/>
                <w:bCs/>
              </w:rPr>
              <w:t>弃渣场风险识别</w:t>
            </w:r>
          </w:p>
          <w:p w14:paraId="5F61F8AC">
            <w:pPr>
              <w:ind w:firstLine="480"/>
              <w:rPr>
                <w:rFonts w:cs="Times New Roman"/>
              </w:rPr>
            </w:pPr>
            <w:r>
              <w:rPr>
                <w:rFonts w:cs="Times New Roman"/>
              </w:rPr>
              <w:t>矿山开采产生的废土在堆放过程中如果不采取必要的拦渣坝以及截排水沟等排水措施，会造成堆场失稳，因而水蚀、重力侵蚀急剧增加，易形成水土流失、泥石流、滑坡等事故的发生，对下游农田、过往行人、地表水体等造成影响或威胁。</w:t>
            </w:r>
          </w:p>
          <w:p w14:paraId="409A4A54">
            <w:pPr>
              <w:ind w:firstLine="480"/>
              <w:rPr>
                <w:rFonts w:cs="Times New Roman"/>
                <w:bCs/>
              </w:rPr>
            </w:pPr>
            <w:r>
              <w:rPr>
                <w:rFonts w:hint="eastAsia" w:ascii="宋体" w:hAnsi="宋体" w:cs="宋体"/>
                <w:bCs/>
              </w:rPr>
              <w:t>③</w:t>
            </w:r>
            <w:r>
              <w:rPr>
                <w:rFonts w:cs="Times New Roman"/>
                <w:bCs/>
              </w:rPr>
              <w:t>风险识别小结</w:t>
            </w:r>
          </w:p>
          <w:p w14:paraId="074F3663">
            <w:pPr>
              <w:ind w:firstLine="480"/>
              <w:rPr>
                <w:rFonts w:cs="Times New Roman"/>
              </w:rPr>
            </w:pPr>
            <w:r>
              <w:rPr>
                <w:rFonts w:cs="Times New Roman"/>
              </w:rPr>
              <w:t>本项目为建筑石料用灰岩矿的开采，根据项目的建设特点，大气污染物、废水、噪声等无论从浓度还是绝对量上均较低，即使处理设施一旦发生事故，也不会对环境造成太大影响；项目使用的柴油为危险化学品但不</w:t>
            </w:r>
            <w:r>
              <w:rPr>
                <w:rFonts w:hint="eastAsia" w:cs="Times New Roman"/>
                <w:lang w:val="en-US" w:eastAsia="zh-CN"/>
              </w:rPr>
              <w:t>构成</w:t>
            </w:r>
            <w:r>
              <w:rPr>
                <w:rFonts w:cs="Times New Roman"/>
              </w:rPr>
              <w:t>重大危险源，并且项目不涉及有毒物质。</w:t>
            </w:r>
          </w:p>
          <w:p w14:paraId="66B08A2E">
            <w:pPr>
              <w:ind w:firstLine="480"/>
              <w:rPr>
                <w:rFonts w:cs="Times New Roman"/>
              </w:rPr>
            </w:pPr>
            <w:r>
              <w:rPr>
                <w:rFonts w:cs="Times New Roman"/>
              </w:rPr>
              <w:t>因此，本项目环境风险主要为储油罐发生火灾及弃渣场溃渣（或溃坝）风险。</w:t>
            </w:r>
          </w:p>
          <w:p w14:paraId="5239BDC8">
            <w:pPr>
              <w:ind w:firstLine="480"/>
              <w:rPr>
                <w:rFonts w:cs="Times New Roman"/>
                <w:bCs/>
              </w:rPr>
            </w:pPr>
            <w:bookmarkStart w:id="54" w:name="_Toc383205581"/>
            <w:bookmarkStart w:id="55" w:name="_Toc459747060"/>
            <w:r>
              <w:rPr>
                <w:rFonts w:cs="Times New Roman"/>
                <w:bCs/>
              </w:rPr>
              <w:t>（2）储油设施风险</w:t>
            </w:r>
            <w:bookmarkEnd w:id="54"/>
            <w:r>
              <w:rPr>
                <w:rFonts w:cs="Times New Roman"/>
                <w:bCs/>
              </w:rPr>
              <w:t>分析及防范措施</w:t>
            </w:r>
            <w:bookmarkEnd w:id="55"/>
          </w:p>
          <w:p w14:paraId="125DA83B">
            <w:pPr>
              <w:ind w:firstLine="480"/>
              <w:rPr>
                <w:rFonts w:cs="Times New Roman"/>
                <w:bCs/>
              </w:rPr>
            </w:pPr>
            <w:r>
              <w:rPr>
                <w:rFonts w:hint="eastAsia" w:ascii="宋体" w:hAnsi="宋体" w:cs="宋体"/>
                <w:bCs/>
              </w:rPr>
              <w:t>①</w:t>
            </w:r>
            <w:r>
              <w:rPr>
                <w:rFonts w:cs="Times New Roman"/>
                <w:bCs/>
              </w:rPr>
              <w:t>储油设施风险分析</w:t>
            </w:r>
          </w:p>
          <w:p w14:paraId="7984365F">
            <w:pPr>
              <w:ind w:firstLine="480"/>
              <w:rPr>
                <w:rFonts w:cs="Times New Roman"/>
              </w:rPr>
            </w:pPr>
            <w:r>
              <w:rPr>
                <w:rFonts w:cs="Times New Roman"/>
              </w:rPr>
              <w:t>矿区储油罐最大柴油储存量为20t，远远小于临界量200t，不构成重大危险源，发生火灾后，主要对附近的操作人员以及设施造成威胁，由于项目区周边多为旱地，即使发生火灾，其蔓延引发重大事故的可能性较低。</w:t>
            </w:r>
          </w:p>
          <w:p w14:paraId="5153164F">
            <w:pPr>
              <w:ind w:firstLine="480"/>
              <w:rPr>
                <w:rFonts w:cs="Times New Roman"/>
                <w:bCs/>
              </w:rPr>
            </w:pPr>
            <w:r>
              <w:rPr>
                <w:rFonts w:hint="eastAsia" w:ascii="宋体" w:hAnsi="宋体" w:cs="宋体"/>
                <w:bCs/>
              </w:rPr>
              <w:t>②</w:t>
            </w:r>
            <w:r>
              <w:rPr>
                <w:rFonts w:cs="Times New Roman"/>
                <w:bCs/>
              </w:rPr>
              <w:t>风险防范措施</w:t>
            </w:r>
          </w:p>
          <w:p w14:paraId="13B6B11F">
            <w:pPr>
              <w:ind w:firstLine="480"/>
              <w:rPr>
                <w:rFonts w:cs="Times New Roman"/>
              </w:rPr>
            </w:pPr>
            <w:r>
              <w:rPr>
                <w:rFonts w:cs="Times New Roman"/>
              </w:rPr>
              <w:t>a、储油罐区外设置警示标志，周围设置围墙或其它防护栅栏。</w:t>
            </w:r>
          </w:p>
          <w:p w14:paraId="0710C31E">
            <w:pPr>
              <w:ind w:firstLine="480"/>
              <w:rPr>
                <w:rFonts w:cs="Times New Roman"/>
              </w:rPr>
            </w:pPr>
            <w:r>
              <w:rPr>
                <w:rFonts w:cs="Times New Roman"/>
              </w:rPr>
              <w:t>b、按照规范安设消防设施，并保证消防设施处于正常状态。</w:t>
            </w:r>
          </w:p>
          <w:p w14:paraId="403AA3B6">
            <w:pPr>
              <w:ind w:firstLine="480"/>
              <w:rPr>
                <w:rFonts w:cs="Times New Roman"/>
                <w:szCs w:val="24"/>
              </w:rPr>
            </w:pPr>
            <w:r>
              <w:rPr>
                <w:rFonts w:cs="Times New Roman"/>
              </w:rPr>
              <w:t>c、</w:t>
            </w:r>
            <w:r>
              <w:rPr>
                <w:rFonts w:cs="Times New Roman"/>
                <w:szCs w:val="24"/>
              </w:rPr>
              <w:t>项目储油罐外围设置围堰。</w:t>
            </w:r>
          </w:p>
          <w:p w14:paraId="7B427CFC">
            <w:pPr>
              <w:ind w:firstLine="480"/>
              <w:rPr>
                <w:rFonts w:cs="Times New Roman"/>
              </w:rPr>
            </w:pPr>
            <w:r>
              <w:rPr>
                <w:rFonts w:cs="Times New Roman"/>
              </w:rPr>
              <w:t>d、定期进行检查，发现破损，应及时采取措施清理更换。</w:t>
            </w:r>
          </w:p>
          <w:p w14:paraId="1C1FCB6C">
            <w:pPr>
              <w:ind w:firstLine="480"/>
              <w:rPr>
                <w:rFonts w:cs="Times New Roman"/>
              </w:rPr>
            </w:pPr>
            <w:r>
              <w:rPr>
                <w:rFonts w:cs="Times New Roman"/>
              </w:rPr>
              <w:t>e、经常检查储油罐与外部管线相连的阀门、法兰等是否有磨损或者裂纹等，若发现应立即检修。</w:t>
            </w:r>
          </w:p>
          <w:p w14:paraId="06AE9C56">
            <w:pPr>
              <w:ind w:firstLine="480"/>
              <w:rPr>
                <w:rFonts w:cs="Times New Roman"/>
              </w:rPr>
            </w:pPr>
            <w:r>
              <w:rPr>
                <w:rFonts w:cs="Times New Roman"/>
              </w:rPr>
              <w:t>f、加油机下部设置混凝土垫层进行防渗。</w:t>
            </w:r>
          </w:p>
          <w:p w14:paraId="65AC1F0D">
            <w:pPr>
              <w:ind w:firstLine="480"/>
              <w:rPr>
                <w:rFonts w:cs="Times New Roman"/>
              </w:rPr>
            </w:pPr>
            <w:r>
              <w:rPr>
                <w:rFonts w:cs="Times New Roman"/>
              </w:rPr>
              <w:t>g、加油机应设置专人进行操作及维护。</w:t>
            </w:r>
          </w:p>
          <w:p w14:paraId="4794EEA3">
            <w:pPr>
              <w:ind w:firstLine="480"/>
              <w:rPr>
                <w:rFonts w:cs="Times New Roman"/>
                <w:bCs/>
              </w:rPr>
            </w:pPr>
            <w:bookmarkStart w:id="56" w:name="_Toc383205580"/>
            <w:bookmarkStart w:id="57" w:name="_Toc459747059"/>
            <w:r>
              <w:rPr>
                <w:rFonts w:cs="Times New Roman"/>
                <w:bCs/>
              </w:rPr>
              <w:t>（3）弃渣场环境风险分析</w:t>
            </w:r>
            <w:bookmarkEnd w:id="56"/>
            <w:r>
              <w:rPr>
                <w:rFonts w:cs="Times New Roman"/>
                <w:bCs/>
              </w:rPr>
              <w:t>及防范措施</w:t>
            </w:r>
            <w:bookmarkEnd w:id="57"/>
          </w:p>
          <w:p w14:paraId="1005582F">
            <w:pPr>
              <w:ind w:firstLine="480"/>
              <w:rPr>
                <w:rFonts w:cs="Times New Roman"/>
                <w:bCs/>
              </w:rPr>
            </w:pPr>
            <w:r>
              <w:rPr>
                <w:rFonts w:hint="eastAsia" w:ascii="宋体" w:hAnsi="宋体" w:cs="宋体"/>
                <w:bCs/>
              </w:rPr>
              <w:t>①</w:t>
            </w:r>
            <w:r>
              <w:rPr>
                <w:rFonts w:cs="Times New Roman"/>
                <w:bCs/>
              </w:rPr>
              <w:t>弃渣场风险分析</w:t>
            </w:r>
          </w:p>
          <w:p w14:paraId="05F924BE">
            <w:pPr>
              <w:ind w:firstLine="480"/>
              <w:rPr>
                <w:rFonts w:cs="Times New Roman"/>
              </w:rPr>
            </w:pPr>
            <w:r>
              <w:rPr>
                <w:rFonts w:cs="Times New Roman"/>
              </w:rPr>
              <w:t>弃渣场位于项目区东北侧，距离弃渣场最近的为</w:t>
            </w:r>
            <w:r>
              <w:rPr>
                <w:rFonts w:cs="Times New Roman"/>
                <w:spacing w:val="-10"/>
              </w:rPr>
              <w:t>西南侧</w:t>
            </w:r>
            <w:r>
              <w:rPr>
                <w:rFonts w:cs="Times New Roman"/>
              </w:rPr>
              <w:t>980m处的</w:t>
            </w:r>
            <w:r>
              <w:rPr>
                <w:rFonts w:cs="Times New Roman"/>
                <w:snapToGrid w:val="0"/>
              </w:rPr>
              <w:t>芦姐萨</w:t>
            </w:r>
            <w:r>
              <w:rPr>
                <w:rFonts w:cs="Times New Roman"/>
              </w:rPr>
              <w:t>村，周边种有植被，项目产生的废土在项目区的堆存时间较短，定期运至项目周边用于其它工程填筑，不存在崩塌等地质灾害，对项目区下游产生的影响较小。</w:t>
            </w:r>
          </w:p>
          <w:p w14:paraId="28D9322C">
            <w:pPr>
              <w:ind w:firstLine="480"/>
              <w:rPr>
                <w:rFonts w:cs="Times New Roman"/>
                <w:bCs/>
              </w:rPr>
            </w:pPr>
            <w:r>
              <w:rPr>
                <w:rFonts w:hint="eastAsia" w:ascii="宋体" w:hAnsi="宋体" w:cs="宋体"/>
              </w:rPr>
              <w:t>②</w:t>
            </w:r>
            <w:r>
              <w:rPr>
                <w:rFonts w:cs="Times New Roman"/>
                <w:bCs/>
              </w:rPr>
              <w:t>风险防范措施</w:t>
            </w:r>
          </w:p>
          <w:p w14:paraId="5683519A">
            <w:pPr>
              <w:ind w:firstLine="480"/>
              <w:rPr>
                <w:rFonts w:cs="Times New Roman"/>
              </w:rPr>
            </w:pPr>
            <w:r>
              <w:rPr>
                <w:rFonts w:cs="Times New Roman"/>
              </w:rPr>
              <w:t>a、弃渣场周边修建截水沟，定期对截水沟进行清掏，以保证排水畅通。</w:t>
            </w:r>
          </w:p>
          <w:p w14:paraId="6A74802B">
            <w:pPr>
              <w:ind w:firstLine="480"/>
              <w:rPr>
                <w:rFonts w:cs="Times New Roman"/>
              </w:rPr>
            </w:pPr>
            <w:r>
              <w:rPr>
                <w:rFonts w:cs="Times New Roman"/>
              </w:rPr>
              <w:t>b、合理堆放废土石，产生的废土石部分回填采空区，其余及时清运用于其它工程填筑。</w:t>
            </w:r>
          </w:p>
          <w:p w14:paraId="25318CC5">
            <w:pPr>
              <w:ind w:firstLine="480"/>
              <w:rPr>
                <w:rFonts w:cs="Times New Roman"/>
              </w:rPr>
            </w:pPr>
            <w:r>
              <w:rPr>
                <w:rFonts w:cs="Times New Roman"/>
              </w:rPr>
              <w:t>c、弃渣场下游修建拦渣坝，拦渣坝请资质单位设计。</w:t>
            </w:r>
            <w:bookmarkStart w:id="58" w:name="_Toc459747061"/>
            <w:bookmarkStart w:id="59" w:name="_Toc383205582"/>
          </w:p>
          <w:p w14:paraId="3B3DCDB6">
            <w:pPr>
              <w:ind w:firstLine="480"/>
              <w:rPr>
                <w:rFonts w:cs="Times New Roman"/>
              </w:rPr>
            </w:pPr>
            <w:r>
              <w:rPr>
                <w:rFonts w:cs="Times New Roman"/>
              </w:rPr>
              <w:t>（4）</w:t>
            </w:r>
            <w:r>
              <w:rPr>
                <w:rFonts w:cs="Times New Roman"/>
                <w:bCs/>
              </w:rPr>
              <w:t>风险事故应急预案</w:t>
            </w:r>
            <w:bookmarkEnd w:id="58"/>
            <w:bookmarkEnd w:id="59"/>
          </w:p>
          <w:p w14:paraId="7E746005">
            <w:pPr>
              <w:ind w:firstLine="480"/>
              <w:rPr>
                <w:rFonts w:cs="Times New Roman"/>
                <w:bCs/>
              </w:rPr>
            </w:pPr>
            <w:r>
              <w:rPr>
                <w:rFonts w:cs="Times New Roman"/>
                <w:bCs/>
              </w:rPr>
              <w:t>建设单位应按环发[2015]4号文编制突发环境事件应急预案，报德宏州生态环境局芒市分局备案。</w:t>
            </w:r>
          </w:p>
          <w:p w14:paraId="5518A348">
            <w:pPr>
              <w:ind w:firstLine="480"/>
              <w:rPr>
                <w:rFonts w:cs="Times New Roman"/>
                <w:bCs/>
              </w:rPr>
            </w:pPr>
            <w:r>
              <w:rPr>
                <w:rFonts w:hint="eastAsia" w:ascii="宋体" w:hAnsi="宋体" w:cs="宋体"/>
                <w:bCs/>
              </w:rPr>
              <w:t>①</w:t>
            </w:r>
            <w:r>
              <w:rPr>
                <w:rFonts w:cs="Times New Roman"/>
                <w:bCs/>
              </w:rPr>
              <w:t>制定风险事故应急预案的目的</w:t>
            </w:r>
          </w:p>
          <w:p w14:paraId="7DD1C3D0">
            <w:pPr>
              <w:ind w:firstLine="480"/>
              <w:rPr>
                <w:rFonts w:cs="Times New Roman"/>
              </w:rPr>
            </w:pPr>
            <w:r>
              <w:rPr>
                <w:rFonts w:cs="Times New Roman"/>
              </w:rPr>
              <w:t>制定风险事故应急预案的目的是为了在发生风险事故时，能以最快的速度发挥最大的效能，有序的实施救援，尽快控制事态的发展，降低事故造成的危害，减少事故造成的损失。本环评风险应急预案主要针对可能发生的弃渣场溃坝及储油罐火灾。</w:t>
            </w:r>
          </w:p>
          <w:p w14:paraId="34EADCD4">
            <w:pPr>
              <w:ind w:firstLine="480"/>
              <w:rPr>
                <w:rFonts w:cs="Times New Roman"/>
                <w:bCs/>
              </w:rPr>
            </w:pPr>
            <w:r>
              <w:rPr>
                <w:rFonts w:hint="eastAsia" w:ascii="宋体" w:hAnsi="宋体" w:cs="宋体"/>
                <w:bCs/>
              </w:rPr>
              <w:t>②</w:t>
            </w:r>
            <w:r>
              <w:rPr>
                <w:rFonts w:cs="Times New Roman"/>
                <w:bCs/>
              </w:rPr>
              <w:t>风险事故应急预案的基本要求</w:t>
            </w:r>
          </w:p>
          <w:p w14:paraId="386EA26B">
            <w:pPr>
              <w:ind w:firstLine="480"/>
              <w:rPr>
                <w:rFonts w:cs="Times New Roman"/>
              </w:rPr>
            </w:pPr>
            <w:r>
              <w:rPr>
                <w:rFonts w:cs="Times New Roman"/>
              </w:rPr>
              <w:t>风险事故应急预案的基本要求包括：科学性、实用性和权威性。风险事故的应急救援工作是一项科学性很强的工作，必须开展科学分析和论证，制定严密、统一、完整的应急预案；应急预案应符合项目的客观情况，具有实用、简单、易掌握等特性，便于实施；对事故处置过程中职责、权限、任务、工作标准、奖励与处罚等做出明确规定，使之成为企业的一项制度，确保其权威性。</w:t>
            </w:r>
          </w:p>
          <w:p w14:paraId="06F9B890">
            <w:pPr>
              <w:ind w:firstLine="480"/>
              <w:rPr>
                <w:rFonts w:cs="Times New Roman"/>
                <w:bCs/>
              </w:rPr>
            </w:pPr>
            <w:r>
              <w:rPr>
                <w:rFonts w:hint="eastAsia" w:ascii="宋体" w:hAnsi="宋体" w:cs="宋体"/>
                <w:bCs/>
              </w:rPr>
              <w:t>③</w:t>
            </w:r>
            <w:r>
              <w:rPr>
                <w:rFonts w:cs="Times New Roman"/>
                <w:bCs/>
              </w:rPr>
              <w:t>风险事故应急预案</w:t>
            </w:r>
          </w:p>
          <w:p w14:paraId="2B68BC4E">
            <w:pPr>
              <w:ind w:firstLine="480"/>
              <w:rPr>
                <w:rFonts w:cs="Times New Roman"/>
              </w:rPr>
            </w:pPr>
            <w:r>
              <w:rPr>
                <w:rFonts w:cs="Times New Roman"/>
              </w:rPr>
              <w:t>A、组织管理</w:t>
            </w:r>
          </w:p>
          <w:p w14:paraId="5A4E2BC1">
            <w:pPr>
              <w:ind w:firstLine="480"/>
              <w:rPr>
                <w:rFonts w:cs="Times New Roman"/>
              </w:rPr>
            </w:pPr>
            <w:r>
              <w:rPr>
                <w:rFonts w:cs="Times New Roman"/>
              </w:rPr>
              <w:t>本工程的风险预案组织管理可由建设方担任，并指派某个部门做好各项准备工作，包括矿山值班、抢险、通讯设施、信号传递及下游人员安全疏散等。</w:t>
            </w:r>
          </w:p>
          <w:p w14:paraId="2B7C017C">
            <w:pPr>
              <w:ind w:firstLine="480"/>
              <w:rPr>
                <w:rFonts w:cs="Times New Roman"/>
              </w:rPr>
            </w:pPr>
            <w:r>
              <w:rPr>
                <w:rFonts w:cs="Times New Roman"/>
              </w:rPr>
              <w:t>B、应急准备工作</w:t>
            </w:r>
          </w:p>
          <w:p w14:paraId="47228CAB">
            <w:pPr>
              <w:ind w:firstLine="480"/>
              <w:rPr>
                <w:rFonts w:cs="Times New Roman"/>
              </w:rPr>
            </w:pPr>
            <w:r>
              <w:rPr>
                <w:rFonts w:cs="Times New Roman"/>
              </w:rPr>
              <w:t>建立值班制度，密切监视矿区安全，一旦有事，立即发出信号，确保下游安全疏散。准备工作中，最重要的是保障通讯设施畅通，以保证有效的传递各种信息。</w:t>
            </w:r>
          </w:p>
          <w:p w14:paraId="41C34280">
            <w:pPr>
              <w:ind w:firstLine="480"/>
              <w:rPr>
                <w:rFonts w:cs="Times New Roman"/>
              </w:rPr>
            </w:pPr>
            <w:r>
              <w:rPr>
                <w:rFonts w:cs="Times New Roman"/>
              </w:rPr>
              <w:t>C、疏散指导思想</w:t>
            </w:r>
          </w:p>
          <w:p w14:paraId="537BC914">
            <w:pPr>
              <w:ind w:firstLine="480"/>
              <w:rPr>
                <w:rFonts w:cs="Times New Roman"/>
              </w:rPr>
            </w:pPr>
            <w:r>
              <w:rPr>
                <w:rFonts w:cs="Times New Roman"/>
              </w:rPr>
              <w:t>疏散指导思想为“依据地形、后靠山坡、密切监察、确保安全”，在具体操作时，还要坚持“先人后物、先低后高、先重后轻”的三先三后的原则，即首先疏散最低处的人员，并最先搬迁最重要的文件以及所有认为比较重要而且容易着火的东西。</w:t>
            </w:r>
          </w:p>
          <w:p w14:paraId="7F688B0D">
            <w:pPr>
              <w:ind w:firstLine="480"/>
              <w:rPr>
                <w:rFonts w:cs="Times New Roman"/>
              </w:rPr>
            </w:pPr>
            <w:r>
              <w:rPr>
                <w:rFonts w:cs="Times New Roman"/>
              </w:rPr>
              <w:t>D、人员的安全疏散</w:t>
            </w:r>
          </w:p>
          <w:p w14:paraId="7C990C08">
            <w:pPr>
              <w:ind w:firstLine="480"/>
              <w:rPr>
                <w:rFonts w:cs="Times New Roman"/>
              </w:rPr>
            </w:pPr>
            <w:r>
              <w:rPr>
                <w:rFonts w:cs="Times New Roman"/>
              </w:rPr>
              <w:t>安全疏散由指挥部统一指挥，临时组建数个小分队，实施抢救、救护、物资搬运及治安维护事宜。灾情发生后，出现的人员伤、残、病、死，应由临时组织的救护分队处理。</w:t>
            </w:r>
          </w:p>
          <w:p w14:paraId="746D968B">
            <w:pPr>
              <w:ind w:firstLine="480"/>
              <w:rPr>
                <w:rFonts w:cs="Times New Roman"/>
              </w:rPr>
            </w:pPr>
            <w:r>
              <w:rPr>
                <w:rFonts w:cs="Times New Roman"/>
              </w:rPr>
              <w:t>E、针对地质灾害事故应急工作</w:t>
            </w:r>
          </w:p>
          <w:p w14:paraId="03B18EFD">
            <w:pPr>
              <w:ind w:firstLine="480"/>
              <w:rPr>
                <w:rFonts w:cs="Times New Roman"/>
              </w:rPr>
            </w:pPr>
            <w:r>
              <w:rPr>
                <w:rFonts w:cs="Times New Roman"/>
              </w:rPr>
              <w:t>及时查明灾害地点及影响程度，视事故情况组织人员撤离或抢修，切断灾区电力，防止二次事故发生；在确定无二次事故发生可能性时，应迅速组织人员抢救被困或受伤人员，修复、清理阻塞或者垮塌的交通要道，以便伤员及财务得以及时抢救；及时像上级部门汇报伤亡及事故情况；对地质灾害区域采取相应的防治措施，以免再次发生事故。</w:t>
            </w:r>
          </w:p>
        </w:tc>
      </w:tr>
    </w:tbl>
    <w:p w14:paraId="5033505C">
      <w:pPr>
        <w:pStyle w:val="3"/>
        <w:rPr>
          <w:rFonts w:cs="Times New Roman"/>
        </w:rPr>
      </w:pPr>
      <w:r>
        <w:rPr>
          <w:rFonts w:cs="Times New Roman"/>
        </w:rPr>
        <w:br w:type="page"/>
      </w:r>
      <w:bookmarkStart w:id="60" w:name="_Toc480991558"/>
      <w:bookmarkStart w:id="61" w:name="_Toc480990438"/>
      <w:bookmarkStart w:id="62" w:name="_Toc509498037"/>
      <w:bookmarkStart w:id="63" w:name="_Toc509498238"/>
      <w:r>
        <w:rPr>
          <w:rFonts w:cs="Times New Roman"/>
        </w:rPr>
        <w:t>表八、建设项目拟采取的防治措施及预期效果</w:t>
      </w:r>
      <w:bookmarkEnd w:id="60"/>
      <w:bookmarkEnd w:id="61"/>
      <w:bookmarkEnd w:id="62"/>
      <w:bookmarkEnd w:id="63"/>
    </w:p>
    <w:tbl>
      <w:tblPr>
        <w:tblStyle w:val="22"/>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275"/>
        <w:gridCol w:w="1276"/>
        <w:gridCol w:w="3402"/>
        <w:gridCol w:w="2268"/>
      </w:tblGrid>
      <w:tr w14:paraId="12F6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gridSpan w:val="2"/>
            <w:vAlign w:val="center"/>
          </w:tcPr>
          <w:p w14:paraId="5C223124">
            <w:pPr>
              <w:pStyle w:val="52"/>
              <w:rPr>
                <w:color w:val="auto"/>
              </w:rPr>
            </w:pPr>
            <w:r>
              <w:rPr>
                <w:color w:val="auto"/>
              </w:rPr>
              <w:t>类型</w:t>
            </w:r>
          </w:p>
        </w:tc>
        <w:tc>
          <w:tcPr>
            <w:tcW w:w="1275" w:type="dxa"/>
            <w:vAlign w:val="center"/>
          </w:tcPr>
          <w:p w14:paraId="54A22789">
            <w:pPr>
              <w:pStyle w:val="52"/>
              <w:rPr>
                <w:color w:val="auto"/>
              </w:rPr>
            </w:pPr>
            <w:r>
              <w:rPr>
                <w:color w:val="auto"/>
              </w:rPr>
              <w:t>排放源</w:t>
            </w:r>
          </w:p>
        </w:tc>
        <w:tc>
          <w:tcPr>
            <w:tcW w:w="1276" w:type="dxa"/>
            <w:vAlign w:val="center"/>
          </w:tcPr>
          <w:p w14:paraId="4CF78095">
            <w:pPr>
              <w:pStyle w:val="52"/>
              <w:rPr>
                <w:color w:val="auto"/>
              </w:rPr>
            </w:pPr>
            <w:r>
              <w:rPr>
                <w:color w:val="auto"/>
              </w:rPr>
              <w:t>污染物名称</w:t>
            </w:r>
          </w:p>
        </w:tc>
        <w:tc>
          <w:tcPr>
            <w:tcW w:w="3402" w:type="dxa"/>
            <w:vAlign w:val="center"/>
          </w:tcPr>
          <w:p w14:paraId="26808CE6">
            <w:pPr>
              <w:pStyle w:val="52"/>
              <w:rPr>
                <w:color w:val="auto"/>
              </w:rPr>
            </w:pPr>
            <w:r>
              <w:rPr>
                <w:color w:val="auto"/>
              </w:rPr>
              <w:t>防治措施</w:t>
            </w:r>
          </w:p>
        </w:tc>
        <w:tc>
          <w:tcPr>
            <w:tcW w:w="2268" w:type="dxa"/>
            <w:vAlign w:val="center"/>
          </w:tcPr>
          <w:p w14:paraId="06A19955">
            <w:pPr>
              <w:pStyle w:val="52"/>
              <w:rPr>
                <w:color w:val="auto"/>
              </w:rPr>
            </w:pPr>
            <w:r>
              <w:rPr>
                <w:color w:val="auto"/>
              </w:rPr>
              <w:t>预期治理效果</w:t>
            </w:r>
          </w:p>
        </w:tc>
      </w:tr>
      <w:tr w14:paraId="0166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F7FC604">
            <w:pPr>
              <w:pStyle w:val="52"/>
              <w:rPr>
                <w:color w:val="auto"/>
              </w:rPr>
            </w:pPr>
            <w:r>
              <w:rPr>
                <w:color w:val="auto"/>
              </w:rPr>
              <w:t>大气污染物</w:t>
            </w:r>
          </w:p>
        </w:tc>
        <w:tc>
          <w:tcPr>
            <w:tcW w:w="851" w:type="dxa"/>
            <w:vMerge w:val="restart"/>
            <w:vAlign w:val="center"/>
          </w:tcPr>
          <w:p w14:paraId="377FD23A">
            <w:pPr>
              <w:pStyle w:val="52"/>
              <w:rPr>
                <w:color w:val="auto"/>
              </w:rPr>
            </w:pPr>
            <w:r>
              <w:rPr>
                <w:color w:val="auto"/>
              </w:rPr>
              <w:t>施工期</w:t>
            </w:r>
          </w:p>
        </w:tc>
        <w:tc>
          <w:tcPr>
            <w:tcW w:w="1275" w:type="dxa"/>
            <w:vAlign w:val="center"/>
          </w:tcPr>
          <w:p w14:paraId="76FF349E">
            <w:pPr>
              <w:pStyle w:val="52"/>
              <w:rPr>
                <w:color w:val="auto"/>
              </w:rPr>
            </w:pPr>
            <w:r>
              <w:rPr>
                <w:color w:val="auto"/>
              </w:rPr>
              <w:t>施工及车辆装卸</w:t>
            </w:r>
          </w:p>
        </w:tc>
        <w:tc>
          <w:tcPr>
            <w:tcW w:w="1276" w:type="dxa"/>
            <w:vAlign w:val="center"/>
          </w:tcPr>
          <w:p w14:paraId="5556DE23">
            <w:pPr>
              <w:pStyle w:val="52"/>
              <w:rPr>
                <w:color w:val="auto"/>
              </w:rPr>
            </w:pPr>
            <w:r>
              <w:rPr>
                <w:color w:val="auto"/>
              </w:rPr>
              <w:t>扬尘、粉尘</w:t>
            </w:r>
          </w:p>
        </w:tc>
        <w:tc>
          <w:tcPr>
            <w:tcW w:w="3402" w:type="dxa"/>
            <w:vAlign w:val="center"/>
          </w:tcPr>
          <w:p w14:paraId="55F23B6D">
            <w:pPr>
              <w:pStyle w:val="52"/>
              <w:rPr>
                <w:color w:val="auto"/>
              </w:rPr>
            </w:pPr>
            <w:r>
              <w:rPr>
                <w:color w:val="auto"/>
              </w:rPr>
              <w:t>施工区洒水降尘；施工材料加盖篷布</w:t>
            </w:r>
          </w:p>
        </w:tc>
        <w:tc>
          <w:tcPr>
            <w:tcW w:w="2268" w:type="dxa"/>
            <w:vAlign w:val="center"/>
          </w:tcPr>
          <w:p w14:paraId="715C69D8">
            <w:pPr>
              <w:pStyle w:val="52"/>
              <w:rPr>
                <w:color w:val="auto"/>
              </w:rPr>
            </w:pPr>
            <w:r>
              <w:rPr>
                <w:color w:val="auto"/>
              </w:rPr>
              <w:t>对环境影响较小</w:t>
            </w:r>
          </w:p>
        </w:tc>
      </w:tr>
      <w:tr w14:paraId="1212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001EBF2">
            <w:pPr>
              <w:pStyle w:val="52"/>
              <w:rPr>
                <w:color w:val="auto"/>
              </w:rPr>
            </w:pPr>
          </w:p>
        </w:tc>
        <w:tc>
          <w:tcPr>
            <w:tcW w:w="851" w:type="dxa"/>
            <w:vMerge w:val="continue"/>
            <w:vAlign w:val="center"/>
          </w:tcPr>
          <w:p w14:paraId="32A356C0">
            <w:pPr>
              <w:pStyle w:val="52"/>
              <w:rPr>
                <w:color w:val="auto"/>
              </w:rPr>
            </w:pPr>
          </w:p>
        </w:tc>
        <w:tc>
          <w:tcPr>
            <w:tcW w:w="1275" w:type="dxa"/>
            <w:vAlign w:val="center"/>
          </w:tcPr>
          <w:p w14:paraId="45324FC5">
            <w:pPr>
              <w:pStyle w:val="52"/>
              <w:rPr>
                <w:color w:val="auto"/>
              </w:rPr>
            </w:pPr>
            <w:r>
              <w:rPr>
                <w:color w:val="auto"/>
              </w:rPr>
              <w:t>施工机械、车辆</w:t>
            </w:r>
          </w:p>
        </w:tc>
        <w:tc>
          <w:tcPr>
            <w:tcW w:w="1276" w:type="dxa"/>
            <w:vAlign w:val="center"/>
          </w:tcPr>
          <w:p w14:paraId="4C122190">
            <w:pPr>
              <w:pStyle w:val="52"/>
              <w:rPr>
                <w:color w:val="auto"/>
              </w:rPr>
            </w:pPr>
            <w:r>
              <w:rPr>
                <w:color w:val="auto"/>
              </w:rPr>
              <w:t>燃油废气</w:t>
            </w:r>
          </w:p>
        </w:tc>
        <w:tc>
          <w:tcPr>
            <w:tcW w:w="3402" w:type="dxa"/>
            <w:vAlign w:val="center"/>
          </w:tcPr>
          <w:p w14:paraId="0C1BD3EF">
            <w:pPr>
              <w:pStyle w:val="52"/>
              <w:rPr>
                <w:color w:val="auto"/>
              </w:rPr>
            </w:pPr>
            <w:r>
              <w:rPr>
                <w:color w:val="auto"/>
              </w:rPr>
              <w:t>自然扩散</w:t>
            </w:r>
          </w:p>
        </w:tc>
        <w:tc>
          <w:tcPr>
            <w:tcW w:w="2268" w:type="dxa"/>
            <w:vAlign w:val="center"/>
          </w:tcPr>
          <w:p w14:paraId="3C30A0A0">
            <w:pPr>
              <w:pStyle w:val="52"/>
              <w:rPr>
                <w:color w:val="auto"/>
              </w:rPr>
            </w:pPr>
            <w:r>
              <w:rPr>
                <w:color w:val="auto"/>
              </w:rPr>
              <w:t>对环境影响小</w:t>
            </w:r>
          </w:p>
        </w:tc>
      </w:tr>
      <w:tr w14:paraId="1E84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C40644F">
            <w:pPr>
              <w:pStyle w:val="52"/>
              <w:rPr>
                <w:color w:val="auto"/>
              </w:rPr>
            </w:pPr>
          </w:p>
        </w:tc>
        <w:tc>
          <w:tcPr>
            <w:tcW w:w="851" w:type="dxa"/>
            <w:vAlign w:val="center"/>
          </w:tcPr>
          <w:p w14:paraId="34296540">
            <w:pPr>
              <w:pStyle w:val="52"/>
              <w:rPr>
                <w:color w:val="auto"/>
              </w:rPr>
            </w:pPr>
            <w:r>
              <w:rPr>
                <w:color w:val="auto"/>
              </w:rPr>
              <w:t>运营期</w:t>
            </w:r>
          </w:p>
        </w:tc>
        <w:tc>
          <w:tcPr>
            <w:tcW w:w="1275" w:type="dxa"/>
            <w:vAlign w:val="center"/>
          </w:tcPr>
          <w:p w14:paraId="3480D064">
            <w:pPr>
              <w:pStyle w:val="87"/>
              <w:rPr>
                <w:rFonts w:ascii="Times New Roman" w:hAnsi="Times New Roman" w:eastAsia="宋体" w:cs="Times New Roman"/>
                <w:color w:val="auto"/>
                <w:szCs w:val="21"/>
              </w:rPr>
            </w:pPr>
            <w:r>
              <w:rPr>
                <w:rFonts w:ascii="Times New Roman" w:hAnsi="Times New Roman" w:eastAsia="宋体" w:cs="Times New Roman"/>
                <w:color w:val="auto"/>
                <w:szCs w:val="21"/>
              </w:rPr>
              <w:t>生产加工</w:t>
            </w:r>
          </w:p>
        </w:tc>
        <w:tc>
          <w:tcPr>
            <w:tcW w:w="1276" w:type="dxa"/>
            <w:vAlign w:val="center"/>
          </w:tcPr>
          <w:p w14:paraId="2E9C4961">
            <w:pPr>
              <w:pStyle w:val="87"/>
              <w:rPr>
                <w:rFonts w:ascii="Times New Roman" w:hAnsi="Times New Roman" w:eastAsia="宋体" w:cs="Times New Roman"/>
                <w:color w:val="auto"/>
                <w:szCs w:val="21"/>
              </w:rPr>
            </w:pPr>
            <w:r>
              <w:rPr>
                <w:rFonts w:ascii="Times New Roman" w:hAnsi="Times New Roman" w:eastAsia="宋体" w:cs="Times New Roman"/>
                <w:color w:val="auto"/>
                <w:szCs w:val="21"/>
              </w:rPr>
              <w:t>无组织粉尘</w:t>
            </w:r>
          </w:p>
        </w:tc>
        <w:tc>
          <w:tcPr>
            <w:tcW w:w="3402" w:type="dxa"/>
            <w:vAlign w:val="center"/>
          </w:tcPr>
          <w:p w14:paraId="1F0CA8D2">
            <w:pPr>
              <w:pStyle w:val="52"/>
              <w:rPr>
                <w:color w:val="auto"/>
              </w:rPr>
            </w:pPr>
            <w:r>
              <w:rPr>
                <w:color w:val="auto"/>
              </w:rPr>
              <w:t>采矿作业点、堆料场、装卸点、运输道路等产尘点设置洒水设施；一级破碎采用洒水除尘；</w:t>
            </w:r>
            <w:r>
              <w:rPr>
                <w:color w:val="auto"/>
                <w:szCs w:val="32"/>
              </w:rPr>
              <w:t>破碎机下料口使用苫布遮盖；筛分机采用彩钢瓦棚半封闭，出料口用苫布遮挡</w:t>
            </w:r>
          </w:p>
        </w:tc>
        <w:tc>
          <w:tcPr>
            <w:tcW w:w="2268" w:type="dxa"/>
            <w:vAlign w:val="center"/>
          </w:tcPr>
          <w:p w14:paraId="1051BF9A">
            <w:pPr>
              <w:pStyle w:val="52"/>
              <w:rPr>
                <w:color w:val="auto"/>
              </w:rPr>
            </w:pPr>
            <w:r>
              <w:rPr>
                <w:color w:val="auto"/>
                <w:szCs w:val="21"/>
              </w:rPr>
              <w:t>达到GB16297—1996《大气污染物综合排放标准》无组织排放浓度限值</w:t>
            </w:r>
          </w:p>
        </w:tc>
      </w:tr>
      <w:tr w14:paraId="50AD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4028AA40">
            <w:pPr>
              <w:pStyle w:val="52"/>
              <w:rPr>
                <w:color w:val="auto"/>
              </w:rPr>
            </w:pPr>
            <w:r>
              <w:rPr>
                <w:color w:val="auto"/>
              </w:rPr>
              <w:t>水污染物</w:t>
            </w:r>
          </w:p>
        </w:tc>
        <w:tc>
          <w:tcPr>
            <w:tcW w:w="851" w:type="dxa"/>
            <w:vMerge w:val="restart"/>
            <w:vAlign w:val="center"/>
          </w:tcPr>
          <w:p w14:paraId="0622801D">
            <w:pPr>
              <w:pStyle w:val="52"/>
              <w:rPr>
                <w:color w:val="auto"/>
              </w:rPr>
            </w:pPr>
            <w:r>
              <w:rPr>
                <w:color w:val="auto"/>
              </w:rPr>
              <w:t>施工期</w:t>
            </w:r>
          </w:p>
        </w:tc>
        <w:tc>
          <w:tcPr>
            <w:tcW w:w="1275" w:type="dxa"/>
            <w:vMerge w:val="restart"/>
            <w:vAlign w:val="center"/>
          </w:tcPr>
          <w:p w14:paraId="442ADF7A">
            <w:pPr>
              <w:pStyle w:val="52"/>
              <w:rPr>
                <w:color w:val="auto"/>
              </w:rPr>
            </w:pPr>
            <w:r>
              <w:rPr>
                <w:color w:val="auto"/>
              </w:rPr>
              <w:t>施工场地</w:t>
            </w:r>
          </w:p>
        </w:tc>
        <w:tc>
          <w:tcPr>
            <w:tcW w:w="1276" w:type="dxa"/>
            <w:vAlign w:val="center"/>
          </w:tcPr>
          <w:p w14:paraId="37AFC8EB">
            <w:pPr>
              <w:pStyle w:val="52"/>
              <w:rPr>
                <w:color w:val="auto"/>
              </w:rPr>
            </w:pPr>
            <w:r>
              <w:rPr>
                <w:color w:val="auto"/>
              </w:rPr>
              <w:t>生活污水</w:t>
            </w:r>
          </w:p>
        </w:tc>
        <w:tc>
          <w:tcPr>
            <w:tcW w:w="3402" w:type="dxa"/>
            <w:vAlign w:val="center"/>
          </w:tcPr>
          <w:p w14:paraId="76C5BA01">
            <w:pPr>
              <w:pStyle w:val="52"/>
              <w:rPr>
                <w:color w:val="auto"/>
              </w:rPr>
            </w:pPr>
            <w:r>
              <w:rPr>
                <w:color w:val="auto"/>
              </w:rPr>
              <w:t>经沉淀池沉淀处理后回用，不外排</w:t>
            </w:r>
          </w:p>
        </w:tc>
        <w:tc>
          <w:tcPr>
            <w:tcW w:w="2268" w:type="dxa"/>
            <w:vMerge w:val="restart"/>
            <w:vAlign w:val="center"/>
          </w:tcPr>
          <w:p w14:paraId="797D9C41">
            <w:pPr>
              <w:pStyle w:val="52"/>
              <w:rPr>
                <w:color w:val="auto"/>
              </w:rPr>
            </w:pPr>
            <w:r>
              <w:rPr>
                <w:color w:val="auto"/>
              </w:rPr>
              <w:t>对地表水环境影响较小</w:t>
            </w:r>
          </w:p>
        </w:tc>
      </w:tr>
      <w:tr w14:paraId="20FD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04FBEC1">
            <w:pPr>
              <w:pStyle w:val="52"/>
              <w:rPr>
                <w:color w:val="auto"/>
              </w:rPr>
            </w:pPr>
          </w:p>
        </w:tc>
        <w:tc>
          <w:tcPr>
            <w:tcW w:w="851" w:type="dxa"/>
            <w:vMerge w:val="continue"/>
            <w:vAlign w:val="center"/>
          </w:tcPr>
          <w:p w14:paraId="6CE34190">
            <w:pPr>
              <w:pStyle w:val="52"/>
              <w:rPr>
                <w:color w:val="auto"/>
              </w:rPr>
            </w:pPr>
          </w:p>
        </w:tc>
        <w:tc>
          <w:tcPr>
            <w:tcW w:w="1275" w:type="dxa"/>
            <w:vMerge w:val="continue"/>
            <w:vAlign w:val="center"/>
          </w:tcPr>
          <w:p w14:paraId="620BA72E">
            <w:pPr>
              <w:pStyle w:val="52"/>
              <w:rPr>
                <w:color w:val="auto"/>
              </w:rPr>
            </w:pPr>
          </w:p>
        </w:tc>
        <w:tc>
          <w:tcPr>
            <w:tcW w:w="1276" w:type="dxa"/>
            <w:vAlign w:val="center"/>
          </w:tcPr>
          <w:p w14:paraId="0AD0F0FE">
            <w:pPr>
              <w:spacing w:line="240" w:lineRule="auto"/>
              <w:ind w:firstLine="0" w:firstLineChars="0"/>
              <w:jc w:val="center"/>
              <w:rPr>
                <w:rFonts w:cs="Times New Roman"/>
                <w:sz w:val="21"/>
                <w:szCs w:val="21"/>
              </w:rPr>
            </w:pPr>
            <w:r>
              <w:rPr>
                <w:rFonts w:cs="Times New Roman"/>
                <w:sz w:val="21"/>
                <w:szCs w:val="21"/>
              </w:rPr>
              <w:t>混凝土搅拌机冲洗废水</w:t>
            </w:r>
          </w:p>
        </w:tc>
        <w:tc>
          <w:tcPr>
            <w:tcW w:w="3402" w:type="dxa"/>
            <w:vAlign w:val="center"/>
          </w:tcPr>
          <w:p w14:paraId="3FD7258B">
            <w:pPr>
              <w:pStyle w:val="52"/>
              <w:rPr>
                <w:color w:val="auto"/>
              </w:rPr>
            </w:pPr>
            <w:r>
              <w:rPr>
                <w:color w:val="auto"/>
              </w:rPr>
              <w:t>经沉淀池沉淀处理后回用，不外排</w:t>
            </w:r>
          </w:p>
        </w:tc>
        <w:tc>
          <w:tcPr>
            <w:tcW w:w="2268" w:type="dxa"/>
            <w:vMerge w:val="continue"/>
            <w:vAlign w:val="center"/>
          </w:tcPr>
          <w:p w14:paraId="5D19BA3F">
            <w:pPr>
              <w:pStyle w:val="52"/>
              <w:rPr>
                <w:color w:val="auto"/>
              </w:rPr>
            </w:pPr>
          </w:p>
        </w:tc>
      </w:tr>
      <w:tr w14:paraId="7A2A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642FF09">
            <w:pPr>
              <w:pStyle w:val="52"/>
              <w:rPr>
                <w:color w:val="auto"/>
              </w:rPr>
            </w:pPr>
          </w:p>
        </w:tc>
        <w:tc>
          <w:tcPr>
            <w:tcW w:w="851" w:type="dxa"/>
            <w:vMerge w:val="continue"/>
            <w:vAlign w:val="center"/>
          </w:tcPr>
          <w:p w14:paraId="4B52F5E0">
            <w:pPr>
              <w:pStyle w:val="52"/>
              <w:rPr>
                <w:color w:val="auto"/>
              </w:rPr>
            </w:pPr>
          </w:p>
        </w:tc>
        <w:tc>
          <w:tcPr>
            <w:tcW w:w="1275" w:type="dxa"/>
            <w:vMerge w:val="continue"/>
            <w:vAlign w:val="center"/>
          </w:tcPr>
          <w:p w14:paraId="007970E2">
            <w:pPr>
              <w:pStyle w:val="52"/>
              <w:rPr>
                <w:color w:val="auto"/>
              </w:rPr>
            </w:pPr>
          </w:p>
        </w:tc>
        <w:tc>
          <w:tcPr>
            <w:tcW w:w="1276" w:type="dxa"/>
            <w:vAlign w:val="center"/>
          </w:tcPr>
          <w:p w14:paraId="3158BB36">
            <w:pPr>
              <w:spacing w:line="240" w:lineRule="auto"/>
              <w:ind w:firstLine="0" w:firstLineChars="0"/>
              <w:jc w:val="center"/>
              <w:rPr>
                <w:rFonts w:cs="Times New Roman"/>
                <w:sz w:val="21"/>
                <w:szCs w:val="21"/>
              </w:rPr>
            </w:pPr>
            <w:r>
              <w:rPr>
                <w:rFonts w:cs="Times New Roman"/>
                <w:sz w:val="21"/>
                <w:szCs w:val="21"/>
              </w:rPr>
              <w:t>工具冲洗废水</w:t>
            </w:r>
          </w:p>
        </w:tc>
        <w:tc>
          <w:tcPr>
            <w:tcW w:w="3402" w:type="dxa"/>
            <w:vAlign w:val="center"/>
          </w:tcPr>
          <w:p w14:paraId="699B9B2A">
            <w:pPr>
              <w:pStyle w:val="52"/>
              <w:rPr>
                <w:color w:val="auto"/>
              </w:rPr>
            </w:pPr>
            <w:r>
              <w:rPr>
                <w:color w:val="auto"/>
              </w:rPr>
              <w:t>经沉淀池沉淀处理后回用，不外排</w:t>
            </w:r>
          </w:p>
        </w:tc>
        <w:tc>
          <w:tcPr>
            <w:tcW w:w="2268" w:type="dxa"/>
            <w:vMerge w:val="continue"/>
            <w:vAlign w:val="center"/>
          </w:tcPr>
          <w:p w14:paraId="4ADF33CC">
            <w:pPr>
              <w:pStyle w:val="52"/>
              <w:rPr>
                <w:color w:val="auto"/>
              </w:rPr>
            </w:pPr>
          </w:p>
        </w:tc>
      </w:tr>
      <w:tr w14:paraId="2B63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E8A5315">
            <w:pPr>
              <w:pStyle w:val="52"/>
              <w:rPr>
                <w:color w:val="auto"/>
              </w:rPr>
            </w:pPr>
          </w:p>
        </w:tc>
        <w:tc>
          <w:tcPr>
            <w:tcW w:w="851" w:type="dxa"/>
            <w:vMerge w:val="continue"/>
            <w:vAlign w:val="center"/>
          </w:tcPr>
          <w:p w14:paraId="67909A5B">
            <w:pPr>
              <w:pStyle w:val="52"/>
              <w:rPr>
                <w:color w:val="auto"/>
              </w:rPr>
            </w:pPr>
          </w:p>
        </w:tc>
        <w:tc>
          <w:tcPr>
            <w:tcW w:w="1275" w:type="dxa"/>
            <w:vAlign w:val="center"/>
          </w:tcPr>
          <w:p w14:paraId="19B52FD9">
            <w:pPr>
              <w:pStyle w:val="52"/>
              <w:rPr>
                <w:color w:val="auto"/>
              </w:rPr>
            </w:pPr>
            <w:r>
              <w:rPr>
                <w:color w:val="auto"/>
              </w:rPr>
              <w:t>施工区</w:t>
            </w:r>
          </w:p>
        </w:tc>
        <w:tc>
          <w:tcPr>
            <w:tcW w:w="1276" w:type="dxa"/>
            <w:vAlign w:val="center"/>
          </w:tcPr>
          <w:p w14:paraId="116B8033">
            <w:pPr>
              <w:pStyle w:val="52"/>
              <w:rPr>
                <w:color w:val="auto"/>
              </w:rPr>
            </w:pPr>
            <w:r>
              <w:rPr>
                <w:color w:val="auto"/>
              </w:rPr>
              <w:t>场地雨水</w:t>
            </w:r>
          </w:p>
        </w:tc>
        <w:tc>
          <w:tcPr>
            <w:tcW w:w="3402" w:type="dxa"/>
            <w:vAlign w:val="center"/>
          </w:tcPr>
          <w:p w14:paraId="06D46CCD">
            <w:pPr>
              <w:pStyle w:val="52"/>
              <w:rPr>
                <w:color w:val="auto"/>
              </w:rPr>
            </w:pPr>
            <w:r>
              <w:rPr>
                <w:color w:val="auto"/>
              </w:rPr>
              <w:t>经沉砂池沉淀处理后排放</w:t>
            </w:r>
          </w:p>
        </w:tc>
        <w:tc>
          <w:tcPr>
            <w:tcW w:w="2268" w:type="dxa"/>
            <w:vMerge w:val="continue"/>
            <w:vAlign w:val="center"/>
          </w:tcPr>
          <w:p w14:paraId="76F1D57F">
            <w:pPr>
              <w:pStyle w:val="52"/>
              <w:rPr>
                <w:color w:val="auto"/>
              </w:rPr>
            </w:pPr>
          </w:p>
        </w:tc>
      </w:tr>
      <w:tr w14:paraId="70D5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CA78847">
            <w:pPr>
              <w:pStyle w:val="52"/>
              <w:rPr>
                <w:color w:val="auto"/>
              </w:rPr>
            </w:pPr>
          </w:p>
        </w:tc>
        <w:tc>
          <w:tcPr>
            <w:tcW w:w="851" w:type="dxa"/>
            <w:vMerge w:val="restart"/>
            <w:vAlign w:val="center"/>
          </w:tcPr>
          <w:p w14:paraId="48EAAAF0">
            <w:pPr>
              <w:pStyle w:val="52"/>
              <w:rPr>
                <w:color w:val="auto"/>
              </w:rPr>
            </w:pPr>
            <w:r>
              <w:rPr>
                <w:color w:val="auto"/>
              </w:rPr>
              <w:t>运营期</w:t>
            </w:r>
          </w:p>
        </w:tc>
        <w:tc>
          <w:tcPr>
            <w:tcW w:w="1275" w:type="dxa"/>
            <w:vAlign w:val="center"/>
          </w:tcPr>
          <w:p w14:paraId="690937C4">
            <w:pPr>
              <w:pStyle w:val="52"/>
              <w:rPr>
                <w:color w:val="auto"/>
              </w:rPr>
            </w:pPr>
            <w:r>
              <w:rPr>
                <w:color w:val="auto"/>
              </w:rPr>
              <w:t>办公生活区</w:t>
            </w:r>
          </w:p>
        </w:tc>
        <w:tc>
          <w:tcPr>
            <w:tcW w:w="1276" w:type="dxa"/>
            <w:vAlign w:val="center"/>
          </w:tcPr>
          <w:p w14:paraId="460D4BD2">
            <w:pPr>
              <w:pStyle w:val="52"/>
              <w:rPr>
                <w:color w:val="auto"/>
              </w:rPr>
            </w:pPr>
            <w:r>
              <w:rPr>
                <w:color w:val="auto"/>
              </w:rPr>
              <w:t>生活污水</w:t>
            </w:r>
          </w:p>
        </w:tc>
        <w:tc>
          <w:tcPr>
            <w:tcW w:w="3402" w:type="dxa"/>
            <w:vAlign w:val="center"/>
          </w:tcPr>
          <w:p w14:paraId="4FDDE060">
            <w:pPr>
              <w:pStyle w:val="52"/>
              <w:rPr>
                <w:color w:val="auto"/>
              </w:rPr>
            </w:pPr>
            <w:r>
              <w:rPr>
                <w:color w:val="auto"/>
              </w:rPr>
              <w:t>员工厨房废水经隔油池处理后和员工办公住宿废水经化粪池处理后用于项目绿化施肥，不外排</w:t>
            </w:r>
          </w:p>
        </w:tc>
        <w:tc>
          <w:tcPr>
            <w:tcW w:w="2268" w:type="dxa"/>
            <w:vMerge w:val="restart"/>
            <w:vAlign w:val="center"/>
          </w:tcPr>
          <w:p w14:paraId="7ABAB364">
            <w:pPr>
              <w:pStyle w:val="52"/>
              <w:rPr>
                <w:color w:val="auto"/>
              </w:rPr>
            </w:pPr>
            <w:r>
              <w:rPr>
                <w:color w:val="auto"/>
              </w:rPr>
              <w:t>对地表水环境影响较小</w:t>
            </w:r>
          </w:p>
        </w:tc>
      </w:tr>
      <w:tr w14:paraId="07F9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3CA90AE">
            <w:pPr>
              <w:pStyle w:val="52"/>
              <w:rPr>
                <w:color w:val="auto"/>
              </w:rPr>
            </w:pPr>
          </w:p>
        </w:tc>
        <w:tc>
          <w:tcPr>
            <w:tcW w:w="851" w:type="dxa"/>
            <w:vMerge w:val="continue"/>
            <w:vAlign w:val="center"/>
          </w:tcPr>
          <w:p w14:paraId="1EA6C9A1">
            <w:pPr>
              <w:pStyle w:val="52"/>
              <w:rPr>
                <w:color w:val="auto"/>
              </w:rPr>
            </w:pPr>
          </w:p>
        </w:tc>
        <w:tc>
          <w:tcPr>
            <w:tcW w:w="1275" w:type="dxa"/>
            <w:vAlign w:val="center"/>
          </w:tcPr>
          <w:p w14:paraId="2DF15A6E">
            <w:pPr>
              <w:pStyle w:val="52"/>
              <w:rPr>
                <w:color w:val="auto"/>
              </w:rPr>
            </w:pPr>
            <w:r>
              <w:rPr>
                <w:color w:val="auto"/>
              </w:rPr>
              <w:t>弃渣场及露天采场</w:t>
            </w:r>
          </w:p>
        </w:tc>
        <w:tc>
          <w:tcPr>
            <w:tcW w:w="1276" w:type="dxa"/>
            <w:vAlign w:val="center"/>
          </w:tcPr>
          <w:p w14:paraId="6A654D31">
            <w:pPr>
              <w:pStyle w:val="52"/>
              <w:rPr>
                <w:color w:val="auto"/>
              </w:rPr>
            </w:pPr>
            <w:r>
              <w:rPr>
                <w:color w:val="auto"/>
              </w:rPr>
              <w:t>弃渣场和露天采场</w:t>
            </w:r>
            <w:r>
              <w:rPr>
                <w:rFonts w:hint="eastAsia"/>
                <w:bCs/>
                <w:color w:val="FF0000"/>
              </w:rPr>
              <w:t>初期雨水</w:t>
            </w:r>
          </w:p>
        </w:tc>
        <w:tc>
          <w:tcPr>
            <w:tcW w:w="3402" w:type="dxa"/>
            <w:vAlign w:val="center"/>
          </w:tcPr>
          <w:p w14:paraId="19C2369B">
            <w:pPr>
              <w:pStyle w:val="52"/>
              <w:rPr>
                <w:color w:val="auto"/>
              </w:rPr>
            </w:pPr>
            <w:r>
              <w:rPr>
                <w:color w:val="auto"/>
              </w:rPr>
              <w:t>弃渣场和露天采场</w:t>
            </w:r>
            <w:r>
              <w:rPr>
                <w:rFonts w:hint="eastAsia"/>
                <w:bCs/>
                <w:color w:val="FF0000"/>
              </w:rPr>
              <w:t>初期雨水</w:t>
            </w:r>
            <w:r>
              <w:rPr>
                <w:color w:val="auto"/>
              </w:rPr>
              <w:t>经雨水沉淀池处理外排</w:t>
            </w:r>
          </w:p>
        </w:tc>
        <w:tc>
          <w:tcPr>
            <w:tcW w:w="2268" w:type="dxa"/>
            <w:vMerge w:val="continue"/>
            <w:vAlign w:val="center"/>
          </w:tcPr>
          <w:p w14:paraId="22982D07">
            <w:pPr>
              <w:pStyle w:val="52"/>
              <w:rPr>
                <w:color w:val="auto"/>
              </w:rPr>
            </w:pPr>
          </w:p>
        </w:tc>
      </w:tr>
      <w:tr w14:paraId="7E94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13716720">
            <w:pPr>
              <w:pStyle w:val="52"/>
              <w:rPr>
                <w:color w:val="auto"/>
              </w:rPr>
            </w:pPr>
            <w:r>
              <w:rPr>
                <w:color w:val="auto"/>
              </w:rPr>
              <w:t>固体废物</w:t>
            </w:r>
          </w:p>
        </w:tc>
        <w:tc>
          <w:tcPr>
            <w:tcW w:w="851" w:type="dxa"/>
            <w:vMerge w:val="restart"/>
            <w:vAlign w:val="center"/>
          </w:tcPr>
          <w:p w14:paraId="2C88A1D0">
            <w:pPr>
              <w:pStyle w:val="52"/>
              <w:rPr>
                <w:color w:val="auto"/>
              </w:rPr>
            </w:pPr>
            <w:r>
              <w:rPr>
                <w:color w:val="auto"/>
              </w:rPr>
              <w:t>施工期</w:t>
            </w:r>
          </w:p>
        </w:tc>
        <w:tc>
          <w:tcPr>
            <w:tcW w:w="1275" w:type="dxa"/>
            <w:vMerge w:val="restart"/>
            <w:vAlign w:val="center"/>
          </w:tcPr>
          <w:p w14:paraId="41CE84C4">
            <w:pPr>
              <w:pStyle w:val="52"/>
              <w:rPr>
                <w:color w:val="auto"/>
              </w:rPr>
            </w:pPr>
            <w:r>
              <w:rPr>
                <w:color w:val="auto"/>
              </w:rPr>
              <w:t>项目区</w:t>
            </w:r>
          </w:p>
        </w:tc>
        <w:tc>
          <w:tcPr>
            <w:tcW w:w="1276" w:type="dxa"/>
            <w:vAlign w:val="center"/>
          </w:tcPr>
          <w:p w14:paraId="29D4E93C">
            <w:pPr>
              <w:pStyle w:val="52"/>
              <w:rPr>
                <w:color w:val="auto"/>
              </w:rPr>
            </w:pPr>
            <w:r>
              <w:rPr>
                <w:color w:val="auto"/>
              </w:rPr>
              <w:t>土石方</w:t>
            </w:r>
          </w:p>
        </w:tc>
        <w:tc>
          <w:tcPr>
            <w:tcW w:w="3402" w:type="dxa"/>
            <w:vAlign w:val="center"/>
          </w:tcPr>
          <w:p w14:paraId="326E4EDB">
            <w:pPr>
              <w:pStyle w:val="52"/>
              <w:rPr>
                <w:color w:val="auto"/>
              </w:rPr>
            </w:pPr>
            <w:r>
              <w:rPr>
                <w:color w:val="auto"/>
              </w:rPr>
              <w:t>运至弃渣场堆存</w:t>
            </w:r>
          </w:p>
        </w:tc>
        <w:tc>
          <w:tcPr>
            <w:tcW w:w="2268" w:type="dxa"/>
            <w:vMerge w:val="restart"/>
            <w:vAlign w:val="center"/>
          </w:tcPr>
          <w:p w14:paraId="2306745B">
            <w:pPr>
              <w:pStyle w:val="52"/>
              <w:rPr>
                <w:color w:val="auto"/>
              </w:rPr>
            </w:pPr>
            <w:r>
              <w:rPr>
                <w:color w:val="auto"/>
              </w:rPr>
              <w:t>处置率100%</w:t>
            </w:r>
          </w:p>
        </w:tc>
      </w:tr>
      <w:tr w14:paraId="69E2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5686538">
            <w:pPr>
              <w:pStyle w:val="52"/>
              <w:rPr>
                <w:color w:val="auto"/>
              </w:rPr>
            </w:pPr>
          </w:p>
        </w:tc>
        <w:tc>
          <w:tcPr>
            <w:tcW w:w="851" w:type="dxa"/>
            <w:vMerge w:val="continue"/>
            <w:vAlign w:val="center"/>
          </w:tcPr>
          <w:p w14:paraId="15FBD0F9">
            <w:pPr>
              <w:pStyle w:val="52"/>
              <w:rPr>
                <w:color w:val="auto"/>
              </w:rPr>
            </w:pPr>
          </w:p>
        </w:tc>
        <w:tc>
          <w:tcPr>
            <w:tcW w:w="1275" w:type="dxa"/>
            <w:vMerge w:val="continue"/>
            <w:vAlign w:val="center"/>
          </w:tcPr>
          <w:p w14:paraId="2B33D513">
            <w:pPr>
              <w:pStyle w:val="52"/>
              <w:rPr>
                <w:color w:val="auto"/>
              </w:rPr>
            </w:pPr>
          </w:p>
        </w:tc>
        <w:tc>
          <w:tcPr>
            <w:tcW w:w="1276" w:type="dxa"/>
            <w:vAlign w:val="center"/>
          </w:tcPr>
          <w:p w14:paraId="7D9F1F83">
            <w:pPr>
              <w:pStyle w:val="52"/>
              <w:rPr>
                <w:color w:val="auto"/>
              </w:rPr>
            </w:pPr>
            <w:r>
              <w:rPr>
                <w:color w:val="auto"/>
              </w:rPr>
              <w:t>生活垃圾</w:t>
            </w:r>
          </w:p>
        </w:tc>
        <w:tc>
          <w:tcPr>
            <w:tcW w:w="3402" w:type="dxa"/>
            <w:vAlign w:val="center"/>
          </w:tcPr>
          <w:p w14:paraId="7FC475CF">
            <w:pPr>
              <w:pStyle w:val="52"/>
              <w:rPr>
                <w:color w:val="auto"/>
              </w:rPr>
            </w:pPr>
            <w:r>
              <w:rPr>
                <w:color w:val="auto"/>
              </w:rPr>
              <w:t>统一收集后运至附近村镇垃圾收集点</w:t>
            </w:r>
          </w:p>
        </w:tc>
        <w:tc>
          <w:tcPr>
            <w:tcW w:w="2268" w:type="dxa"/>
            <w:vMerge w:val="continue"/>
            <w:vAlign w:val="center"/>
          </w:tcPr>
          <w:p w14:paraId="4D00E8D9">
            <w:pPr>
              <w:pStyle w:val="52"/>
              <w:rPr>
                <w:color w:val="auto"/>
              </w:rPr>
            </w:pPr>
          </w:p>
        </w:tc>
      </w:tr>
      <w:tr w14:paraId="0CE7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ED49171">
            <w:pPr>
              <w:pStyle w:val="52"/>
              <w:rPr>
                <w:color w:val="auto"/>
              </w:rPr>
            </w:pPr>
          </w:p>
        </w:tc>
        <w:tc>
          <w:tcPr>
            <w:tcW w:w="851" w:type="dxa"/>
            <w:vMerge w:val="continue"/>
            <w:vAlign w:val="center"/>
          </w:tcPr>
          <w:p w14:paraId="21957DDE">
            <w:pPr>
              <w:pStyle w:val="52"/>
              <w:rPr>
                <w:color w:val="auto"/>
              </w:rPr>
            </w:pPr>
          </w:p>
        </w:tc>
        <w:tc>
          <w:tcPr>
            <w:tcW w:w="1275" w:type="dxa"/>
            <w:vMerge w:val="continue"/>
            <w:vAlign w:val="center"/>
          </w:tcPr>
          <w:p w14:paraId="79F79F56">
            <w:pPr>
              <w:pStyle w:val="52"/>
              <w:rPr>
                <w:color w:val="auto"/>
              </w:rPr>
            </w:pPr>
          </w:p>
        </w:tc>
        <w:tc>
          <w:tcPr>
            <w:tcW w:w="1276" w:type="dxa"/>
            <w:vAlign w:val="center"/>
          </w:tcPr>
          <w:p w14:paraId="4A9C6FE2">
            <w:pPr>
              <w:pStyle w:val="52"/>
              <w:rPr>
                <w:color w:val="auto"/>
              </w:rPr>
            </w:pPr>
            <w:r>
              <w:rPr>
                <w:color w:val="auto"/>
              </w:rPr>
              <w:t>建筑垃圾</w:t>
            </w:r>
          </w:p>
        </w:tc>
        <w:tc>
          <w:tcPr>
            <w:tcW w:w="3402" w:type="dxa"/>
            <w:vAlign w:val="center"/>
          </w:tcPr>
          <w:p w14:paraId="7EB338FD">
            <w:pPr>
              <w:pStyle w:val="52"/>
              <w:rPr>
                <w:color w:val="auto"/>
              </w:rPr>
            </w:pPr>
            <w:r>
              <w:rPr>
                <w:color w:val="auto"/>
              </w:rPr>
              <w:t>建筑垃圾进行分类，可再生利用部分回收利用，不能利用的运至住建部门指定点处置</w:t>
            </w:r>
          </w:p>
        </w:tc>
        <w:tc>
          <w:tcPr>
            <w:tcW w:w="2268" w:type="dxa"/>
            <w:vMerge w:val="continue"/>
            <w:vAlign w:val="center"/>
          </w:tcPr>
          <w:p w14:paraId="6E0CBF18">
            <w:pPr>
              <w:pStyle w:val="52"/>
              <w:rPr>
                <w:color w:val="auto"/>
              </w:rPr>
            </w:pPr>
          </w:p>
        </w:tc>
      </w:tr>
      <w:tr w14:paraId="296D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72E6AE0">
            <w:pPr>
              <w:pStyle w:val="52"/>
              <w:rPr>
                <w:color w:val="auto"/>
              </w:rPr>
            </w:pPr>
          </w:p>
        </w:tc>
        <w:tc>
          <w:tcPr>
            <w:tcW w:w="851" w:type="dxa"/>
            <w:vMerge w:val="restart"/>
            <w:vAlign w:val="center"/>
          </w:tcPr>
          <w:p w14:paraId="701EEC28">
            <w:pPr>
              <w:pStyle w:val="52"/>
              <w:rPr>
                <w:color w:val="auto"/>
              </w:rPr>
            </w:pPr>
            <w:r>
              <w:rPr>
                <w:color w:val="auto"/>
              </w:rPr>
              <w:t>运营期</w:t>
            </w:r>
          </w:p>
        </w:tc>
        <w:tc>
          <w:tcPr>
            <w:tcW w:w="1275" w:type="dxa"/>
            <w:vMerge w:val="restart"/>
            <w:vAlign w:val="center"/>
          </w:tcPr>
          <w:p w14:paraId="0CCB00D7">
            <w:pPr>
              <w:pStyle w:val="32"/>
              <w:rPr>
                <w:rFonts w:cs="Times New Roman"/>
              </w:rPr>
            </w:pPr>
            <w:r>
              <w:rPr>
                <w:rFonts w:cs="Times New Roman"/>
              </w:rPr>
              <w:t>项目区</w:t>
            </w:r>
          </w:p>
        </w:tc>
        <w:tc>
          <w:tcPr>
            <w:tcW w:w="1276" w:type="dxa"/>
            <w:vAlign w:val="center"/>
          </w:tcPr>
          <w:p w14:paraId="3263B62D">
            <w:pPr>
              <w:pStyle w:val="32"/>
              <w:rPr>
                <w:rFonts w:cs="Times New Roman"/>
                <w:szCs w:val="21"/>
              </w:rPr>
            </w:pPr>
            <w:r>
              <w:rPr>
                <w:rFonts w:cs="Times New Roman"/>
                <w:szCs w:val="21"/>
              </w:rPr>
              <w:t>废土石</w:t>
            </w:r>
          </w:p>
        </w:tc>
        <w:tc>
          <w:tcPr>
            <w:tcW w:w="3402" w:type="dxa"/>
            <w:vAlign w:val="center"/>
          </w:tcPr>
          <w:p w14:paraId="2E13A611">
            <w:pPr>
              <w:pStyle w:val="32"/>
              <w:rPr>
                <w:rFonts w:cs="Times New Roman"/>
                <w:szCs w:val="21"/>
              </w:rPr>
            </w:pPr>
            <w:r>
              <w:rPr>
                <w:rFonts w:cs="Times New Roman"/>
                <w:szCs w:val="21"/>
              </w:rPr>
              <w:t>运至堆土场堆存</w:t>
            </w:r>
          </w:p>
        </w:tc>
        <w:tc>
          <w:tcPr>
            <w:tcW w:w="2268" w:type="dxa"/>
            <w:vMerge w:val="continue"/>
            <w:vAlign w:val="center"/>
          </w:tcPr>
          <w:p w14:paraId="31F32446">
            <w:pPr>
              <w:pStyle w:val="52"/>
              <w:rPr>
                <w:color w:val="auto"/>
              </w:rPr>
            </w:pPr>
          </w:p>
        </w:tc>
      </w:tr>
      <w:tr w14:paraId="426C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30ADD15">
            <w:pPr>
              <w:pStyle w:val="52"/>
              <w:rPr>
                <w:color w:val="auto"/>
              </w:rPr>
            </w:pPr>
          </w:p>
        </w:tc>
        <w:tc>
          <w:tcPr>
            <w:tcW w:w="851" w:type="dxa"/>
            <w:vMerge w:val="continue"/>
            <w:vAlign w:val="center"/>
          </w:tcPr>
          <w:p w14:paraId="401ADECE">
            <w:pPr>
              <w:pStyle w:val="52"/>
              <w:rPr>
                <w:color w:val="auto"/>
              </w:rPr>
            </w:pPr>
          </w:p>
        </w:tc>
        <w:tc>
          <w:tcPr>
            <w:tcW w:w="1275" w:type="dxa"/>
            <w:vMerge w:val="continue"/>
            <w:vAlign w:val="center"/>
          </w:tcPr>
          <w:p w14:paraId="36314770">
            <w:pPr>
              <w:pStyle w:val="32"/>
              <w:rPr>
                <w:rFonts w:cs="Times New Roman"/>
              </w:rPr>
            </w:pPr>
          </w:p>
        </w:tc>
        <w:tc>
          <w:tcPr>
            <w:tcW w:w="1276" w:type="dxa"/>
            <w:vAlign w:val="center"/>
          </w:tcPr>
          <w:p w14:paraId="6D3D78A5">
            <w:pPr>
              <w:pStyle w:val="32"/>
              <w:rPr>
                <w:rFonts w:cs="Times New Roman"/>
                <w:szCs w:val="21"/>
              </w:rPr>
            </w:pPr>
            <w:r>
              <w:rPr>
                <w:rFonts w:cs="Times New Roman"/>
                <w:szCs w:val="21"/>
              </w:rPr>
              <w:t>化粪池污泥</w:t>
            </w:r>
          </w:p>
        </w:tc>
        <w:tc>
          <w:tcPr>
            <w:tcW w:w="3402" w:type="dxa"/>
            <w:vAlign w:val="center"/>
          </w:tcPr>
          <w:p w14:paraId="370B44C6">
            <w:pPr>
              <w:pStyle w:val="32"/>
              <w:rPr>
                <w:rFonts w:cs="Times New Roman"/>
                <w:szCs w:val="21"/>
              </w:rPr>
            </w:pPr>
            <w:r>
              <w:rPr>
                <w:rFonts w:cs="Times New Roman"/>
                <w:szCs w:val="21"/>
              </w:rPr>
              <w:t>用于项目周边</w:t>
            </w:r>
            <w:r>
              <w:rPr>
                <w:rFonts w:hint="eastAsia" w:cs="Times New Roman"/>
                <w:color w:val="FF0000"/>
                <w:szCs w:val="21"/>
              </w:rPr>
              <w:t>植被</w:t>
            </w:r>
            <w:r>
              <w:rPr>
                <w:rFonts w:cs="Times New Roman"/>
                <w:szCs w:val="21"/>
              </w:rPr>
              <w:t>施肥</w:t>
            </w:r>
          </w:p>
        </w:tc>
        <w:tc>
          <w:tcPr>
            <w:tcW w:w="2268" w:type="dxa"/>
            <w:vMerge w:val="continue"/>
            <w:vAlign w:val="center"/>
          </w:tcPr>
          <w:p w14:paraId="32BEA546">
            <w:pPr>
              <w:pStyle w:val="52"/>
              <w:rPr>
                <w:color w:val="auto"/>
              </w:rPr>
            </w:pPr>
          </w:p>
        </w:tc>
      </w:tr>
      <w:tr w14:paraId="6AB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02165C6">
            <w:pPr>
              <w:pStyle w:val="52"/>
              <w:rPr>
                <w:color w:val="auto"/>
              </w:rPr>
            </w:pPr>
          </w:p>
        </w:tc>
        <w:tc>
          <w:tcPr>
            <w:tcW w:w="851" w:type="dxa"/>
            <w:vMerge w:val="continue"/>
            <w:vAlign w:val="center"/>
          </w:tcPr>
          <w:p w14:paraId="26AE157C">
            <w:pPr>
              <w:pStyle w:val="52"/>
              <w:rPr>
                <w:color w:val="auto"/>
              </w:rPr>
            </w:pPr>
          </w:p>
        </w:tc>
        <w:tc>
          <w:tcPr>
            <w:tcW w:w="1275" w:type="dxa"/>
            <w:vMerge w:val="continue"/>
            <w:vAlign w:val="center"/>
          </w:tcPr>
          <w:p w14:paraId="4429281C">
            <w:pPr>
              <w:pStyle w:val="32"/>
              <w:rPr>
                <w:rFonts w:cs="Times New Roman"/>
              </w:rPr>
            </w:pPr>
          </w:p>
        </w:tc>
        <w:tc>
          <w:tcPr>
            <w:tcW w:w="1276" w:type="dxa"/>
            <w:vAlign w:val="center"/>
          </w:tcPr>
          <w:p w14:paraId="22ACE8A0">
            <w:pPr>
              <w:pStyle w:val="32"/>
              <w:rPr>
                <w:rFonts w:cs="Times New Roman"/>
                <w:szCs w:val="21"/>
              </w:rPr>
            </w:pPr>
            <w:r>
              <w:rPr>
                <w:rFonts w:cs="Times New Roman"/>
                <w:szCs w:val="21"/>
              </w:rPr>
              <w:t>雨水沉淀池沉渣</w:t>
            </w:r>
          </w:p>
        </w:tc>
        <w:tc>
          <w:tcPr>
            <w:tcW w:w="3402" w:type="dxa"/>
            <w:vAlign w:val="center"/>
          </w:tcPr>
          <w:p w14:paraId="1D63FD25">
            <w:pPr>
              <w:pStyle w:val="32"/>
              <w:rPr>
                <w:rFonts w:cs="Times New Roman"/>
                <w:szCs w:val="21"/>
              </w:rPr>
            </w:pPr>
            <w:r>
              <w:rPr>
                <w:rFonts w:cs="Times New Roman"/>
                <w:szCs w:val="21"/>
              </w:rPr>
              <w:t>雨水沉淀池沉渣定期清掏，然后运至弃渣场堆存</w:t>
            </w:r>
          </w:p>
        </w:tc>
        <w:tc>
          <w:tcPr>
            <w:tcW w:w="2268" w:type="dxa"/>
            <w:vMerge w:val="continue"/>
            <w:vAlign w:val="center"/>
          </w:tcPr>
          <w:p w14:paraId="4843C824">
            <w:pPr>
              <w:pStyle w:val="52"/>
              <w:rPr>
                <w:color w:val="auto"/>
              </w:rPr>
            </w:pPr>
          </w:p>
        </w:tc>
      </w:tr>
      <w:tr w14:paraId="680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37139E1">
            <w:pPr>
              <w:pStyle w:val="52"/>
              <w:rPr>
                <w:color w:val="auto"/>
              </w:rPr>
            </w:pPr>
          </w:p>
        </w:tc>
        <w:tc>
          <w:tcPr>
            <w:tcW w:w="851" w:type="dxa"/>
            <w:vMerge w:val="continue"/>
            <w:vAlign w:val="center"/>
          </w:tcPr>
          <w:p w14:paraId="6C3C192C">
            <w:pPr>
              <w:pStyle w:val="52"/>
              <w:rPr>
                <w:color w:val="auto"/>
              </w:rPr>
            </w:pPr>
          </w:p>
        </w:tc>
        <w:tc>
          <w:tcPr>
            <w:tcW w:w="1275" w:type="dxa"/>
            <w:vMerge w:val="continue"/>
            <w:vAlign w:val="center"/>
          </w:tcPr>
          <w:p w14:paraId="14851658">
            <w:pPr>
              <w:pStyle w:val="32"/>
              <w:rPr>
                <w:rFonts w:cs="Times New Roman"/>
              </w:rPr>
            </w:pPr>
          </w:p>
        </w:tc>
        <w:tc>
          <w:tcPr>
            <w:tcW w:w="1276" w:type="dxa"/>
            <w:vAlign w:val="center"/>
          </w:tcPr>
          <w:p w14:paraId="2E597734">
            <w:pPr>
              <w:pStyle w:val="32"/>
              <w:rPr>
                <w:rFonts w:cs="Times New Roman"/>
                <w:szCs w:val="21"/>
              </w:rPr>
            </w:pPr>
            <w:r>
              <w:rPr>
                <w:rFonts w:cs="Times New Roman"/>
                <w:szCs w:val="21"/>
              </w:rPr>
              <w:t>生活垃圾</w:t>
            </w:r>
          </w:p>
        </w:tc>
        <w:tc>
          <w:tcPr>
            <w:tcW w:w="3402" w:type="dxa"/>
            <w:vAlign w:val="center"/>
          </w:tcPr>
          <w:p w14:paraId="5814D6B4">
            <w:pPr>
              <w:pStyle w:val="32"/>
              <w:rPr>
                <w:rFonts w:cs="Times New Roman"/>
                <w:szCs w:val="21"/>
              </w:rPr>
            </w:pPr>
            <w:r>
              <w:rPr>
                <w:rFonts w:cs="Times New Roman"/>
                <w:szCs w:val="21"/>
              </w:rPr>
              <w:t>收集后定期外运至附近乡镇垃圾集中处置点处置</w:t>
            </w:r>
          </w:p>
        </w:tc>
        <w:tc>
          <w:tcPr>
            <w:tcW w:w="2268" w:type="dxa"/>
            <w:vMerge w:val="continue"/>
            <w:vAlign w:val="center"/>
          </w:tcPr>
          <w:p w14:paraId="3CFBCAB5">
            <w:pPr>
              <w:pStyle w:val="52"/>
              <w:rPr>
                <w:color w:val="auto"/>
              </w:rPr>
            </w:pPr>
          </w:p>
        </w:tc>
      </w:tr>
      <w:tr w14:paraId="63E9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0C320DE">
            <w:pPr>
              <w:pStyle w:val="52"/>
              <w:rPr>
                <w:color w:val="auto"/>
              </w:rPr>
            </w:pPr>
          </w:p>
        </w:tc>
        <w:tc>
          <w:tcPr>
            <w:tcW w:w="851" w:type="dxa"/>
            <w:vMerge w:val="continue"/>
            <w:vAlign w:val="center"/>
          </w:tcPr>
          <w:p w14:paraId="4A3DD030">
            <w:pPr>
              <w:pStyle w:val="52"/>
              <w:rPr>
                <w:color w:val="auto"/>
              </w:rPr>
            </w:pPr>
          </w:p>
        </w:tc>
        <w:tc>
          <w:tcPr>
            <w:tcW w:w="1275" w:type="dxa"/>
            <w:vMerge w:val="continue"/>
            <w:vAlign w:val="center"/>
          </w:tcPr>
          <w:p w14:paraId="67613A33">
            <w:pPr>
              <w:pStyle w:val="32"/>
              <w:rPr>
                <w:rFonts w:cs="Times New Roman"/>
              </w:rPr>
            </w:pPr>
          </w:p>
        </w:tc>
        <w:tc>
          <w:tcPr>
            <w:tcW w:w="1276" w:type="dxa"/>
            <w:vAlign w:val="center"/>
          </w:tcPr>
          <w:p w14:paraId="670C7579">
            <w:pPr>
              <w:pStyle w:val="32"/>
              <w:rPr>
                <w:rFonts w:cs="Times New Roman"/>
                <w:szCs w:val="21"/>
              </w:rPr>
            </w:pPr>
            <w:r>
              <w:rPr>
                <w:rFonts w:cs="Times New Roman"/>
                <w:szCs w:val="21"/>
              </w:rPr>
              <w:t>厨房泔水和隔油池废油</w:t>
            </w:r>
          </w:p>
        </w:tc>
        <w:tc>
          <w:tcPr>
            <w:tcW w:w="3402" w:type="dxa"/>
            <w:vAlign w:val="center"/>
          </w:tcPr>
          <w:p w14:paraId="16F3C143">
            <w:pPr>
              <w:pStyle w:val="32"/>
              <w:rPr>
                <w:rFonts w:cs="Times New Roman"/>
                <w:szCs w:val="21"/>
              </w:rPr>
            </w:pPr>
            <w:r>
              <w:rPr>
                <w:rFonts w:cs="Times New Roman"/>
                <w:szCs w:val="21"/>
              </w:rPr>
              <w:t>用带盖泔水收集桶收集后运至环卫部门指定的场所进行处置</w:t>
            </w:r>
          </w:p>
        </w:tc>
        <w:tc>
          <w:tcPr>
            <w:tcW w:w="2268" w:type="dxa"/>
            <w:vMerge w:val="continue"/>
            <w:vAlign w:val="center"/>
          </w:tcPr>
          <w:p w14:paraId="754450A9">
            <w:pPr>
              <w:pStyle w:val="52"/>
              <w:rPr>
                <w:color w:val="auto"/>
              </w:rPr>
            </w:pPr>
          </w:p>
        </w:tc>
      </w:tr>
      <w:tr w14:paraId="3402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49C8FF5">
            <w:pPr>
              <w:pStyle w:val="52"/>
              <w:rPr>
                <w:color w:val="auto"/>
              </w:rPr>
            </w:pPr>
          </w:p>
        </w:tc>
        <w:tc>
          <w:tcPr>
            <w:tcW w:w="851" w:type="dxa"/>
            <w:vMerge w:val="continue"/>
            <w:vAlign w:val="center"/>
          </w:tcPr>
          <w:p w14:paraId="0900ED43">
            <w:pPr>
              <w:pStyle w:val="52"/>
              <w:rPr>
                <w:color w:val="auto"/>
              </w:rPr>
            </w:pPr>
          </w:p>
        </w:tc>
        <w:tc>
          <w:tcPr>
            <w:tcW w:w="1275" w:type="dxa"/>
            <w:vMerge w:val="continue"/>
            <w:vAlign w:val="center"/>
          </w:tcPr>
          <w:p w14:paraId="787AC5A3">
            <w:pPr>
              <w:pStyle w:val="32"/>
              <w:rPr>
                <w:rFonts w:cs="Times New Roman"/>
              </w:rPr>
            </w:pPr>
          </w:p>
        </w:tc>
        <w:tc>
          <w:tcPr>
            <w:tcW w:w="1276" w:type="dxa"/>
            <w:vAlign w:val="center"/>
          </w:tcPr>
          <w:p w14:paraId="29A7D418">
            <w:pPr>
              <w:pStyle w:val="32"/>
              <w:rPr>
                <w:rFonts w:cs="Times New Roman"/>
                <w:szCs w:val="21"/>
              </w:rPr>
            </w:pPr>
            <w:r>
              <w:rPr>
                <w:rFonts w:cs="Times New Roman"/>
                <w:szCs w:val="21"/>
              </w:rPr>
              <w:t>机修废油</w:t>
            </w:r>
          </w:p>
        </w:tc>
        <w:tc>
          <w:tcPr>
            <w:tcW w:w="3402" w:type="dxa"/>
            <w:vAlign w:val="center"/>
          </w:tcPr>
          <w:p w14:paraId="699728BF">
            <w:pPr>
              <w:pStyle w:val="32"/>
              <w:rPr>
                <w:rFonts w:cs="Times New Roman"/>
                <w:szCs w:val="21"/>
              </w:rPr>
            </w:pPr>
            <w:r>
              <w:rPr>
                <w:rFonts w:cs="Times New Roman"/>
                <w:szCs w:val="21"/>
              </w:rPr>
              <w:t>统一收集后用于项目区设备保养维护</w:t>
            </w:r>
          </w:p>
        </w:tc>
        <w:tc>
          <w:tcPr>
            <w:tcW w:w="2268" w:type="dxa"/>
            <w:vMerge w:val="continue"/>
            <w:vAlign w:val="center"/>
          </w:tcPr>
          <w:p w14:paraId="1F336CE6">
            <w:pPr>
              <w:pStyle w:val="52"/>
              <w:rPr>
                <w:color w:val="auto"/>
              </w:rPr>
            </w:pPr>
          </w:p>
        </w:tc>
      </w:tr>
      <w:tr w14:paraId="14F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24397AA">
            <w:pPr>
              <w:pStyle w:val="52"/>
              <w:rPr>
                <w:color w:val="auto"/>
              </w:rPr>
            </w:pPr>
            <w:r>
              <w:rPr>
                <w:color w:val="auto"/>
              </w:rPr>
              <w:t>噪声</w:t>
            </w:r>
          </w:p>
        </w:tc>
        <w:tc>
          <w:tcPr>
            <w:tcW w:w="851" w:type="dxa"/>
            <w:vAlign w:val="center"/>
          </w:tcPr>
          <w:p w14:paraId="4EB2EEEF">
            <w:pPr>
              <w:pStyle w:val="52"/>
              <w:rPr>
                <w:color w:val="auto"/>
              </w:rPr>
            </w:pPr>
            <w:r>
              <w:rPr>
                <w:color w:val="auto"/>
              </w:rPr>
              <w:t>施工期</w:t>
            </w:r>
          </w:p>
        </w:tc>
        <w:tc>
          <w:tcPr>
            <w:tcW w:w="1275" w:type="dxa"/>
            <w:vAlign w:val="center"/>
          </w:tcPr>
          <w:p w14:paraId="03545725">
            <w:pPr>
              <w:pStyle w:val="52"/>
              <w:rPr>
                <w:color w:val="auto"/>
              </w:rPr>
            </w:pPr>
            <w:r>
              <w:rPr>
                <w:color w:val="auto"/>
              </w:rPr>
              <w:t>施工机械</w:t>
            </w:r>
          </w:p>
          <w:p w14:paraId="55185E4F">
            <w:pPr>
              <w:pStyle w:val="52"/>
              <w:rPr>
                <w:color w:val="auto"/>
              </w:rPr>
            </w:pPr>
            <w:r>
              <w:rPr>
                <w:color w:val="auto"/>
              </w:rPr>
              <w:t>运输车辆</w:t>
            </w:r>
          </w:p>
        </w:tc>
        <w:tc>
          <w:tcPr>
            <w:tcW w:w="1276" w:type="dxa"/>
            <w:vAlign w:val="center"/>
          </w:tcPr>
          <w:p w14:paraId="1B4BC199">
            <w:pPr>
              <w:pStyle w:val="52"/>
              <w:rPr>
                <w:color w:val="auto"/>
              </w:rPr>
            </w:pPr>
            <w:r>
              <w:rPr>
                <w:color w:val="auto"/>
              </w:rPr>
              <w:t>噪声</w:t>
            </w:r>
          </w:p>
        </w:tc>
        <w:tc>
          <w:tcPr>
            <w:tcW w:w="3402" w:type="dxa"/>
            <w:vAlign w:val="center"/>
          </w:tcPr>
          <w:p w14:paraId="70BBEDB4">
            <w:pPr>
              <w:pStyle w:val="52"/>
              <w:rPr>
                <w:color w:val="auto"/>
              </w:rPr>
            </w:pPr>
            <w:r>
              <w:rPr>
                <w:color w:val="auto"/>
              </w:rPr>
              <w:t>选用低噪设备，采取减震隔音降噪措施，合理规划施工场地，合理安排施工时间，夜间不施工</w:t>
            </w:r>
          </w:p>
        </w:tc>
        <w:tc>
          <w:tcPr>
            <w:tcW w:w="2268" w:type="dxa"/>
            <w:vAlign w:val="center"/>
          </w:tcPr>
          <w:p w14:paraId="49CBCB29">
            <w:pPr>
              <w:pStyle w:val="52"/>
              <w:rPr>
                <w:color w:val="auto"/>
              </w:rPr>
            </w:pPr>
            <w:r>
              <w:rPr>
                <w:color w:val="auto"/>
              </w:rPr>
              <w:t>《建筑施工场界环境噪声排放标准》（GB12523-2011），昼间≤70dB（A），夜间≤55dB（A）</w:t>
            </w:r>
          </w:p>
        </w:tc>
      </w:tr>
      <w:tr w14:paraId="0199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D38EC3D">
            <w:pPr>
              <w:pStyle w:val="52"/>
              <w:rPr>
                <w:color w:val="auto"/>
              </w:rPr>
            </w:pPr>
          </w:p>
        </w:tc>
        <w:tc>
          <w:tcPr>
            <w:tcW w:w="851" w:type="dxa"/>
            <w:vAlign w:val="center"/>
          </w:tcPr>
          <w:p w14:paraId="7372D3C3">
            <w:pPr>
              <w:pStyle w:val="52"/>
              <w:rPr>
                <w:color w:val="auto"/>
              </w:rPr>
            </w:pPr>
            <w:r>
              <w:rPr>
                <w:color w:val="auto"/>
              </w:rPr>
              <w:t>运营期</w:t>
            </w:r>
          </w:p>
        </w:tc>
        <w:tc>
          <w:tcPr>
            <w:tcW w:w="1275" w:type="dxa"/>
            <w:vAlign w:val="center"/>
          </w:tcPr>
          <w:p w14:paraId="0EE8948D">
            <w:pPr>
              <w:pStyle w:val="32"/>
              <w:rPr>
                <w:rFonts w:cs="Times New Roman"/>
              </w:rPr>
            </w:pPr>
            <w:r>
              <w:rPr>
                <w:rFonts w:cs="Times New Roman"/>
              </w:rPr>
              <w:t>设备运行</w:t>
            </w:r>
          </w:p>
        </w:tc>
        <w:tc>
          <w:tcPr>
            <w:tcW w:w="1276" w:type="dxa"/>
            <w:vAlign w:val="center"/>
          </w:tcPr>
          <w:p w14:paraId="22CBDCF2">
            <w:pPr>
              <w:pStyle w:val="32"/>
              <w:rPr>
                <w:rFonts w:cs="Times New Roman"/>
              </w:rPr>
            </w:pPr>
            <w:r>
              <w:rPr>
                <w:rFonts w:cs="Times New Roman"/>
              </w:rPr>
              <w:t>噪声</w:t>
            </w:r>
          </w:p>
        </w:tc>
        <w:tc>
          <w:tcPr>
            <w:tcW w:w="3402" w:type="dxa"/>
            <w:vAlign w:val="center"/>
          </w:tcPr>
          <w:p w14:paraId="5A28121C">
            <w:pPr>
              <w:pStyle w:val="32"/>
              <w:rPr>
                <w:rFonts w:cs="Times New Roman"/>
              </w:rPr>
            </w:pPr>
            <w:r>
              <w:rPr>
                <w:rFonts w:cs="Times New Roman"/>
              </w:rPr>
              <w:t>设置减震垫、距离衰减</w:t>
            </w:r>
          </w:p>
        </w:tc>
        <w:tc>
          <w:tcPr>
            <w:tcW w:w="2268" w:type="dxa"/>
            <w:vAlign w:val="center"/>
          </w:tcPr>
          <w:p w14:paraId="44BBB306">
            <w:pPr>
              <w:pStyle w:val="32"/>
              <w:rPr>
                <w:rFonts w:cs="Times New Roman"/>
              </w:rPr>
            </w:pPr>
            <w:r>
              <w:rPr>
                <w:rFonts w:cs="Times New Roman"/>
              </w:rPr>
              <w:t>《工业企业厂界环境噪声排放标准》（GB12348-2008）2类标准</w:t>
            </w:r>
          </w:p>
        </w:tc>
      </w:tr>
      <w:tr w14:paraId="219A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6"/>
            <w:vAlign w:val="center"/>
          </w:tcPr>
          <w:p w14:paraId="72245E90">
            <w:pPr>
              <w:pStyle w:val="52"/>
              <w:jc w:val="left"/>
              <w:rPr>
                <w:b/>
                <w:color w:val="auto"/>
              </w:rPr>
            </w:pPr>
            <w:r>
              <w:rPr>
                <w:b/>
                <w:color w:val="auto"/>
              </w:rPr>
              <w:t>生态保护措施及预期效果：</w:t>
            </w:r>
          </w:p>
          <w:p w14:paraId="2A42780F">
            <w:pPr>
              <w:ind w:firstLine="480"/>
              <w:rPr>
                <w:rFonts w:cs="Times New Roman"/>
              </w:rPr>
            </w:pPr>
            <w:r>
              <w:rPr>
                <w:rFonts w:cs="Times New Roman"/>
              </w:rPr>
              <w:t>项目区绿化面积5000m</w:t>
            </w:r>
            <w:r>
              <w:rPr>
                <w:rFonts w:cs="Times New Roman"/>
                <w:vertAlign w:val="superscript"/>
              </w:rPr>
              <w:t>2</w:t>
            </w:r>
            <w:r>
              <w:rPr>
                <w:rFonts w:cs="Times New Roman"/>
              </w:rPr>
              <w:t>，采空区根据实际情况逐步实施覆土绿化，弃渣场在服务期满后进行绿化。</w:t>
            </w:r>
          </w:p>
          <w:p w14:paraId="0AD1686D">
            <w:pPr>
              <w:ind w:firstLine="480"/>
              <w:rPr>
                <w:rFonts w:cs="Times New Roman"/>
              </w:rPr>
            </w:pPr>
          </w:p>
          <w:p w14:paraId="394E9C6E">
            <w:pPr>
              <w:ind w:firstLine="480"/>
              <w:rPr>
                <w:rFonts w:cs="Times New Roman"/>
              </w:rPr>
            </w:pPr>
          </w:p>
          <w:p w14:paraId="1E845B06">
            <w:pPr>
              <w:ind w:firstLine="480"/>
              <w:rPr>
                <w:rFonts w:cs="Times New Roman"/>
              </w:rPr>
            </w:pPr>
          </w:p>
          <w:p w14:paraId="1A24A725">
            <w:pPr>
              <w:ind w:firstLine="480"/>
              <w:rPr>
                <w:rFonts w:cs="Times New Roman"/>
              </w:rPr>
            </w:pPr>
          </w:p>
          <w:p w14:paraId="42D462DF">
            <w:pPr>
              <w:ind w:firstLine="480"/>
              <w:rPr>
                <w:rFonts w:cs="Times New Roman"/>
              </w:rPr>
            </w:pPr>
          </w:p>
          <w:p w14:paraId="070B4F79">
            <w:pPr>
              <w:ind w:firstLine="480"/>
              <w:rPr>
                <w:rFonts w:cs="Times New Roman"/>
              </w:rPr>
            </w:pPr>
          </w:p>
          <w:p w14:paraId="72DABE0B">
            <w:pPr>
              <w:ind w:firstLine="480"/>
              <w:rPr>
                <w:rFonts w:cs="Times New Roman"/>
              </w:rPr>
            </w:pPr>
          </w:p>
          <w:p w14:paraId="608875E7">
            <w:pPr>
              <w:ind w:firstLine="480"/>
              <w:rPr>
                <w:rFonts w:cs="Times New Roman"/>
              </w:rPr>
            </w:pPr>
          </w:p>
          <w:p w14:paraId="34716909">
            <w:pPr>
              <w:ind w:firstLine="480"/>
              <w:rPr>
                <w:rFonts w:cs="Times New Roman"/>
              </w:rPr>
            </w:pPr>
          </w:p>
          <w:p w14:paraId="56DB0DD3">
            <w:pPr>
              <w:ind w:firstLine="480"/>
              <w:rPr>
                <w:rFonts w:cs="Times New Roman"/>
              </w:rPr>
            </w:pPr>
          </w:p>
          <w:p w14:paraId="0E7AFB47">
            <w:pPr>
              <w:ind w:firstLine="480"/>
              <w:rPr>
                <w:rFonts w:cs="Times New Roman"/>
              </w:rPr>
            </w:pPr>
          </w:p>
          <w:p w14:paraId="3AD48E8B">
            <w:pPr>
              <w:ind w:firstLine="480"/>
              <w:rPr>
                <w:rFonts w:cs="Times New Roman"/>
              </w:rPr>
            </w:pPr>
          </w:p>
          <w:p w14:paraId="20CFA286">
            <w:pPr>
              <w:ind w:firstLine="480"/>
              <w:rPr>
                <w:rFonts w:cs="Times New Roman"/>
              </w:rPr>
            </w:pPr>
          </w:p>
          <w:p w14:paraId="56D05046">
            <w:pPr>
              <w:ind w:firstLine="480"/>
              <w:rPr>
                <w:rFonts w:cs="Times New Roman"/>
              </w:rPr>
            </w:pPr>
          </w:p>
          <w:p w14:paraId="420D26A0">
            <w:pPr>
              <w:ind w:firstLine="480"/>
              <w:rPr>
                <w:rFonts w:cs="Times New Roman"/>
              </w:rPr>
            </w:pPr>
          </w:p>
          <w:p w14:paraId="5AE8AF42">
            <w:pPr>
              <w:ind w:firstLine="480"/>
              <w:rPr>
                <w:rFonts w:cs="Times New Roman"/>
              </w:rPr>
            </w:pPr>
          </w:p>
          <w:p w14:paraId="5524E96D">
            <w:pPr>
              <w:ind w:firstLine="480"/>
              <w:rPr>
                <w:rFonts w:cs="Times New Roman"/>
              </w:rPr>
            </w:pPr>
          </w:p>
          <w:p w14:paraId="57CC9249">
            <w:pPr>
              <w:ind w:firstLine="480"/>
              <w:rPr>
                <w:rFonts w:cs="Times New Roman"/>
              </w:rPr>
            </w:pPr>
          </w:p>
          <w:p w14:paraId="6E567324">
            <w:pPr>
              <w:ind w:firstLine="480"/>
              <w:rPr>
                <w:rFonts w:cs="Times New Roman"/>
              </w:rPr>
            </w:pPr>
          </w:p>
          <w:p w14:paraId="7EE47D6A">
            <w:pPr>
              <w:ind w:firstLine="480"/>
              <w:rPr>
                <w:rFonts w:cs="Times New Roman"/>
              </w:rPr>
            </w:pPr>
          </w:p>
          <w:p w14:paraId="47D66783">
            <w:pPr>
              <w:ind w:firstLine="480"/>
              <w:rPr>
                <w:rFonts w:cs="Times New Roman"/>
              </w:rPr>
            </w:pPr>
          </w:p>
          <w:p w14:paraId="5CE3C0F0">
            <w:pPr>
              <w:ind w:firstLine="480"/>
              <w:rPr>
                <w:rFonts w:cs="Times New Roman"/>
              </w:rPr>
            </w:pPr>
          </w:p>
          <w:p w14:paraId="76945402">
            <w:pPr>
              <w:pStyle w:val="52"/>
              <w:jc w:val="left"/>
              <w:rPr>
                <w:color w:val="auto"/>
              </w:rPr>
            </w:pPr>
          </w:p>
        </w:tc>
      </w:tr>
    </w:tbl>
    <w:p w14:paraId="6B419346">
      <w:pPr>
        <w:widowControl/>
        <w:spacing w:line="240" w:lineRule="auto"/>
        <w:ind w:firstLine="0" w:firstLineChars="0"/>
        <w:rPr>
          <w:rFonts w:cs="Times New Roman"/>
        </w:rPr>
      </w:pPr>
      <w:r>
        <w:rPr>
          <w:rFonts w:cs="Times New Roman"/>
        </w:rPr>
        <w:br w:type="page"/>
      </w:r>
    </w:p>
    <w:p w14:paraId="1A43BD09">
      <w:pPr>
        <w:pStyle w:val="3"/>
        <w:rPr>
          <w:rFonts w:cs="Times New Roman"/>
        </w:rPr>
      </w:pPr>
      <w:bookmarkStart w:id="64" w:name="_Toc509498239"/>
      <w:bookmarkStart w:id="65" w:name="_Toc480991559"/>
      <w:bookmarkStart w:id="66" w:name="_Toc480990439"/>
      <w:bookmarkStart w:id="67" w:name="_Toc509498038"/>
      <w:r>
        <w:rPr>
          <w:rFonts w:cs="Times New Roman"/>
        </w:rPr>
        <w:t>表九、结论与建议</w:t>
      </w:r>
      <w:bookmarkEnd w:id="64"/>
      <w:bookmarkEnd w:id="65"/>
      <w:bookmarkEnd w:id="66"/>
      <w:bookmarkEnd w:id="67"/>
    </w:p>
    <w:tbl>
      <w:tblPr>
        <w:tblStyle w:val="22"/>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5048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46FFF370">
            <w:pPr>
              <w:ind w:firstLine="0" w:firstLineChars="0"/>
              <w:rPr>
                <w:rFonts w:cs="Times New Roman"/>
                <w:b/>
              </w:rPr>
            </w:pPr>
            <w:r>
              <w:rPr>
                <w:rFonts w:cs="Times New Roman"/>
                <w:b/>
              </w:rPr>
              <w:t>一、结论</w:t>
            </w:r>
          </w:p>
          <w:p w14:paraId="560B0BBE">
            <w:pPr>
              <w:ind w:firstLine="482"/>
              <w:rPr>
                <w:rFonts w:cs="Times New Roman"/>
                <w:b/>
              </w:rPr>
            </w:pPr>
            <w:r>
              <w:rPr>
                <w:rFonts w:cs="Times New Roman"/>
                <w:b/>
              </w:rPr>
              <w:t>1、产业政策</w:t>
            </w:r>
          </w:p>
          <w:p w14:paraId="1302E3C1">
            <w:pPr>
              <w:ind w:firstLine="480"/>
              <w:rPr>
                <w:rFonts w:cs="Times New Roman"/>
              </w:rPr>
            </w:pPr>
            <w:r>
              <w:rPr>
                <w:rFonts w:cs="Times New Roman"/>
              </w:rPr>
              <w:t>本项目不属于中华人民共和国国家发展和改革委员会令第9号《产业结构调整指导目录（2011年本）（2013年修正）》中的限制和淘汰类，为允许类建设项目，所采用的生产设备和生产工艺不属于限制类和淘汰类，符合现行国家有关产业政策</w:t>
            </w:r>
            <w:r>
              <w:rPr>
                <w:rFonts w:cs="Times New Roman"/>
                <w:bCs/>
              </w:rPr>
              <w:t>。</w:t>
            </w:r>
          </w:p>
          <w:p w14:paraId="0D3BD761">
            <w:pPr>
              <w:tabs>
                <w:tab w:val="left" w:pos="2623"/>
              </w:tabs>
              <w:ind w:firstLine="482"/>
              <w:rPr>
                <w:rFonts w:cs="Times New Roman"/>
                <w:b/>
              </w:rPr>
            </w:pPr>
            <w:r>
              <w:rPr>
                <w:rFonts w:cs="Times New Roman"/>
                <w:b/>
              </w:rPr>
              <w:t>2、规划符合性</w:t>
            </w:r>
          </w:p>
          <w:p w14:paraId="70E647BA">
            <w:pPr>
              <w:ind w:firstLine="480"/>
              <w:rPr>
                <w:rFonts w:cs="Times New Roman"/>
                <w:bCs/>
              </w:rPr>
            </w:pPr>
            <w:r>
              <w:rPr>
                <w:rFonts w:cs="Times New Roman"/>
              </w:rPr>
              <w:t>本项目的建设符合《矿山生态环境保护与污染防治技术政策》</w:t>
            </w:r>
            <w:r>
              <w:rPr>
                <w:rFonts w:cs="Times New Roman"/>
                <w:szCs w:val="24"/>
              </w:rPr>
              <w:t>、《云南省生态功能区划》、</w:t>
            </w:r>
            <w:r>
              <w:rPr>
                <w:rFonts w:cs="Times New Roman"/>
              </w:rPr>
              <w:t>《云南省生态保护红线》 “云南省人民政府关于促进非煤矿山转型升级的实施意见云政发〔2015〕38号”</w:t>
            </w:r>
            <w:r>
              <w:rPr>
                <w:rFonts w:cs="Times New Roman"/>
                <w:bCs/>
              </w:rPr>
              <w:t>等相关规划。</w:t>
            </w:r>
          </w:p>
          <w:p w14:paraId="7A057A74">
            <w:pPr>
              <w:ind w:firstLine="482"/>
              <w:rPr>
                <w:rFonts w:cs="Times New Roman"/>
                <w:b/>
                <w:bCs/>
              </w:rPr>
            </w:pPr>
            <w:r>
              <w:rPr>
                <w:rFonts w:cs="Times New Roman"/>
                <w:b/>
                <w:bCs/>
              </w:rPr>
              <w:t>3、选址合理性分析</w:t>
            </w:r>
          </w:p>
          <w:p w14:paraId="539E788B">
            <w:pPr>
              <w:ind w:firstLine="480"/>
              <w:jc w:val="both"/>
              <w:rPr>
                <w:rFonts w:cs="Times New Roman"/>
              </w:rPr>
            </w:pPr>
            <w:r>
              <w:rPr>
                <w:rFonts w:cs="Times New Roman"/>
              </w:rPr>
              <w:t>本项目位于芒市风平镇户育村</w:t>
            </w:r>
            <w:r>
              <w:rPr>
                <w:rFonts w:cs="Times New Roman"/>
                <w:bCs/>
              </w:rPr>
              <w:t>，</w:t>
            </w:r>
            <w:r>
              <w:rPr>
                <w:rFonts w:cs="Times New Roman"/>
              </w:rPr>
              <w:t>本项目占地范围及矿区范围不涉及依法划定的自然保护区、风景名胜区、森林公园、饮用水水源保护区、重要湖泊周边、文物古迹所在地、地质遗迹保护区、基本农田保护区等区域。根据现场踏勘，项目区最近环境保护目标为采区</w:t>
            </w:r>
            <w:r>
              <w:rPr>
                <w:rFonts w:cs="Times New Roman"/>
                <w:spacing w:val="-10"/>
              </w:rPr>
              <w:t>西南侧</w:t>
            </w:r>
            <w:r>
              <w:rPr>
                <w:rFonts w:cs="Times New Roman"/>
              </w:rPr>
              <w:t>300m处的</w:t>
            </w:r>
            <w:r>
              <w:rPr>
                <w:rFonts w:cs="Times New Roman"/>
                <w:snapToGrid w:val="0"/>
              </w:rPr>
              <w:t>芦姐萨</w:t>
            </w:r>
            <w:r>
              <w:rPr>
                <w:rFonts w:cs="Times New Roman"/>
              </w:rPr>
              <w:t>村，项目运营期产生污染物对其影响不大。</w:t>
            </w:r>
          </w:p>
          <w:p w14:paraId="61D0FC1D">
            <w:pPr>
              <w:ind w:firstLine="480"/>
              <w:jc w:val="both"/>
              <w:rPr>
                <w:rFonts w:cs="Times New Roman"/>
                <w:lang w:val="zh-CN"/>
              </w:rPr>
            </w:pPr>
            <w:r>
              <w:rPr>
                <w:rFonts w:cs="Times New Roman"/>
                <w:lang w:val="zh-CN"/>
              </w:rPr>
              <w:t>本项目弃渣场的选址符合《一般工业固体废物贮存、处置场污染控制标准》（GB18599-2001）及修改单（环境保护部公告2013年36号）中第</w:t>
            </w:r>
            <w:r>
              <w:rPr>
                <w:rFonts w:hint="eastAsia" w:ascii="宋体" w:hAnsi="宋体" w:cs="宋体"/>
                <w:lang w:val="zh-CN"/>
              </w:rPr>
              <w:t>Ⅰ</w:t>
            </w:r>
            <w:r>
              <w:rPr>
                <w:rFonts w:cs="Times New Roman"/>
                <w:lang w:val="zh-CN"/>
              </w:rPr>
              <w:t>类场选址要求，其选址符合环境保护要求，选址合理。</w:t>
            </w:r>
          </w:p>
          <w:p w14:paraId="3FD1B80C">
            <w:pPr>
              <w:ind w:firstLine="480"/>
              <w:rPr>
                <w:rFonts w:cs="Times New Roman"/>
                <w:lang w:val="zh-CN"/>
              </w:rPr>
            </w:pPr>
            <w:r>
              <w:rPr>
                <w:rFonts w:cs="Times New Roman"/>
                <w:lang w:val="zh-CN"/>
              </w:rPr>
              <w:t>综上，从环境保护角度来看，项目选址合理。</w:t>
            </w:r>
          </w:p>
          <w:p w14:paraId="76FEC13B">
            <w:pPr>
              <w:ind w:firstLine="482"/>
              <w:rPr>
                <w:rFonts w:cs="Times New Roman"/>
                <w:b/>
              </w:rPr>
            </w:pPr>
            <w:r>
              <w:rPr>
                <w:rFonts w:cs="Times New Roman"/>
                <w:b/>
              </w:rPr>
              <w:t>4、环境质量现状</w:t>
            </w:r>
          </w:p>
          <w:p w14:paraId="173B2364">
            <w:pPr>
              <w:ind w:firstLine="480"/>
              <w:rPr>
                <w:rFonts w:cs="Times New Roman"/>
              </w:rPr>
            </w:pPr>
            <w:r>
              <w:rPr>
                <w:rFonts w:cs="Times New Roman"/>
              </w:rPr>
              <w:t>项目所处区域无大的空气污染源，环境空气质量满足《环境空气质量标准》（GB3095-2012）二级标准。</w:t>
            </w:r>
          </w:p>
          <w:p w14:paraId="056B3679">
            <w:pPr>
              <w:ind w:firstLine="480"/>
              <w:rPr>
                <w:rFonts w:cs="Times New Roman"/>
              </w:rPr>
            </w:pPr>
            <w:r>
              <w:rPr>
                <w:rFonts w:cs="Times New Roman"/>
              </w:rPr>
              <w:t>根据《德宏州2016年环境质量公报》，芒市大河风平断面2016年平均水质类别为IV类水质，水质状况为轻度污染，不能满足《地表水环境质量标准》（GB3838－2002）</w:t>
            </w:r>
            <w:r>
              <w:rPr>
                <w:rFonts w:hint="eastAsia" w:ascii="宋体" w:hAnsi="宋体" w:cs="宋体"/>
              </w:rPr>
              <w:t>Ⅲ</w:t>
            </w:r>
            <w:r>
              <w:rPr>
                <w:rFonts w:cs="Times New Roman"/>
              </w:rPr>
              <w:t>类标准要求。</w:t>
            </w:r>
          </w:p>
          <w:p w14:paraId="36EADB1B">
            <w:pPr>
              <w:ind w:firstLine="480"/>
              <w:rPr>
                <w:rFonts w:cs="Times New Roman"/>
              </w:rPr>
            </w:pPr>
            <w:r>
              <w:rPr>
                <w:rFonts w:cs="Times New Roman"/>
              </w:rPr>
              <w:t>工程区地处乡村地区，</w:t>
            </w:r>
            <w:r>
              <w:rPr>
                <w:rFonts w:cs="Times New Roman"/>
                <w:bCs/>
              </w:rPr>
              <w:t>项目区属于农村地区，且周围无高噪声工业企业，项目区声环境质量可达《声环境质量标准》（GB3096-2008）中2类标准</w:t>
            </w:r>
            <w:r>
              <w:rPr>
                <w:rFonts w:cs="Times New Roman"/>
              </w:rPr>
              <w:t>。</w:t>
            </w:r>
          </w:p>
          <w:p w14:paraId="46A98AAB">
            <w:pPr>
              <w:ind w:firstLine="480"/>
              <w:rPr>
                <w:rFonts w:cs="Times New Roman"/>
              </w:rPr>
            </w:pPr>
            <w:r>
              <w:rPr>
                <w:rFonts w:cs="Times New Roman"/>
              </w:rPr>
              <w:t>评价区内植被包括原生植被及人工植被，原生植被为</w:t>
            </w:r>
            <w:r>
              <w:rPr>
                <w:rFonts w:cs="Times New Roman"/>
                <w:szCs w:val="28"/>
              </w:rPr>
              <w:t>稀疏灌木草丛和旱冬瓜灌丛</w:t>
            </w:r>
            <w:r>
              <w:rPr>
                <w:rFonts w:cs="Times New Roman"/>
              </w:rPr>
              <w:t>，人工植被为柏枝树林、苦竹林、农田植被。评价区范围内未发现野生的国家或省级珍稀保护植物物种，亦未发现名木古树；评价区内评价范围内以小型哺乳动物、常见鸟类、小型爬行动物为主，未发现珍稀濒危及保护动物。</w:t>
            </w:r>
          </w:p>
          <w:p w14:paraId="2121A556">
            <w:pPr>
              <w:ind w:firstLine="482"/>
              <w:rPr>
                <w:rFonts w:cs="Times New Roman"/>
                <w:b/>
              </w:rPr>
            </w:pPr>
            <w:r>
              <w:rPr>
                <w:rFonts w:cs="Times New Roman"/>
                <w:b/>
              </w:rPr>
              <w:t>5、项目施工期环境影响结论</w:t>
            </w:r>
          </w:p>
          <w:p w14:paraId="20D7D179">
            <w:pPr>
              <w:ind w:firstLine="480"/>
              <w:rPr>
                <w:rFonts w:cs="Times New Roman"/>
              </w:rPr>
            </w:pPr>
            <w:r>
              <w:rPr>
                <w:rFonts w:cs="Times New Roman"/>
              </w:rPr>
              <w:t>（1）废气</w:t>
            </w:r>
          </w:p>
          <w:p w14:paraId="50EFFBF3">
            <w:pPr>
              <w:ind w:firstLine="480"/>
              <w:rPr>
                <w:rFonts w:cs="Times New Roman"/>
              </w:rPr>
            </w:pPr>
            <w:r>
              <w:rPr>
                <w:rFonts w:cs="Times New Roman"/>
              </w:rPr>
              <w:t>项目施工场地产生的扬尘，通过洒水降尘后，对环境空气的影响不大；燃油机械设备运转产生的有害气体经自然扩散和稀释后，对环境空气影响不大。</w:t>
            </w:r>
          </w:p>
          <w:p w14:paraId="5A271716">
            <w:pPr>
              <w:ind w:firstLine="480"/>
              <w:rPr>
                <w:rFonts w:cs="Times New Roman"/>
              </w:rPr>
            </w:pPr>
            <w:r>
              <w:rPr>
                <w:rFonts w:cs="Times New Roman"/>
              </w:rPr>
              <w:t>（2）废水</w:t>
            </w:r>
          </w:p>
          <w:p w14:paraId="1C686A06">
            <w:pPr>
              <w:ind w:firstLine="480"/>
              <w:rPr>
                <w:rFonts w:cs="Times New Roman"/>
              </w:rPr>
            </w:pPr>
            <w:r>
              <w:rPr>
                <w:rFonts w:cs="Times New Roman"/>
              </w:rPr>
              <w:t>混凝土搅拌机冲洗废水经沉淀池处理后回收作施工或洒水抑尘，不外排；施工期工具清洗废水经沉淀池沉淀后回用于施工或洒水降尘，不外排；施工期生活污水经沉淀池沉淀处理后回用于施工或洒水降尘，不外排。</w:t>
            </w:r>
          </w:p>
          <w:p w14:paraId="2B50AAD4">
            <w:pPr>
              <w:ind w:firstLine="480"/>
              <w:rPr>
                <w:rFonts w:cs="Times New Roman"/>
              </w:rPr>
            </w:pPr>
            <w:r>
              <w:rPr>
                <w:rFonts w:cs="Times New Roman"/>
              </w:rPr>
              <w:t>（3）噪声</w:t>
            </w:r>
          </w:p>
          <w:p w14:paraId="1ECFC007">
            <w:pPr>
              <w:ind w:firstLine="480"/>
              <w:rPr>
                <w:rFonts w:cs="Times New Roman"/>
              </w:rPr>
            </w:pPr>
            <w:r>
              <w:rPr>
                <w:rFonts w:cs="Times New Roman"/>
              </w:rPr>
              <w:t>项目夜间不施工，严格采取本环评提出措施后，项目施工噪声可满足《建筑施工场界环境噪声排放标准》（GB12523-2011），对声环境影响小。</w:t>
            </w:r>
          </w:p>
          <w:p w14:paraId="04B08CB9">
            <w:pPr>
              <w:ind w:firstLine="480"/>
              <w:rPr>
                <w:rFonts w:cs="Times New Roman"/>
              </w:rPr>
            </w:pPr>
            <w:r>
              <w:rPr>
                <w:rFonts w:cs="Times New Roman"/>
              </w:rPr>
              <w:t>（4）固体废物</w:t>
            </w:r>
          </w:p>
          <w:p w14:paraId="3FA8CD6C">
            <w:pPr>
              <w:ind w:firstLine="480"/>
              <w:rPr>
                <w:rFonts w:cs="Times New Roman"/>
              </w:rPr>
            </w:pPr>
            <w:r>
              <w:rPr>
                <w:rFonts w:cs="Times New Roman"/>
              </w:rPr>
              <w:t>项目施工期间不产生永久弃渣；清库固废运至弃渣场堆存；建筑垃圾进行分类，可再生利用部分回收利用，不能利用的运至住建部门指定点处置；施工生活垃圾统一收集后运至附近村镇垃圾收集点。</w:t>
            </w:r>
          </w:p>
          <w:p w14:paraId="0A8D91EE">
            <w:pPr>
              <w:ind w:firstLine="480"/>
              <w:rPr>
                <w:rFonts w:cs="Times New Roman"/>
              </w:rPr>
            </w:pPr>
            <w:r>
              <w:rPr>
                <w:rFonts w:cs="Times New Roman"/>
              </w:rPr>
              <w:t>（5）生态环境</w:t>
            </w:r>
          </w:p>
          <w:p w14:paraId="058931F1">
            <w:pPr>
              <w:ind w:firstLine="480"/>
              <w:rPr>
                <w:rFonts w:cs="Times New Roman"/>
              </w:rPr>
            </w:pPr>
            <w:r>
              <w:rPr>
                <w:rFonts w:cs="Times New Roman"/>
              </w:rPr>
              <w:t>本项目生产工艺未发生变化，在原有生产加工区范围内新增1条生产线，并完善环保措施，不会造成新的土地利用形式改变，对土地利用的影响不大。</w:t>
            </w:r>
          </w:p>
          <w:p w14:paraId="06EAFF2A">
            <w:pPr>
              <w:ind w:firstLine="480"/>
              <w:rPr>
                <w:rFonts w:cs="Times New Roman"/>
              </w:rPr>
            </w:pPr>
            <w:r>
              <w:rPr>
                <w:rFonts w:cs="Times New Roman"/>
              </w:rPr>
              <w:t>评价区分布动物均属区域常见种。工程区属于人为活动较为频繁的区域，受人为活动影响的扰动，工程影响仅是保护动物的活动场所，非栖息地。项目对区域陆生动物的影响只是暂时的扰动影响，影响程度轻微，不会造成栖息地的破坏和物种资源数量大的影响。</w:t>
            </w:r>
          </w:p>
          <w:p w14:paraId="5D4C081F">
            <w:pPr>
              <w:ind w:firstLine="482"/>
              <w:rPr>
                <w:rFonts w:cs="Times New Roman"/>
                <w:b/>
              </w:rPr>
            </w:pPr>
            <w:r>
              <w:rPr>
                <w:rFonts w:cs="Times New Roman"/>
                <w:b/>
              </w:rPr>
              <w:t>6、项目运营期环境影响评价结论</w:t>
            </w:r>
          </w:p>
          <w:p w14:paraId="45A2670C">
            <w:pPr>
              <w:ind w:firstLine="480"/>
              <w:rPr>
                <w:rFonts w:cs="Times New Roman"/>
              </w:rPr>
            </w:pPr>
            <w:r>
              <w:rPr>
                <w:rFonts w:cs="Times New Roman"/>
              </w:rPr>
              <w:t>（1）大气环境影响分析</w:t>
            </w:r>
          </w:p>
          <w:p w14:paraId="07202039">
            <w:pPr>
              <w:ind w:firstLine="480"/>
              <w:rPr>
                <w:rFonts w:cs="Times New Roman"/>
              </w:rPr>
            </w:pPr>
            <w:r>
              <w:rPr>
                <w:rFonts w:cs="Times New Roman"/>
              </w:rPr>
              <w:t>根据预测分析，项目运营期间采场工作面、</w:t>
            </w:r>
            <w:r>
              <w:rPr>
                <w:rFonts w:cs="Times New Roman"/>
                <w:szCs w:val="24"/>
              </w:rPr>
              <w:t>生产加工区、堆料场和弃渣场等产生粉尘</w:t>
            </w:r>
            <w:r>
              <w:rPr>
                <w:rFonts w:cs="Times New Roman"/>
              </w:rPr>
              <w:t>下风向TSP浓度均未超过《大气污染物综合排放标准》（GB16297-1996）表2无组织排放监控浓度限值要求，</w:t>
            </w:r>
            <w:r>
              <w:rPr>
                <w:rFonts w:cs="Times New Roman"/>
                <w:szCs w:val="24"/>
              </w:rPr>
              <w:t>对大气环境影响较小；</w:t>
            </w:r>
            <w:r>
              <w:rPr>
                <w:rFonts w:cs="Times New Roman"/>
              </w:rPr>
              <w:t>项目区下风向最近的保护目标为东北侧1350m处的户育村，距离较远，项目区运营期产生的粉尘对其影响不大。</w:t>
            </w:r>
          </w:p>
          <w:p w14:paraId="28DADD96">
            <w:pPr>
              <w:ind w:firstLine="480"/>
              <w:rPr>
                <w:rFonts w:cs="Times New Roman"/>
              </w:rPr>
            </w:pPr>
            <w:r>
              <w:rPr>
                <w:rFonts w:cs="Times New Roman"/>
                <w:szCs w:val="24"/>
              </w:rPr>
              <w:t>厨房油烟</w:t>
            </w:r>
            <w:r>
              <w:rPr>
                <w:rFonts w:cs="Times New Roman"/>
                <w:iCs/>
                <w:szCs w:val="24"/>
              </w:rPr>
              <w:t>经小型油烟净化器处理后排放，</w:t>
            </w:r>
            <w:r>
              <w:rPr>
                <w:rFonts w:cs="Times New Roman"/>
                <w:szCs w:val="24"/>
              </w:rPr>
              <w:t>对大气环境影响不大。</w:t>
            </w:r>
          </w:p>
          <w:p w14:paraId="275A7028">
            <w:pPr>
              <w:ind w:firstLine="480"/>
              <w:rPr>
                <w:rFonts w:cs="Times New Roman"/>
              </w:rPr>
            </w:pPr>
            <w:r>
              <w:rPr>
                <w:rFonts w:cs="Times New Roman"/>
              </w:rPr>
              <w:t>（2）地表水环境影响分析</w:t>
            </w:r>
          </w:p>
          <w:p w14:paraId="7A296778">
            <w:pPr>
              <w:ind w:firstLine="480"/>
              <w:rPr>
                <w:rFonts w:cs="Times New Roman"/>
              </w:rPr>
            </w:pPr>
            <w:r>
              <w:rPr>
                <w:rFonts w:cs="Times New Roman"/>
              </w:rPr>
              <w:t>项目运营期间员工产生的少量生活污水经化粪池沉淀处理后回用于绿化底肥，不外排；弃渣场及露天采场产生</w:t>
            </w:r>
            <w:r>
              <w:rPr>
                <w:rFonts w:hint="eastAsia" w:cs="Times New Roman"/>
                <w:bCs/>
                <w:color w:val="FF0000"/>
              </w:rPr>
              <w:t>初期雨水</w:t>
            </w:r>
            <w:r>
              <w:rPr>
                <w:rFonts w:cs="Times New Roman"/>
              </w:rPr>
              <w:t>经雨水沉淀池沉淀处理后外排，对地表水环境影响处于可接受范围。</w:t>
            </w:r>
          </w:p>
          <w:p w14:paraId="13C879A0">
            <w:pPr>
              <w:ind w:firstLine="480"/>
              <w:rPr>
                <w:rFonts w:cs="Times New Roman"/>
              </w:rPr>
            </w:pPr>
            <w:r>
              <w:rPr>
                <w:rFonts w:cs="Times New Roman"/>
              </w:rPr>
              <w:t>（3）噪声</w:t>
            </w:r>
          </w:p>
          <w:p w14:paraId="14D3AFA3">
            <w:pPr>
              <w:ind w:firstLine="480"/>
              <w:rPr>
                <w:rFonts w:cs="Times New Roman"/>
              </w:rPr>
            </w:pPr>
            <w:r>
              <w:rPr>
                <w:rFonts w:cs="Times New Roman"/>
              </w:rPr>
              <w:t>根据预测分析，严格执行本环评提出措施后，项目夜间不进行生产，项目厂界噪声昼间能够达到《工业企业厂界环境噪声排放标准》2类标准。项目区最近的保护目标为东北侧1350m处的户育村，距离较远，项目运营期产生噪声对其影响不大。</w:t>
            </w:r>
          </w:p>
          <w:p w14:paraId="20963CD9">
            <w:pPr>
              <w:ind w:firstLine="480"/>
              <w:rPr>
                <w:rFonts w:cs="Times New Roman"/>
              </w:rPr>
            </w:pPr>
            <w:r>
              <w:rPr>
                <w:rFonts w:cs="Times New Roman"/>
              </w:rPr>
              <w:t>（4）固体废物</w:t>
            </w:r>
          </w:p>
          <w:p w14:paraId="3ECFBD7F">
            <w:pPr>
              <w:ind w:firstLine="480"/>
              <w:rPr>
                <w:rFonts w:cs="Times New Roman"/>
              </w:rPr>
            </w:pPr>
            <w:r>
              <w:rPr>
                <w:rFonts w:cs="Times New Roman"/>
              </w:rPr>
              <w:t>项目剥离的废土石量暂存于弃渣场；化粪池污泥定期清掏后作为植被施肥；雨水沉淀池沉渣定期清掏至弃渣场堆存；生活垃圾利用垃圾桶收集后，定期外运至附近乡镇垃圾集中处置点处置；厨房泔水和隔油池废油用带盖泔水收集桶收集后运至环卫部门指定的场所进行处置；项目机修废油设置危险废物暂存间贮存后全部回用于破碎设备保养维护。</w:t>
            </w:r>
          </w:p>
          <w:p w14:paraId="1E1F0FC4">
            <w:pPr>
              <w:ind w:firstLine="480"/>
              <w:rPr>
                <w:rFonts w:cs="Times New Roman"/>
              </w:rPr>
            </w:pPr>
            <w:r>
              <w:rPr>
                <w:rFonts w:cs="Times New Roman"/>
              </w:rPr>
              <w:t>综上，项目区产生固体废物均能够妥善处置。</w:t>
            </w:r>
          </w:p>
          <w:p w14:paraId="1408AD56">
            <w:pPr>
              <w:ind w:firstLine="482"/>
              <w:rPr>
                <w:rFonts w:cs="Times New Roman"/>
                <w:b/>
              </w:rPr>
            </w:pPr>
            <w:r>
              <w:rPr>
                <w:rFonts w:cs="Times New Roman"/>
                <w:b/>
              </w:rPr>
              <w:t>7、总结论</w:t>
            </w:r>
          </w:p>
          <w:p w14:paraId="33B1BEF0">
            <w:pPr>
              <w:ind w:firstLine="480"/>
              <w:rPr>
                <w:rFonts w:cs="Times New Roman"/>
              </w:rPr>
            </w:pPr>
            <w:r>
              <w:rPr>
                <w:rFonts w:hint="eastAsia" w:cs="Times New Roman"/>
                <w:color w:val="FF0000"/>
                <w:szCs w:val="24"/>
              </w:rPr>
              <w:t>芒市风平镇户育采石场工程建设项目</w:t>
            </w:r>
            <w:r>
              <w:rPr>
                <w:rFonts w:cs="Times New Roman"/>
              </w:rPr>
              <w:t>的建设符合国家产业政策，不与相关规划冲突，项目建设不涉及自然保护区、风景名胜区等环境敏感区域。通过本次的建设完善，现有污染得以治理、减缓，对环境影响较小，污染物排放对环境影响有限，能为环境所接受，区域环境功能不会发生改变。本项目的建设不存在重大环境制约因素，且项目建设在严格按照本评价提出的环境保护对策措施实施的情况下，其大多数不利环境影响可以通过一定的环境保护措施加以减小或避免。从环境保护角度分析，项目的建设是可行的。</w:t>
            </w:r>
          </w:p>
          <w:p w14:paraId="11F6D916">
            <w:pPr>
              <w:ind w:firstLine="0" w:firstLineChars="0"/>
              <w:rPr>
                <w:rFonts w:cs="Times New Roman"/>
                <w:b/>
              </w:rPr>
            </w:pPr>
            <w:r>
              <w:rPr>
                <w:rFonts w:cs="Times New Roman"/>
                <w:b/>
              </w:rPr>
              <w:t>二、措施</w:t>
            </w:r>
          </w:p>
          <w:p w14:paraId="77CB1D0D">
            <w:pPr>
              <w:ind w:firstLine="480"/>
              <w:rPr>
                <w:rFonts w:cs="Times New Roman"/>
              </w:rPr>
            </w:pPr>
            <w:r>
              <w:rPr>
                <w:rFonts w:cs="Times New Roman"/>
              </w:rPr>
              <w:t>1、环境空气保护措施</w:t>
            </w:r>
          </w:p>
          <w:p w14:paraId="52DC2214">
            <w:pPr>
              <w:ind w:firstLine="480"/>
              <w:rPr>
                <w:rFonts w:cs="Times New Roman"/>
              </w:rPr>
            </w:pPr>
            <w:r>
              <w:rPr>
                <w:rFonts w:cs="Times New Roman"/>
              </w:rPr>
              <w:t>（1）一级破碎采用洒水除尘，</w:t>
            </w:r>
            <w:r>
              <w:rPr>
                <w:rFonts w:cs="Times New Roman"/>
                <w:szCs w:val="32"/>
              </w:rPr>
              <w:t>破碎机下料口使用苫布遮盖；筛分机采用彩钢瓦棚半封闭，出料口用苫布遮挡；</w:t>
            </w:r>
            <w:r>
              <w:rPr>
                <w:rFonts w:cs="Times New Roman"/>
              </w:rPr>
              <w:t>堆料场采用苫布临时覆盖；弃渣场采取降尘措施；运输车辆覆盖运输。</w:t>
            </w:r>
          </w:p>
          <w:p w14:paraId="707EE724">
            <w:pPr>
              <w:ind w:firstLine="480"/>
              <w:rPr>
                <w:rFonts w:cs="Times New Roman"/>
              </w:rPr>
            </w:pPr>
            <w:r>
              <w:rPr>
                <w:rFonts w:cs="Times New Roman"/>
              </w:rPr>
              <w:t>（2）项目垃圾应做到日产日清、及时清运；</w:t>
            </w:r>
          </w:p>
          <w:p w14:paraId="043AA4C7">
            <w:pPr>
              <w:ind w:firstLine="480"/>
              <w:rPr>
                <w:rFonts w:cs="Times New Roman"/>
              </w:rPr>
            </w:pPr>
            <w:r>
              <w:rPr>
                <w:rFonts w:cs="Times New Roman"/>
              </w:rPr>
              <w:t>（3）厨房设置1套小型油烟净化器，去除效率不低于60%；</w:t>
            </w:r>
          </w:p>
          <w:p w14:paraId="38AF54FA">
            <w:pPr>
              <w:ind w:firstLine="480"/>
              <w:rPr>
                <w:rFonts w:cs="Times New Roman"/>
              </w:rPr>
            </w:pPr>
            <w:r>
              <w:rPr>
                <w:rFonts w:cs="Times New Roman"/>
              </w:rPr>
              <w:t>（4）增设9辆</w:t>
            </w:r>
            <w:r>
              <w:rPr>
                <w:rFonts w:cs="Times New Roman"/>
                <w:color w:val="FF0000"/>
              </w:rPr>
              <w:t>雾炮机</w:t>
            </w:r>
            <w:r>
              <w:rPr>
                <w:rFonts w:cs="Times New Roman"/>
              </w:rPr>
              <w:t>，对采场工作面及道路区域进行洒水。</w:t>
            </w:r>
          </w:p>
          <w:p w14:paraId="31962D26">
            <w:pPr>
              <w:ind w:firstLine="480"/>
              <w:rPr>
                <w:rFonts w:cs="Times New Roman"/>
              </w:rPr>
            </w:pPr>
            <w:r>
              <w:rPr>
                <w:rFonts w:cs="Times New Roman"/>
              </w:rPr>
              <w:t>2、水环境保护措施</w:t>
            </w:r>
          </w:p>
          <w:p w14:paraId="463C05A6">
            <w:pPr>
              <w:ind w:firstLine="480"/>
              <w:rPr>
                <w:rFonts w:cs="Times New Roman"/>
              </w:rPr>
            </w:pPr>
            <w:r>
              <w:rPr>
                <w:rFonts w:cs="Times New Roman"/>
              </w:rPr>
              <w:t>（1）设置1个化粪池（处理生活污水），总容积不小于12m</w:t>
            </w:r>
            <w:r>
              <w:rPr>
                <w:rFonts w:cs="Times New Roman"/>
                <w:vertAlign w:val="superscript"/>
              </w:rPr>
              <w:t>3</w:t>
            </w:r>
            <w:r>
              <w:rPr>
                <w:rFonts w:cs="Times New Roman"/>
              </w:rPr>
              <w:t>；设置1个隔油池（处理厨房废水）容积不小于1m</w:t>
            </w:r>
            <w:r>
              <w:rPr>
                <w:rFonts w:cs="Times New Roman"/>
                <w:vertAlign w:val="superscript"/>
              </w:rPr>
              <w:t>3</w:t>
            </w:r>
            <w:r>
              <w:rPr>
                <w:rFonts w:cs="Times New Roman"/>
              </w:rPr>
              <w:t>；</w:t>
            </w:r>
          </w:p>
          <w:p w14:paraId="261F94E0">
            <w:pPr>
              <w:ind w:firstLine="480"/>
              <w:rPr>
                <w:rFonts w:cs="Times New Roman"/>
              </w:rPr>
            </w:pPr>
            <w:r>
              <w:rPr>
                <w:rFonts w:cs="Times New Roman"/>
              </w:rPr>
              <w:t>（2）弃渣场上游修建截排水沟490m，末端设置沉砂池，容积为120m</w:t>
            </w:r>
            <w:r>
              <w:rPr>
                <w:rFonts w:cs="Times New Roman"/>
                <w:vertAlign w:val="superscript"/>
              </w:rPr>
              <w:t>3</w:t>
            </w:r>
            <w:r>
              <w:rPr>
                <w:rFonts w:cs="Times New Roman"/>
              </w:rPr>
              <w:t>。。</w:t>
            </w:r>
          </w:p>
          <w:p w14:paraId="4A8ACDB4">
            <w:pPr>
              <w:ind w:firstLine="480"/>
              <w:rPr>
                <w:rFonts w:cs="Times New Roman"/>
              </w:rPr>
            </w:pPr>
            <w:r>
              <w:rPr>
                <w:rFonts w:cs="Times New Roman"/>
              </w:rPr>
              <w:t>（3）露天采场区累计修建排水沟923m，末端设置沉砂池，设置1个沉砂池，容积为100m</w:t>
            </w:r>
            <w:r>
              <w:rPr>
                <w:rFonts w:cs="Times New Roman"/>
                <w:vertAlign w:val="superscript"/>
              </w:rPr>
              <w:t>3</w:t>
            </w:r>
            <w:r>
              <w:rPr>
                <w:rFonts w:cs="Times New Roman"/>
              </w:rPr>
              <w:t>。</w:t>
            </w:r>
          </w:p>
          <w:p w14:paraId="5DC06912">
            <w:pPr>
              <w:ind w:firstLine="480"/>
              <w:rPr>
                <w:rFonts w:cs="Times New Roman"/>
              </w:rPr>
            </w:pPr>
            <w:r>
              <w:rPr>
                <w:rFonts w:cs="Times New Roman"/>
              </w:rPr>
              <w:t>（4）生活区区及储油罐区及堆料场北侧设置约250m的雨水沟，在其末端设置1个雨水沉淀池，容积100m</w:t>
            </w:r>
            <w:r>
              <w:rPr>
                <w:rFonts w:cs="Times New Roman"/>
                <w:vertAlign w:val="superscript"/>
              </w:rPr>
              <w:t>3</w:t>
            </w:r>
          </w:p>
          <w:p w14:paraId="2BECBA11">
            <w:pPr>
              <w:ind w:firstLine="480"/>
              <w:rPr>
                <w:rFonts w:cs="Times New Roman"/>
              </w:rPr>
            </w:pPr>
            <w:r>
              <w:rPr>
                <w:rFonts w:cs="Times New Roman"/>
              </w:rPr>
              <w:t>3、声环境保护措施</w:t>
            </w:r>
          </w:p>
          <w:p w14:paraId="1E554240">
            <w:pPr>
              <w:ind w:firstLine="480"/>
              <w:rPr>
                <w:rFonts w:cs="Times New Roman"/>
              </w:rPr>
            </w:pPr>
            <w:r>
              <w:rPr>
                <w:rFonts w:cs="Times New Roman"/>
              </w:rPr>
              <w:t xml:space="preserve">（1）破碎机等设备加装减震垫。  </w:t>
            </w:r>
          </w:p>
          <w:p w14:paraId="6CA330E1">
            <w:pPr>
              <w:ind w:firstLine="480"/>
              <w:rPr>
                <w:rFonts w:cs="Times New Roman"/>
              </w:rPr>
            </w:pPr>
            <w:r>
              <w:rPr>
                <w:rFonts w:cs="Times New Roman"/>
              </w:rPr>
              <w:t>4、固体废物处置措施</w:t>
            </w:r>
          </w:p>
          <w:p w14:paraId="633C6ACD">
            <w:pPr>
              <w:ind w:firstLine="480"/>
              <w:rPr>
                <w:rFonts w:cs="Times New Roman"/>
              </w:rPr>
            </w:pPr>
            <w:r>
              <w:rPr>
                <w:rFonts w:cs="Times New Roman"/>
                <w:iCs/>
              </w:rPr>
              <w:t>（1）</w:t>
            </w:r>
            <w:r>
              <w:rPr>
                <w:rFonts w:cs="Times New Roman"/>
              </w:rPr>
              <w:t>生活垃圾做到日产日清，生活垃圾分类收集、分类堆存，对能够回收利用的部分应进行回用，不能回用的生活垃圾运至城乡指定地点处置，处置率达100%。</w:t>
            </w:r>
          </w:p>
          <w:p w14:paraId="48534E86">
            <w:pPr>
              <w:ind w:firstLine="480"/>
              <w:rPr>
                <w:rFonts w:cs="Times New Roman"/>
                <w:iCs/>
              </w:rPr>
            </w:pPr>
            <w:r>
              <w:rPr>
                <w:rFonts w:cs="Times New Roman"/>
                <w:iCs/>
              </w:rPr>
              <w:t>（2）隔油池废油、</w:t>
            </w:r>
            <w:r>
              <w:rPr>
                <w:rFonts w:cs="Times New Roman"/>
              </w:rPr>
              <w:t>化粪池污泥应</w:t>
            </w:r>
            <w:r>
              <w:rPr>
                <w:rFonts w:cs="Times New Roman"/>
                <w:iCs/>
              </w:rPr>
              <w:t>定期</w:t>
            </w:r>
            <w:r>
              <w:rPr>
                <w:rFonts w:cs="Times New Roman"/>
              </w:rPr>
              <w:t>清掏</w:t>
            </w:r>
            <w:r>
              <w:rPr>
                <w:rFonts w:cs="Times New Roman"/>
                <w:iCs/>
              </w:rPr>
              <w:t>；雨水沉淀池</w:t>
            </w:r>
            <w:r>
              <w:rPr>
                <w:rFonts w:cs="Times New Roman"/>
              </w:rPr>
              <w:t>和沉砂池沉渣定期清掏运至弃渣场堆存。</w:t>
            </w:r>
          </w:p>
          <w:p w14:paraId="720D4AAE">
            <w:pPr>
              <w:ind w:firstLine="480"/>
              <w:rPr>
                <w:rFonts w:cs="Times New Roman"/>
                <w:iCs/>
              </w:rPr>
            </w:pPr>
            <w:r>
              <w:rPr>
                <w:rFonts w:cs="Times New Roman"/>
                <w:iCs/>
              </w:rPr>
              <w:t>（3）设置专用危险废物暂存间（4m</w:t>
            </w:r>
            <w:r>
              <w:rPr>
                <w:rFonts w:cs="Times New Roman"/>
                <w:iCs/>
                <w:vertAlign w:val="superscript"/>
              </w:rPr>
              <w:t>2</w:t>
            </w:r>
            <w:r>
              <w:rPr>
                <w:rFonts w:cs="Times New Roman"/>
                <w:iCs/>
              </w:rPr>
              <w:t>），设置专门的废机油收集桶，按规范设置标志，统一收集后作为润滑剂降级再利用。</w:t>
            </w:r>
          </w:p>
          <w:p w14:paraId="0769F254">
            <w:pPr>
              <w:ind w:firstLine="480"/>
              <w:rPr>
                <w:rFonts w:cs="Times New Roman"/>
                <w:iCs/>
              </w:rPr>
            </w:pPr>
            <w:r>
              <w:rPr>
                <w:rFonts w:cs="Times New Roman"/>
                <w:iCs/>
              </w:rPr>
              <w:t>（4）于堆料场东侧增设弃渣场拦渣坝（20m×0.5m×3m），拦渣坝由资质单位设计建设。</w:t>
            </w:r>
          </w:p>
          <w:p w14:paraId="5259BACA">
            <w:pPr>
              <w:ind w:firstLine="480"/>
              <w:rPr>
                <w:rFonts w:cs="Times New Roman"/>
                <w:iCs/>
              </w:rPr>
            </w:pPr>
            <w:r>
              <w:rPr>
                <w:rFonts w:cs="Times New Roman"/>
                <w:iCs/>
              </w:rPr>
              <w:t>5、其它措施</w:t>
            </w:r>
          </w:p>
          <w:p w14:paraId="37047F9C">
            <w:pPr>
              <w:ind w:firstLine="480"/>
              <w:rPr>
                <w:rFonts w:cs="Times New Roman"/>
                <w:iCs/>
              </w:rPr>
            </w:pPr>
            <w:r>
              <w:rPr>
                <w:rFonts w:cs="Times New Roman"/>
                <w:iCs/>
              </w:rPr>
              <w:t>（1）</w:t>
            </w:r>
            <w:r>
              <w:rPr>
                <w:rFonts w:cs="Times New Roman"/>
              </w:rPr>
              <w:t>本环评要求储油罐区地面进行防渗处理，</w:t>
            </w:r>
            <w:r>
              <w:rPr>
                <w:rFonts w:cs="Times New Roman"/>
                <w:szCs w:val="24"/>
              </w:rPr>
              <w:t>储油罐外围设置围堰</w:t>
            </w:r>
            <w:r>
              <w:rPr>
                <w:rFonts w:cs="Times New Roman"/>
              </w:rPr>
              <w:t>。</w:t>
            </w:r>
          </w:p>
          <w:p w14:paraId="4535E868">
            <w:pPr>
              <w:ind w:firstLine="0" w:firstLineChars="0"/>
              <w:rPr>
                <w:rFonts w:cs="Times New Roman"/>
                <w:b/>
              </w:rPr>
            </w:pPr>
            <w:r>
              <w:rPr>
                <w:rFonts w:cs="Times New Roman"/>
                <w:b/>
              </w:rPr>
              <w:t>三、环境监理及监测</w:t>
            </w:r>
          </w:p>
          <w:p w14:paraId="2AA90710">
            <w:pPr>
              <w:ind w:firstLine="482"/>
              <w:rPr>
                <w:rFonts w:cs="Times New Roman"/>
                <w:b/>
              </w:rPr>
            </w:pPr>
            <w:r>
              <w:rPr>
                <w:rFonts w:cs="Times New Roman"/>
                <w:b/>
              </w:rPr>
              <w:t>1、环境监理</w:t>
            </w:r>
          </w:p>
          <w:p w14:paraId="68AEE180">
            <w:pPr>
              <w:ind w:firstLine="480"/>
              <w:rPr>
                <w:rFonts w:cs="Times New Roman"/>
              </w:rPr>
            </w:pPr>
            <w:r>
              <w:rPr>
                <w:rFonts w:cs="Times New Roman"/>
              </w:rPr>
              <w:t>项目施工期监理计划内容详见表9-1。</w:t>
            </w:r>
          </w:p>
          <w:p w14:paraId="15F76E30">
            <w:pPr>
              <w:pStyle w:val="31"/>
              <w:rPr>
                <w:rFonts w:cs="Times New Roman"/>
              </w:rPr>
            </w:pPr>
            <w:r>
              <w:rPr>
                <w:rFonts w:cs="Times New Roman"/>
              </w:rPr>
              <w:t>表9-1  项目施工期监理计划一览表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835"/>
              <w:gridCol w:w="649"/>
              <w:gridCol w:w="706"/>
              <w:gridCol w:w="800"/>
            </w:tblGrid>
            <w:tr w14:paraId="7DCF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E60F59D">
                  <w:pPr>
                    <w:pStyle w:val="52"/>
                    <w:rPr>
                      <w:color w:val="auto"/>
                    </w:rPr>
                  </w:pPr>
                  <w:r>
                    <w:rPr>
                      <w:color w:val="auto"/>
                    </w:rPr>
                    <w:t>环境</w:t>
                  </w:r>
                </w:p>
                <w:p w14:paraId="3BC4A0FD">
                  <w:pPr>
                    <w:pStyle w:val="52"/>
                    <w:rPr>
                      <w:color w:val="auto"/>
                    </w:rPr>
                  </w:pPr>
                  <w:r>
                    <w:rPr>
                      <w:color w:val="auto"/>
                    </w:rPr>
                    <w:t>问题</w:t>
                  </w:r>
                </w:p>
              </w:tc>
              <w:tc>
                <w:tcPr>
                  <w:tcW w:w="6835" w:type="dxa"/>
                  <w:vAlign w:val="center"/>
                </w:tcPr>
                <w:p w14:paraId="2B23D4C7">
                  <w:pPr>
                    <w:pStyle w:val="52"/>
                    <w:rPr>
                      <w:color w:val="auto"/>
                    </w:rPr>
                  </w:pPr>
                  <w:r>
                    <w:rPr>
                      <w:color w:val="auto"/>
                    </w:rPr>
                    <w:t>环境监理计划</w:t>
                  </w:r>
                </w:p>
              </w:tc>
              <w:tc>
                <w:tcPr>
                  <w:tcW w:w="649" w:type="dxa"/>
                  <w:vAlign w:val="center"/>
                </w:tcPr>
                <w:p w14:paraId="3A9AACD0">
                  <w:pPr>
                    <w:pStyle w:val="52"/>
                    <w:rPr>
                      <w:color w:val="auto"/>
                    </w:rPr>
                  </w:pPr>
                  <w:r>
                    <w:rPr>
                      <w:color w:val="auto"/>
                    </w:rPr>
                    <w:t>执行单位</w:t>
                  </w:r>
                </w:p>
              </w:tc>
              <w:tc>
                <w:tcPr>
                  <w:tcW w:w="706" w:type="dxa"/>
                  <w:vAlign w:val="center"/>
                </w:tcPr>
                <w:p w14:paraId="7EB66E28">
                  <w:pPr>
                    <w:pStyle w:val="52"/>
                    <w:rPr>
                      <w:color w:val="auto"/>
                    </w:rPr>
                  </w:pPr>
                  <w:r>
                    <w:rPr>
                      <w:color w:val="auto"/>
                    </w:rPr>
                    <w:t>监督单位</w:t>
                  </w:r>
                </w:p>
              </w:tc>
              <w:tc>
                <w:tcPr>
                  <w:tcW w:w="800" w:type="dxa"/>
                  <w:vAlign w:val="center"/>
                </w:tcPr>
                <w:p w14:paraId="72B86FAE">
                  <w:pPr>
                    <w:pStyle w:val="52"/>
                    <w:rPr>
                      <w:color w:val="auto"/>
                    </w:rPr>
                  </w:pPr>
                  <w:r>
                    <w:rPr>
                      <w:color w:val="auto"/>
                    </w:rPr>
                    <w:t>管理部门</w:t>
                  </w:r>
                </w:p>
              </w:tc>
            </w:tr>
            <w:tr w14:paraId="61C5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ED2A7BC">
                  <w:pPr>
                    <w:pStyle w:val="52"/>
                    <w:rPr>
                      <w:color w:val="auto"/>
                    </w:rPr>
                  </w:pPr>
                  <w:r>
                    <w:rPr>
                      <w:color w:val="auto"/>
                    </w:rPr>
                    <w:t>生态破坏</w:t>
                  </w:r>
                </w:p>
              </w:tc>
              <w:tc>
                <w:tcPr>
                  <w:tcW w:w="6835" w:type="dxa"/>
                  <w:vAlign w:val="center"/>
                </w:tcPr>
                <w:p w14:paraId="4D799878">
                  <w:pPr>
                    <w:pStyle w:val="52"/>
                    <w:jc w:val="left"/>
                    <w:rPr>
                      <w:color w:val="auto"/>
                    </w:rPr>
                  </w:pPr>
                  <w:r>
                    <w:rPr>
                      <w:color w:val="auto"/>
                    </w:rPr>
                    <w:t>1、禁止施工人员破坏工程区域以外的植被；</w:t>
                  </w:r>
                </w:p>
                <w:p w14:paraId="0F68AAC7">
                  <w:pPr>
                    <w:pStyle w:val="52"/>
                    <w:jc w:val="left"/>
                    <w:rPr>
                      <w:color w:val="auto"/>
                    </w:rPr>
                  </w:pPr>
                  <w:r>
                    <w:rPr>
                      <w:color w:val="auto"/>
                    </w:rPr>
                    <w:t>2、严格落实水土保持方案措施，处理好施工“三废”。</w:t>
                  </w:r>
                </w:p>
              </w:tc>
              <w:tc>
                <w:tcPr>
                  <w:tcW w:w="649" w:type="dxa"/>
                  <w:vMerge w:val="restart"/>
                  <w:vAlign w:val="center"/>
                </w:tcPr>
                <w:p w14:paraId="7EF7FB17">
                  <w:pPr>
                    <w:pStyle w:val="52"/>
                    <w:rPr>
                      <w:color w:val="auto"/>
                    </w:rPr>
                  </w:pPr>
                  <w:r>
                    <w:rPr>
                      <w:color w:val="auto"/>
                    </w:rPr>
                    <w:t>施工单位</w:t>
                  </w:r>
                </w:p>
              </w:tc>
              <w:tc>
                <w:tcPr>
                  <w:tcW w:w="706" w:type="dxa"/>
                  <w:vMerge w:val="restart"/>
                  <w:vAlign w:val="center"/>
                </w:tcPr>
                <w:p w14:paraId="5C972A1C">
                  <w:pPr>
                    <w:pStyle w:val="52"/>
                    <w:rPr>
                      <w:color w:val="auto"/>
                    </w:rPr>
                  </w:pPr>
                  <w:r>
                    <w:rPr>
                      <w:color w:val="auto"/>
                    </w:rPr>
                    <w:t>监理单位</w:t>
                  </w:r>
                </w:p>
              </w:tc>
              <w:tc>
                <w:tcPr>
                  <w:tcW w:w="800" w:type="dxa"/>
                  <w:vMerge w:val="restart"/>
                  <w:vAlign w:val="center"/>
                </w:tcPr>
                <w:p w14:paraId="48BDDC35">
                  <w:pPr>
                    <w:pStyle w:val="52"/>
                    <w:rPr>
                      <w:color w:val="auto"/>
                    </w:rPr>
                  </w:pPr>
                  <w:r>
                    <w:rPr>
                      <w:color w:val="auto"/>
                    </w:rPr>
                    <w:t>德宏州环境保护局芒市分局</w:t>
                  </w:r>
                </w:p>
              </w:tc>
            </w:tr>
            <w:tr w14:paraId="7F52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0DBF9F38">
                  <w:pPr>
                    <w:pStyle w:val="52"/>
                    <w:rPr>
                      <w:color w:val="auto"/>
                    </w:rPr>
                  </w:pPr>
                  <w:r>
                    <w:rPr>
                      <w:color w:val="auto"/>
                    </w:rPr>
                    <w:t>施工废水</w:t>
                  </w:r>
                </w:p>
              </w:tc>
              <w:tc>
                <w:tcPr>
                  <w:tcW w:w="6835" w:type="dxa"/>
                  <w:vAlign w:val="center"/>
                </w:tcPr>
                <w:p w14:paraId="3A9E0EC4">
                  <w:pPr>
                    <w:pStyle w:val="52"/>
                    <w:jc w:val="left"/>
                    <w:rPr>
                      <w:color w:val="auto"/>
                    </w:rPr>
                  </w:pPr>
                  <w:r>
                    <w:rPr>
                      <w:color w:val="auto"/>
                    </w:rPr>
                    <w:t>1、设置1个沉淀池处理施工期混凝土搅拌机冲洗废水，处理后回用于施工或洒水降尘，不外排；</w:t>
                  </w:r>
                </w:p>
                <w:p w14:paraId="57F0868C">
                  <w:pPr>
                    <w:pStyle w:val="52"/>
                    <w:jc w:val="left"/>
                    <w:rPr>
                      <w:color w:val="auto"/>
                    </w:rPr>
                  </w:pPr>
                  <w:r>
                    <w:rPr>
                      <w:color w:val="auto"/>
                    </w:rPr>
                    <w:t>2、设置1个沉淀池处理工具冲洗产生的废水，处理后回用于施工或洒水降尘，不外排；</w:t>
                  </w:r>
                </w:p>
                <w:p w14:paraId="49DC4190">
                  <w:pPr>
                    <w:pStyle w:val="52"/>
                    <w:jc w:val="left"/>
                    <w:rPr>
                      <w:color w:val="auto"/>
                    </w:rPr>
                  </w:pPr>
                  <w:r>
                    <w:rPr>
                      <w:color w:val="auto"/>
                    </w:rPr>
                    <w:t>3、设置1个沉淀池处理施工生活人员生活污水，处理后回用于施工或洒水降尘，不外排。</w:t>
                  </w:r>
                </w:p>
              </w:tc>
              <w:tc>
                <w:tcPr>
                  <w:tcW w:w="649" w:type="dxa"/>
                  <w:vMerge w:val="continue"/>
                  <w:vAlign w:val="center"/>
                </w:tcPr>
                <w:p w14:paraId="69074CDE">
                  <w:pPr>
                    <w:pStyle w:val="52"/>
                    <w:rPr>
                      <w:color w:val="auto"/>
                    </w:rPr>
                  </w:pPr>
                </w:p>
              </w:tc>
              <w:tc>
                <w:tcPr>
                  <w:tcW w:w="706" w:type="dxa"/>
                  <w:vMerge w:val="continue"/>
                  <w:vAlign w:val="center"/>
                </w:tcPr>
                <w:p w14:paraId="6E057D96">
                  <w:pPr>
                    <w:pStyle w:val="52"/>
                    <w:rPr>
                      <w:color w:val="auto"/>
                    </w:rPr>
                  </w:pPr>
                </w:p>
              </w:tc>
              <w:tc>
                <w:tcPr>
                  <w:tcW w:w="800" w:type="dxa"/>
                  <w:vMerge w:val="continue"/>
                  <w:vAlign w:val="center"/>
                </w:tcPr>
                <w:p w14:paraId="3EA88747">
                  <w:pPr>
                    <w:pStyle w:val="52"/>
                    <w:rPr>
                      <w:color w:val="auto"/>
                    </w:rPr>
                  </w:pPr>
                </w:p>
              </w:tc>
            </w:tr>
            <w:tr w14:paraId="4D99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98F8198">
                  <w:pPr>
                    <w:pStyle w:val="52"/>
                    <w:rPr>
                      <w:color w:val="auto"/>
                    </w:rPr>
                  </w:pPr>
                  <w:r>
                    <w:rPr>
                      <w:color w:val="auto"/>
                    </w:rPr>
                    <w:t>施工扬尘</w:t>
                  </w:r>
                </w:p>
              </w:tc>
              <w:tc>
                <w:tcPr>
                  <w:tcW w:w="6835" w:type="dxa"/>
                  <w:vAlign w:val="center"/>
                </w:tcPr>
                <w:p w14:paraId="43DD53F6">
                  <w:pPr>
                    <w:pStyle w:val="52"/>
                    <w:jc w:val="left"/>
                    <w:rPr>
                      <w:color w:val="auto"/>
                    </w:rPr>
                  </w:pPr>
                  <w:r>
                    <w:rPr>
                      <w:color w:val="auto"/>
                    </w:rPr>
                    <w:t>1、场内交通道路定期洒水；</w:t>
                  </w:r>
                </w:p>
                <w:p w14:paraId="3EE1C7B6">
                  <w:pPr>
                    <w:pStyle w:val="52"/>
                    <w:jc w:val="left"/>
                    <w:rPr>
                      <w:color w:val="auto"/>
                    </w:rPr>
                  </w:pPr>
                  <w:r>
                    <w:rPr>
                      <w:color w:val="auto"/>
                    </w:rPr>
                    <w:t>2、水泥等材料在装卸、运输、存储时均应加盖篷布，防止散落；</w:t>
                  </w:r>
                </w:p>
              </w:tc>
              <w:tc>
                <w:tcPr>
                  <w:tcW w:w="649" w:type="dxa"/>
                  <w:vMerge w:val="continue"/>
                  <w:vAlign w:val="center"/>
                </w:tcPr>
                <w:p w14:paraId="21375295">
                  <w:pPr>
                    <w:pStyle w:val="52"/>
                    <w:rPr>
                      <w:color w:val="auto"/>
                    </w:rPr>
                  </w:pPr>
                </w:p>
              </w:tc>
              <w:tc>
                <w:tcPr>
                  <w:tcW w:w="706" w:type="dxa"/>
                  <w:vMerge w:val="continue"/>
                  <w:vAlign w:val="center"/>
                </w:tcPr>
                <w:p w14:paraId="4D2ADC86">
                  <w:pPr>
                    <w:pStyle w:val="52"/>
                    <w:rPr>
                      <w:color w:val="auto"/>
                    </w:rPr>
                  </w:pPr>
                </w:p>
              </w:tc>
              <w:tc>
                <w:tcPr>
                  <w:tcW w:w="800" w:type="dxa"/>
                  <w:vMerge w:val="continue"/>
                  <w:vAlign w:val="center"/>
                </w:tcPr>
                <w:p w14:paraId="0E07EC27">
                  <w:pPr>
                    <w:pStyle w:val="52"/>
                    <w:rPr>
                      <w:color w:val="auto"/>
                    </w:rPr>
                  </w:pPr>
                </w:p>
              </w:tc>
            </w:tr>
            <w:tr w14:paraId="4A5F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FCDE09B">
                  <w:pPr>
                    <w:pStyle w:val="52"/>
                    <w:rPr>
                      <w:color w:val="auto"/>
                    </w:rPr>
                  </w:pPr>
                  <w:r>
                    <w:rPr>
                      <w:color w:val="auto"/>
                    </w:rPr>
                    <w:t>施工噪声</w:t>
                  </w:r>
                </w:p>
              </w:tc>
              <w:tc>
                <w:tcPr>
                  <w:tcW w:w="6835" w:type="dxa"/>
                  <w:vAlign w:val="center"/>
                </w:tcPr>
                <w:p w14:paraId="1D2F4537">
                  <w:pPr>
                    <w:pStyle w:val="52"/>
                    <w:jc w:val="left"/>
                    <w:rPr>
                      <w:color w:val="auto"/>
                    </w:rPr>
                  </w:pPr>
                  <w:r>
                    <w:rPr>
                      <w:color w:val="auto"/>
                    </w:rPr>
                    <w:t>1、合理安排施工时段；</w:t>
                  </w:r>
                </w:p>
                <w:p w14:paraId="41C05968">
                  <w:pPr>
                    <w:pStyle w:val="52"/>
                    <w:jc w:val="left"/>
                    <w:rPr>
                      <w:color w:val="auto"/>
                    </w:rPr>
                  </w:pPr>
                  <w:r>
                    <w:rPr>
                      <w:color w:val="auto"/>
                    </w:rPr>
                    <w:t>2、施工过程中使用小型施工机械，大中型施工机械自身装备减震、消声设施；</w:t>
                  </w:r>
                </w:p>
                <w:p w14:paraId="487039E9">
                  <w:pPr>
                    <w:pStyle w:val="52"/>
                    <w:jc w:val="left"/>
                    <w:rPr>
                      <w:color w:val="auto"/>
                    </w:rPr>
                  </w:pPr>
                  <w:r>
                    <w:rPr>
                      <w:color w:val="auto"/>
                    </w:rPr>
                    <w:t>3、加强运输车辆管理，运输车辆经过户育村时，禁止鸣笛，低速通过；加强设备和车辆的维护和保养，保持机械润滑，限制车辆超载，减少运行噪声。</w:t>
                  </w:r>
                </w:p>
              </w:tc>
              <w:tc>
                <w:tcPr>
                  <w:tcW w:w="649" w:type="dxa"/>
                  <w:vMerge w:val="continue"/>
                  <w:vAlign w:val="center"/>
                </w:tcPr>
                <w:p w14:paraId="53F19890">
                  <w:pPr>
                    <w:pStyle w:val="52"/>
                    <w:rPr>
                      <w:color w:val="auto"/>
                    </w:rPr>
                  </w:pPr>
                </w:p>
              </w:tc>
              <w:tc>
                <w:tcPr>
                  <w:tcW w:w="706" w:type="dxa"/>
                  <w:vMerge w:val="continue"/>
                  <w:vAlign w:val="center"/>
                </w:tcPr>
                <w:p w14:paraId="197D2542">
                  <w:pPr>
                    <w:pStyle w:val="52"/>
                    <w:rPr>
                      <w:color w:val="auto"/>
                    </w:rPr>
                  </w:pPr>
                </w:p>
              </w:tc>
              <w:tc>
                <w:tcPr>
                  <w:tcW w:w="800" w:type="dxa"/>
                  <w:vMerge w:val="continue"/>
                  <w:vAlign w:val="center"/>
                </w:tcPr>
                <w:p w14:paraId="6DDEF7ED">
                  <w:pPr>
                    <w:pStyle w:val="52"/>
                    <w:rPr>
                      <w:color w:val="auto"/>
                    </w:rPr>
                  </w:pPr>
                </w:p>
              </w:tc>
            </w:tr>
            <w:tr w14:paraId="4F02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8B9FE00">
                  <w:pPr>
                    <w:pStyle w:val="52"/>
                    <w:rPr>
                      <w:color w:val="auto"/>
                    </w:rPr>
                  </w:pPr>
                  <w:r>
                    <w:rPr>
                      <w:color w:val="auto"/>
                    </w:rPr>
                    <w:t>施工固废</w:t>
                  </w:r>
                </w:p>
              </w:tc>
              <w:tc>
                <w:tcPr>
                  <w:tcW w:w="6835" w:type="dxa"/>
                  <w:vAlign w:val="center"/>
                </w:tcPr>
                <w:p w14:paraId="46C665DA">
                  <w:pPr>
                    <w:pStyle w:val="52"/>
                    <w:jc w:val="left"/>
                    <w:rPr>
                      <w:color w:val="auto"/>
                    </w:rPr>
                  </w:pPr>
                  <w:r>
                    <w:rPr>
                      <w:color w:val="auto"/>
                    </w:rPr>
                    <w:t>1、项目施工期间无永久废弃土石方产生；</w:t>
                  </w:r>
                </w:p>
                <w:p w14:paraId="148AB856">
                  <w:pPr>
                    <w:pStyle w:val="52"/>
                    <w:jc w:val="left"/>
                    <w:rPr>
                      <w:color w:val="auto"/>
                    </w:rPr>
                  </w:pPr>
                  <w:r>
                    <w:rPr>
                      <w:color w:val="auto"/>
                    </w:rPr>
                    <w:t>2、建筑垃圾进行分类，可再生利用部分回收利用，不能利用的运至住建部门指定点处置；</w:t>
                  </w:r>
                </w:p>
                <w:p w14:paraId="201B92E5">
                  <w:pPr>
                    <w:pStyle w:val="52"/>
                    <w:jc w:val="left"/>
                    <w:rPr>
                      <w:color w:val="auto"/>
                    </w:rPr>
                  </w:pPr>
                  <w:r>
                    <w:rPr>
                      <w:color w:val="auto"/>
                    </w:rPr>
                    <w:t>3、施工生活垃圾统一收集后运至附近村镇垃圾收集点。</w:t>
                  </w:r>
                </w:p>
              </w:tc>
              <w:tc>
                <w:tcPr>
                  <w:tcW w:w="649" w:type="dxa"/>
                  <w:vMerge w:val="continue"/>
                  <w:vAlign w:val="center"/>
                </w:tcPr>
                <w:p w14:paraId="53A93733">
                  <w:pPr>
                    <w:pStyle w:val="52"/>
                    <w:rPr>
                      <w:color w:val="auto"/>
                    </w:rPr>
                  </w:pPr>
                </w:p>
              </w:tc>
              <w:tc>
                <w:tcPr>
                  <w:tcW w:w="706" w:type="dxa"/>
                  <w:vMerge w:val="continue"/>
                  <w:vAlign w:val="center"/>
                </w:tcPr>
                <w:p w14:paraId="77288748">
                  <w:pPr>
                    <w:pStyle w:val="52"/>
                    <w:rPr>
                      <w:color w:val="auto"/>
                    </w:rPr>
                  </w:pPr>
                </w:p>
              </w:tc>
              <w:tc>
                <w:tcPr>
                  <w:tcW w:w="800" w:type="dxa"/>
                  <w:vMerge w:val="continue"/>
                  <w:vAlign w:val="center"/>
                </w:tcPr>
                <w:p w14:paraId="41012691">
                  <w:pPr>
                    <w:pStyle w:val="52"/>
                    <w:rPr>
                      <w:color w:val="auto"/>
                    </w:rPr>
                  </w:pPr>
                </w:p>
              </w:tc>
            </w:tr>
          </w:tbl>
          <w:p w14:paraId="3372FBBA">
            <w:pPr>
              <w:ind w:firstLine="482"/>
              <w:rPr>
                <w:rFonts w:cs="Times New Roman"/>
                <w:b/>
              </w:rPr>
            </w:pPr>
            <w:r>
              <w:rPr>
                <w:rFonts w:cs="Times New Roman"/>
                <w:b/>
              </w:rPr>
              <w:t>2、环境监测</w:t>
            </w:r>
          </w:p>
          <w:p w14:paraId="504A17C5">
            <w:pPr>
              <w:ind w:firstLine="480"/>
              <w:rPr>
                <w:rFonts w:cs="Times New Roman"/>
              </w:rPr>
            </w:pPr>
            <w:r>
              <w:rPr>
                <w:rFonts w:cs="Times New Roman"/>
              </w:rPr>
              <w:t>项目运营期监测计划一览表详见表9-2。</w:t>
            </w:r>
          </w:p>
          <w:p w14:paraId="66D90A42">
            <w:pPr>
              <w:pStyle w:val="31"/>
              <w:rPr>
                <w:rFonts w:cs="Times New Roman"/>
              </w:rPr>
            </w:pPr>
            <w:r>
              <w:rPr>
                <w:rFonts w:cs="Times New Roman"/>
              </w:rPr>
              <w:t>表9-2  运营期环境监测一览表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89"/>
              <w:gridCol w:w="2236"/>
              <w:gridCol w:w="1800"/>
              <w:gridCol w:w="1350"/>
              <w:gridCol w:w="2793"/>
            </w:tblGrid>
            <w:tr w14:paraId="768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14:paraId="18B84317">
                  <w:pPr>
                    <w:pStyle w:val="32"/>
                    <w:rPr>
                      <w:rFonts w:cs="Times New Roman"/>
                    </w:rPr>
                  </w:pPr>
                  <w:r>
                    <w:rPr>
                      <w:rFonts w:cs="Times New Roman"/>
                    </w:rPr>
                    <w:softHyphen/>
                  </w:r>
                  <w:r>
                    <w:rPr>
                      <w:rFonts w:cs="Times New Roman"/>
                    </w:rPr>
                    <w:softHyphen/>
                  </w:r>
                  <w:r>
                    <w:rPr>
                      <w:rFonts w:cs="Times New Roman"/>
                    </w:rPr>
                    <w:t>监测</w:t>
                  </w:r>
                </w:p>
                <w:p w14:paraId="561D62CA">
                  <w:pPr>
                    <w:pStyle w:val="32"/>
                    <w:rPr>
                      <w:rFonts w:cs="Times New Roman"/>
                    </w:rPr>
                  </w:pPr>
                  <w:r>
                    <w:rPr>
                      <w:rFonts w:cs="Times New Roman"/>
                    </w:rPr>
                    <w:t>时段</w:t>
                  </w:r>
                </w:p>
              </w:tc>
              <w:tc>
                <w:tcPr>
                  <w:tcW w:w="689" w:type="dxa"/>
                  <w:vAlign w:val="center"/>
                </w:tcPr>
                <w:p w14:paraId="46DA0F53">
                  <w:pPr>
                    <w:pStyle w:val="32"/>
                    <w:rPr>
                      <w:rFonts w:cs="Times New Roman"/>
                    </w:rPr>
                  </w:pPr>
                  <w:r>
                    <w:rPr>
                      <w:rFonts w:cs="Times New Roman"/>
                    </w:rPr>
                    <w:t>监测</w:t>
                  </w:r>
                </w:p>
                <w:p w14:paraId="7E87B4EC">
                  <w:pPr>
                    <w:pStyle w:val="32"/>
                    <w:rPr>
                      <w:rFonts w:cs="Times New Roman"/>
                    </w:rPr>
                  </w:pPr>
                  <w:r>
                    <w:rPr>
                      <w:rFonts w:cs="Times New Roman"/>
                    </w:rPr>
                    <w:t>对象</w:t>
                  </w:r>
                </w:p>
              </w:tc>
              <w:tc>
                <w:tcPr>
                  <w:tcW w:w="2236" w:type="dxa"/>
                  <w:vAlign w:val="center"/>
                </w:tcPr>
                <w:p w14:paraId="7F1FE515">
                  <w:pPr>
                    <w:pStyle w:val="32"/>
                    <w:rPr>
                      <w:rFonts w:cs="Times New Roman"/>
                    </w:rPr>
                  </w:pPr>
                  <w:r>
                    <w:rPr>
                      <w:rFonts w:cs="Times New Roman"/>
                    </w:rPr>
                    <w:t>监测点位</w:t>
                  </w:r>
                </w:p>
              </w:tc>
              <w:tc>
                <w:tcPr>
                  <w:tcW w:w="1800" w:type="dxa"/>
                  <w:vAlign w:val="center"/>
                </w:tcPr>
                <w:p w14:paraId="6CD686F4">
                  <w:pPr>
                    <w:pStyle w:val="32"/>
                    <w:rPr>
                      <w:rFonts w:cs="Times New Roman"/>
                    </w:rPr>
                  </w:pPr>
                  <w:r>
                    <w:rPr>
                      <w:rFonts w:cs="Times New Roman"/>
                    </w:rPr>
                    <w:t>监测因子</w:t>
                  </w:r>
                </w:p>
              </w:tc>
              <w:tc>
                <w:tcPr>
                  <w:tcW w:w="1350" w:type="dxa"/>
                  <w:vAlign w:val="center"/>
                </w:tcPr>
                <w:p w14:paraId="01CD2A05">
                  <w:pPr>
                    <w:pStyle w:val="32"/>
                    <w:rPr>
                      <w:rFonts w:cs="Times New Roman"/>
                    </w:rPr>
                  </w:pPr>
                  <w:r>
                    <w:rPr>
                      <w:rFonts w:cs="Times New Roman"/>
                    </w:rPr>
                    <w:t>监测频率</w:t>
                  </w:r>
                </w:p>
              </w:tc>
              <w:tc>
                <w:tcPr>
                  <w:tcW w:w="2793" w:type="dxa"/>
                  <w:vAlign w:val="center"/>
                </w:tcPr>
                <w:p w14:paraId="0B74FE15">
                  <w:pPr>
                    <w:pStyle w:val="32"/>
                    <w:rPr>
                      <w:rFonts w:cs="Times New Roman"/>
                    </w:rPr>
                  </w:pPr>
                  <w:r>
                    <w:rPr>
                      <w:rFonts w:cs="Times New Roman"/>
                    </w:rPr>
                    <w:t>执行标准</w:t>
                  </w:r>
                </w:p>
              </w:tc>
            </w:tr>
            <w:tr w14:paraId="3279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29" w:type="dxa"/>
                  <w:vMerge w:val="restart"/>
                  <w:vAlign w:val="center"/>
                </w:tcPr>
                <w:p w14:paraId="41C3C0B1">
                  <w:pPr>
                    <w:pStyle w:val="32"/>
                    <w:rPr>
                      <w:rFonts w:cs="Times New Roman"/>
                    </w:rPr>
                  </w:pPr>
                  <w:r>
                    <w:rPr>
                      <w:rFonts w:cs="Times New Roman"/>
                    </w:rPr>
                    <w:t>运</w:t>
                  </w:r>
                </w:p>
                <w:p w14:paraId="5AB87BF7">
                  <w:pPr>
                    <w:pStyle w:val="32"/>
                    <w:rPr>
                      <w:rFonts w:cs="Times New Roman"/>
                    </w:rPr>
                  </w:pPr>
                  <w:r>
                    <w:rPr>
                      <w:rFonts w:cs="Times New Roman"/>
                    </w:rPr>
                    <w:t>营</w:t>
                  </w:r>
                </w:p>
                <w:p w14:paraId="52F95E43">
                  <w:pPr>
                    <w:pStyle w:val="32"/>
                    <w:rPr>
                      <w:rFonts w:cs="Times New Roman"/>
                    </w:rPr>
                  </w:pPr>
                  <w:r>
                    <w:rPr>
                      <w:rFonts w:cs="Times New Roman"/>
                    </w:rPr>
                    <w:t>期</w:t>
                  </w:r>
                </w:p>
              </w:tc>
              <w:tc>
                <w:tcPr>
                  <w:tcW w:w="689" w:type="dxa"/>
                  <w:vAlign w:val="center"/>
                </w:tcPr>
                <w:p w14:paraId="237C343F">
                  <w:pPr>
                    <w:pStyle w:val="32"/>
                    <w:rPr>
                      <w:rFonts w:cs="Times New Roman"/>
                    </w:rPr>
                  </w:pPr>
                  <w:r>
                    <w:rPr>
                      <w:rFonts w:cs="Times New Roman"/>
                    </w:rPr>
                    <w:t>噪声</w:t>
                  </w:r>
                </w:p>
              </w:tc>
              <w:tc>
                <w:tcPr>
                  <w:tcW w:w="2236" w:type="dxa"/>
                  <w:vAlign w:val="center"/>
                </w:tcPr>
                <w:p w14:paraId="4933B8DC">
                  <w:pPr>
                    <w:pStyle w:val="32"/>
                    <w:rPr>
                      <w:rFonts w:cs="Times New Roman"/>
                    </w:rPr>
                  </w:pPr>
                  <w:r>
                    <w:rPr>
                      <w:rFonts w:cs="Times New Roman"/>
                    </w:rPr>
                    <w:t>厂界四周</w:t>
                  </w:r>
                </w:p>
              </w:tc>
              <w:tc>
                <w:tcPr>
                  <w:tcW w:w="1800" w:type="dxa"/>
                  <w:vAlign w:val="center"/>
                </w:tcPr>
                <w:p w14:paraId="1F00850D">
                  <w:pPr>
                    <w:pStyle w:val="32"/>
                    <w:rPr>
                      <w:rFonts w:cs="Times New Roman"/>
                    </w:rPr>
                  </w:pPr>
                  <w:r>
                    <w:rPr>
                      <w:rFonts w:cs="Times New Roman"/>
                    </w:rPr>
                    <w:t>等效连续A声级</w:t>
                  </w:r>
                </w:p>
              </w:tc>
              <w:tc>
                <w:tcPr>
                  <w:tcW w:w="1350" w:type="dxa"/>
                  <w:vMerge w:val="restart"/>
                  <w:vAlign w:val="center"/>
                </w:tcPr>
                <w:p w14:paraId="2D95B6A8">
                  <w:pPr>
                    <w:pStyle w:val="32"/>
                    <w:rPr>
                      <w:rFonts w:cs="Times New Roman"/>
                    </w:rPr>
                  </w:pPr>
                  <w:r>
                    <w:rPr>
                      <w:rFonts w:cs="Times New Roman"/>
                    </w:rPr>
                    <w:t>根据国家相关规定</w:t>
                  </w:r>
                </w:p>
              </w:tc>
              <w:tc>
                <w:tcPr>
                  <w:tcW w:w="2793" w:type="dxa"/>
                  <w:vAlign w:val="center"/>
                </w:tcPr>
                <w:p w14:paraId="5331206C">
                  <w:pPr>
                    <w:pStyle w:val="32"/>
                    <w:rPr>
                      <w:rFonts w:cs="Times New Roman"/>
                    </w:rPr>
                  </w:pPr>
                  <w:r>
                    <w:rPr>
                      <w:rFonts w:cs="Times New Roman"/>
                    </w:rPr>
                    <w:t>《工业企业厂界环境噪声排放标准》（GB12348-2008）2类标准</w:t>
                  </w:r>
                </w:p>
              </w:tc>
            </w:tr>
            <w:tr w14:paraId="497C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14:paraId="1E87DBAA">
                  <w:pPr>
                    <w:pStyle w:val="32"/>
                    <w:rPr>
                      <w:rFonts w:cs="Times New Roman"/>
                    </w:rPr>
                  </w:pPr>
                </w:p>
              </w:tc>
              <w:tc>
                <w:tcPr>
                  <w:tcW w:w="689" w:type="dxa"/>
                  <w:shd w:val="clear" w:color="auto" w:fill="auto"/>
                  <w:vAlign w:val="center"/>
                </w:tcPr>
                <w:p w14:paraId="065B8509">
                  <w:pPr>
                    <w:pStyle w:val="32"/>
                    <w:rPr>
                      <w:rFonts w:cs="Times New Roman"/>
                    </w:rPr>
                  </w:pPr>
                  <w:r>
                    <w:rPr>
                      <w:rFonts w:cs="Times New Roman"/>
                    </w:rPr>
                    <w:t>废气</w:t>
                  </w:r>
                </w:p>
              </w:tc>
              <w:tc>
                <w:tcPr>
                  <w:tcW w:w="2236" w:type="dxa"/>
                  <w:shd w:val="clear" w:color="auto" w:fill="auto"/>
                  <w:vAlign w:val="center"/>
                </w:tcPr>
                <w:p w14:paraId="263309A6">
                  <w:pPr>
                    <w:pStyle w:val="32"/>
                    <w:rPr>
                      <w:rFonts w:cs="Times New Roman"/>
                    </w:rPr>
                  </w:pPr>
                  <w:r>
                    <w:rPr>
                      <w:rFonts w:cs="Times New Roman"/>
                    </w:rPr>
                    <w:t>项目区上风向设1个参照点，下风向设3个监控点</w:t>
                  </w:r>
                </w:p>
              </w:tc>
              <w:tc>
                <w:tcPr>
                  <w:tcW w:w="1800" w:type="dxa"/>
                  <w:shd w:val="clear" w:color="auto" w:fill="auto"/>
                  <w:vAlign w:val="center"/>
                </w:tcPr>
                <w:p w14:paraId="71441E4E">
                  <w:pPr>
                    <w:pStyle w:val="32"/>
                    <w:rPr>
                      <w:rFonts w:cs="Times New Roman"/>
                    </w:rPr>
                  </w:pPr>
                  <w:r>
                    <w:rPr>
                      <w:rFonts w:cs="Times New Roman"/>
                    </w:rPr>
                    <w:t>颗粒物</w:t>
                  </w:r>
                </w:p>
              </w:tc>
              <w:tc>
                <w:tcPr>
                  <w:tcW w:w="1350" w:type="dxa"/>
                  <w:vMerge w:val="continue"/>
                  <w:shd w:val="clear" w:color="auto" w:fill="auto"/>
                  <w:vAlign w:val="center"/>
                </w:tcPr>
                <w:p w14:paraId="7FDB9554">
                  <w:pPr>
                    <w:pStyle w:val="32"/>
                    <w:rPr>
                      <w:rFonts w:cs="Times New Roman"/>
                    </w:rPr>
                  </w:pPr>
                </w:p>
              </w:tc>
              <w:tc>
                <w:tcPr>
                  <w:tcW w:w="2793" w:type="dxa"/>
                  <w:shd w:val="clear" w:color="auto" w:fill="auto"/>
                  <w:vAlign w:val="center"/>
                </w:tcPr>
                <w:p w14:paraId="32A3E3CA">
                  <w:pPr>
                    <w:pStyle w:val="32"/>
                    <w:rPr>
                      <w:rFonts w:cs="Times New Roman"/>
                    </w:rPr>
                  </w:pPr>
                  <w:r>
                    <w:rPr>
                      <w:rFonts w:cs="Times New Roman"/>
                    </w:rPr>
                    <w:t>GB16297-1996《大气污染物综合排放标准》表2无组织排放监控浓度限值</w:t>
                  </w:r>
                </w:p>
              </w:tc>
            </w:tr>
          </w:tbl>
          <w:p w14:paraId="0D475F96">
            <w:pPr>
              <w:ind w:firstLine="0" w:firstLineChars="0"/>
              <w:rPr>
                <w:rFonts w:cs="Times New Roman"/>
                <w:b/>
              </w:rPr>
            </w:pPr>
            <w:r>
              <w:rPr>
                <w:rFonts w:cs="Times New Roman"/>
                <w:b/>
              </w:rPr>
              <w:t>四、竣工环境保护验收一览表</w:t>
            </w:r>
          </w:p>
          <w:p w14:paraId="20BF769D">
            <w:pPr>
              <w:ind w:firstLine="480"/>
              <w:rPr>
                <w:rFonts w:cs="Times New Roman"/>
              </w:rPr>
            </w:pPr>
            <w:r>
              <w:rPr>
                <w:rFonts w:cs="Times New Roman"/>
              </w:rPr>
              <w:t>项目竣工环保验收一览表详见表9-3。</w:t>
            </w:r>
          </w:p>
          <w:p w14:paraId="012DE3CC">
            <w:pPr>
              <w:pStyle w:val="31"/>
              <w:rPr>
                <w:rFonts w:cs="Times New Roman"/>
              </w:rPr>
            </w:pPr>
            <w:r>
              <w:rPr>
                <w:rFonts w:cs="Times New Roman"/>
              </w:rPr>
              <w:t>表9-3  “三同时”竣工环境保护验收一览表</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29"/>
              <w:gridCol w:w="3654"/>
              <w:gridCol w:w="3320"/>
            </w:tblGrid>
            <w:tr w14:paraId="7EC2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6F0F852C">
                  <w:pPr>
                    <w:pStyle w:val="32"/>
                    <w:rPr>
                      <w:rFonts w:cs="Times New Roman"/>
                    </w:rPr>
                  </w:pPr>
                  <w:r>
                    <w:rPr>
                      <w:rFonts w:cs="Times New Roman"/>
                    </w:rPr>
                    <w:t>污染源</w:t>
                  </w:r>
                </w:p>
              </w:tc>
              <w:tc>
                <w:tcPr>
                  <w:tcW w:w="1629" w:type="dxa"/>
                  <w:vAlign w:val="center"/>
                </w:tcPr>
                <w:p w14:paraId="625EEA78">
                  <w:pPr>
                    <w:pStyle w:val="32"/>
                    <w:rPr>
                      <w:rFonts w:cs="Times New Roman"/>
                    </w:rPr>
                  </w:pPr>
                  <w:r>
                    <w:rPr>
                      <w:rFonts w:cs="Times New Roman"/>
                    </w:rPr>
                    <w:t>主要污染物</w:t>
                  </w:r>
                </w:p>
              </w:tc>
              <w:tc>
                <w:tcPr>
                  <w:tcW w:w="3654" w:type="dxa"/>
                  <w:vAlign w:val="center"/>
                </w:tcPr>
                <w:p w14:paraId="48744981">
                  <w:pPr>
                    <w:pStyle w:val="32"/>
                    <w:rPr>
                      <w:rFonts w:cs="Times New Roman"/>
                    </w:rPr>
                  </w:pPr>
                  <w:r>
                    <w:rPr>
                      <w:rFonts w:cs="Times New Roman"/>
                    </w:rPr>
                    <w:t>治理设施及规模</w:t>
                  </w:r>
                </w:p>
              </w:tc>
              <w:tc>
                <w:tcPr>
                  <w:tcW w:w="3320" w:type="dxa"/>
                  <w:vAlign w:val="center"/>
                </w:tcPr>
                <w:p w14:paraId="6A32F508">
                  <w:pPr>
                    <w:pStyle w:val="32"/>
                    <w:rPr>
                      <w:rFonts w:cs="Times New Roman"/>
                    </w:rPr>
                  </w:pPr>
                  <w:r>
                    <w:rPr>
                      <w:rFonts w:cs="Times New Roman"/>
                    </w:rPr>
                    <w:t>预期效果</w:t>
                  </w:r>
                </w:p>
              </w:tc>
            </w:tr>
            <w:tr w14:paraId="52C5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19E5CB55">
                  <w:pPr>
                    <w:pStyle w:val="32"/>
                    <w:rPr>
                      <w:rFonts w:cs="Times New Roman"/>
                    </w:rPr>
                  </w:pPr>
                  <w:r>
                    <w:rPr>
                      <w:rFonts w:cs="Times New Roman"/>
                    </w:rPr>
                    <w:t>废气</w:t>
                  </w:r>
                </w:p>
              </w:tc>
              <w:tc>
                <w:tcPr>
                  <w:tcW w:w="1629" w:type="dxa"/>
                  <w:vAlign w:val="center"/>
                </w:tcPr>
                <w:p w14:paraId="257946F0">
                  <w:pPr>
                    <w:pStyle w:val="32"/>
                    <w:rPr>
                      <w:rFonts w:cs="Times New Roman"/>
                    </w:rPr>
                  </w:pPr>
                  <w:r>
                    <w:rPr>
                      <w:rFonts w:cs="Times New Roman"/>
                    </w:rPr>
                    <w:t>粉尘</w:t>
                  </w:r>
                </w:p>
              </w:tc>
              <w:tc>
                <w:tcPr>
                  <w:tcW w:w="3654" w:type="dxa"/>
                  <w:vAlign w:val="center"/>
                </w:tcPr>
                <w:p w14:paraId="2EA50BE3">
                  <w:pPr>
                    <w:pStyle w:val="32"/>
                    <w:rPr>
                      <w:rFonts w:cs="Times New Roman"/>
                    </w:rPr>
                  </w:pPr>
                  <w:r>
                    <w:rPr>
                      <w:rFonts w:cs="Times New Roman"/>
                    </w:rPr>
                    <w:t>采矿作业点、堆料场、弃渣场、装卸点、运输道路等产尘点设置洒水设施；一级破碎采用洒水除尘；破碎机下料口使用苫布遮盖；筛分机采用彩钢瓦棚半封闭，出料口用苫布遮挡；增设9辆</w:t>
                  </w:r>
                  <w:r>
                    <w:rPr>
                      <w:rFonts w:cs="Times New Roman"/>
                      <w:color w:val="FF0000"/>
                    </w:rPr>
                    <w:t>雾炮机</w:t>
                  </w:r>
                  <w:r>
                    <w:rPr>
                      <w:rFonts w:cs="Times New Roman"/>
                    </w:rPr>
                    <w:t>；堆料场采用苫布临时覆盖</w:t>
                  </w:r>
                </w:p>
              </w:tc>
              <w:tc>
                <w:tcPr>
                  <w:tcW w:w="3320" w:type="dxa"/>
                  <w:vAlign w:val="center"/>
                </w:tcPr>
                <w:p w14:paraId="4374502B">
                  <w:pPr>
                    <w:pStyle w:val="32"/>
                    <w:rPr>
                      <w:rFonts w:cs="Times New Roman"/>
                    </w:rPr>
                  </w:pPr>
                  <w:r>
                    <w:rPr>
                      <w:rFonts w:cs="Times New Roman"/>
                    </w:rPr>
                    <w:t>颗粒物达到《大气污染物综合排放标准》（GB16297-1996）表2无组织排放监控浓度限值</w:t>
                  </w:r>
                </w:p>
              </w:tc>
            </w:tr>
            <w:tr w14:paraId="4C32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581AAB96">
                  <w:pPr>
                    <w:pStyle w:val="32"/>
                    <w:rPr>
                      <w:rFonts w:cs="Times New Roman"/>
                    </w:rPr>
                  </w:pPr>
                </w:p>
              </w:tc>
              <w:tc>
                <w:tcPr>
                  <w:tcW w:w="1629" w:type="dxa"/>
                  <w:vAlign w:val="center"/>
                </w:tcPr>
                <w:p w14:paraId="2DD7C7B1">
                  <w:pPr>
                    <w:pStyle w:val="32"/>
                    <w:rPr>
                      <w:rFonts w:cs="Times New Roman"/>
                    </w:rPr>
                  </w:pPr>
                  <w:r>
                    <w:rPr>
                      <w:rFonts w:cs="Times New Roman"/>
                    </w:rPr>
                    <w:t>厨房油烟</w:t>
                  </w:r>
                </w:p>
              </w:tc>
              <w:tc>
                <w:tcPr>
                  <w:tcW w:w="3654" w:type="dxa"/>
                  <w:vAlign w:val="center"/>
                </w:tcPr>
                <w:p w14:paraId="4E6533C7">
                  <w:pPr>
                    <w:pStyle w:val="52"/>
                    <w:rPr>
                      <w:color w:val="auto"/>
                    </w:rPr>
                  </w:pPr>
                  <w:r>
                    <w:rPr>
                      <w:color w:val="auto"/>
                    </w:rPr>
                    <w:t>设置1套小型油烟净化器处理</w:t>
                  </w:r>
                </w:p>
              </w:tc>
              <w:tc>
                <w:tcPr>
                  <w:tcW w:w="3320" w:type="dxa"/>
                  <w:vAlign w:val="center"/>
                </w:tcPr>
                <w:p w14:paraId="1360A327">
                  <w:pPr>
                    <w:pStyle w:val="52"/>
                    <w:rPr>
                      <w:color w:val="auto"/>
                    </w:rPr>
                  </w:pPr>
                  <w:r>
                    <w:rPr>
                      <w:color w:val="auto"/>
                    </w:rPr>
                    <w:t>达GB18483-2001《饮食业油烟排放标准》小型规模标准</w:t>
                  </w:r>
                </w:p>
              </w:tc>
            </w:tr>
            <w:tr w14:paraId="1B99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704C3559">
                  <w:pPr>
                    <w:pStyle w:val="32"/>
                    <w:rPr>
                      <w:rFonts w:cs="Times New Roman"/>
                    </w:rPr>
                  </w:pPr>
                  <w:r>
                    <w:rPr>
                      <w:rFonts w:cs="Times New Roman"/>
                    </w:rPr>
                    <w:t>废水</w:t>
                  </w:r>
                </w:p>
              </w:tc>
              <w:tc>
                <w:tcPr>
                  <w:tcW w:w="1629" w:type="dxa"/>
                  <w:vMerge w:val="restart"/>
                  <w:vAlign w:val="center"/>
                </w:tcPr>
                <w:p w14:paraId="1C18CFDF">
                  <w:pPr>
                    <w:pStyle w:val="32"/>
                    <w:rPr>
                      <w:rFonts w:cs="Times New Roman"/>
                    </w:rPr>
                  </w:pPr>
                  <w:r>
                    <w:rPr>
                      <w:rFonts w:cs="Times New Roman"/>
                    </w:rPr>
                    <w:t>弃渣场和露天采场</w:t>
                  </w:r>
                  <w:r>
                    <w:rPr>
                      <w:rFonts w:hint="eastAsia" w:cs="Times New Roman"/>
                      <w:bCs/>
                      <w:color w:val="FF0000"/>
                    </w:rPr>
                    <w:t>初期雨水</w:t>
                  </w:r>
                </w:p>
              </w:tc>
              <w:tc>
                <w:tcPr>
                  <w:tcW w:w="3654" w:type="dxa"/>
                  <w:vAlign w:val="center"/>
                </w:tcPr>
                <w:p w14:paraId="1A2FEB61">
                  <w:pPr>
                    <w:pStyle w:val="32"/>
                    <w:rPr>
                      <w:rFonts w:cs="Times New Roman"/>
                    </w:rPr>
                  </w:pPr>
                  <w:r>
                    <w:rPr>
                      <w:rFonts w:cs="Times New Roman"/>
                    </w:rPr>
                    <w:t>弃渣场上游修建截排水沟490m，末端设置沉砂池，容积为120m</w:t>
                  </w:r>
                  <w:r>
                    <w:rPr>
                      <w:rFonts w:cs="Times New Roman"/>
                      <w:vertAlign w:val="superscript"/>
                    </w:rPr>
                    <w:t>3</w:t>
                  </w:r>
                  <w:r>
                    <w:rPr>
                      <w:rFonts w:cs="Times New Roman"/>
                    </w:rPr>
                    <w:t>。露天采场区累计修建排水沟923m，末端设置沉砂池，设置1个沉砂池，容积为100m</w:t>
                  </w:r>
                  <w:r>
                    <w:rPr>
                      <w:rFonts w:cs="Times New Roman"/>
                      <w:vertAlign w:val="superscript"/>
                    </w:rPr>
                    <w:t>3</w:t>
                  </w:r>
                  <w:r>
                    <w:rPr>
                      <w:rFonts w:cs="Times New Roman"/>
                    </w:rPr>
                    <w:t>。</w:t>
                  </w:r>
                </w:p>
              </w:tc>
              <w:tc>
                <w:tcPr>
                  <w:tcW w:w="3320" w:type="dxa"/>
                  <w:vMerge w:val="restart"/>
                  <w:vAlign w:val="center"/>
                </w:tcPr>
                <w:p w14:paraId="11D3F735">
                  <w:pPr>
                    <w:pStyle w:val="32"/>
                    <w:rPr>
                      <w:rFonts w:cs="Times New Roman"/>
                    </w:rPr>
                  </w:pPr>
                  <w:r>
                    <w:rPr>
                      <w:rFonts w:cs="Times New Roman"/>
                    </w:rPr>
                    <w:t>生活污水中的员工厨房废水经隔油池处理后和其它生活废水经化粪池后用于项目绿化施肥；</w:t>
                  </w:r>
                </w:p>
                <w:p w14:paraId="30E451A8">
                  <w:pPr>
                    <w:pStyle w:val="32"/>
                    <w:rPr>
                      <w:rFonts w:cs="Times New Roman"/>
                    </w:rPr>
                  </w:pPr>
                  <w:r>
                    <w:rPr>
                      <w:rFonts w:cs="Times New Roman"/>
                    </w:rPr>
                    <w:t>弃渣场和露天采场</w:t>
                  </w:r>
                  <w:r>
                    <w:rPr>
                      <w:rFonts w:hint="eastAsia" w:cs="Times New Roman"/>
                      <w:bCs/>
                      <w:color w:val="FF0000"/>
                    </w:rPr>
                    <w:t>初期雨水</w:t>
                  </w:r>
                  <w:r>
                    <w:rPr>
                      <w:rFonts w:cs="Times New Roman"/>
                    </w:rPr>
                    <w:t>经雨水沉淀池处理后外排</w:t>
                  </w:r>
                </w:p>
              </w:tc>
            </w:tr>
            <w:tr w14:paraId="2BA7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0BE33E32">
                  <w:pPr>
                    <w:pStyle w:val="32"/>
                    <w:rPr>
                      <w:rFonts w:cs="Times New Roman"/>
                    </w:rPr>
                  </w:pPr>
                </w:p>
              </w:tc>
              <w:tc>
                <w:tcPr>
                  <w:tcW w:w="1629" w:type="dxa"/>
                  <w:vMerge w:val="continue"/>
                  <w:vAlign w:val="center"/>
                </w:tcPr>
                <w:p w14:paraId="6DFF79D2">
                  <w:pPr>
                    <w:pStyle w:val="32"/>
                    <w:rPr>
                      <w:rFonts w:cs="Times New Roman"/>
                    </w:rPr>
                  </w:pPr>
                </w:p>
              </w:tc>
              <w:tc>
                <w:tcPr>
                  <w:tcW w:w="3654" w:type="dxa"/>
                  <w:vAlign w:val="center"/>
                </w:tcPr>
                <w:p w14:paraId="521506A2">
                  <w:pPr>
                    <w:pStyle w:val="32"/>
                    <w:rPr>
                      <w:rFonts w:cs="Times New Roman"/>
                    </w:rPr>
                  </w:pPr>
                  <w:r>
                    <w:rPr>
                      <w:rFonts w:cs="Times New Roman"/>
                    </w:rPr>
                    <w:t>2个沉砂池（均为10m</w:t>
                  </w:r>
                  <w:r>
                    <w:rPr>
                      <w:rFonts w:cs="Times New Roman"/>
                      <w:vertAlign w:val="superscript"/>
                    </w:rPr>
                    <w:t>3</w:t>
                  </w:r>
                  <w:r>
                    <w:rPr>
                      <w:rFonts w:cs="Times New Roman"/>
                    </w:rPr>
                    <w:t>），露天采场及弃渣场共设置1490m截水沟</w:t>
                  </w:r>
                </w:p>
              </w:tc>
              <w:tc>
                <w:tcPr>
                  <w:tcW w:w="3320" w:type="dxa"/>
                  <w:vMerge w:val="continue"/>
                  <w:vAlign w:val="center"/>
                </w:tcPr>
                <w:p w14:paraId="7649A21B">
                  <w:pPr>
                    <w:pStyle w:val="32"/>
                    <w:rPr>
                      <w:rFonts w:cs="Times New Roman"/>
                    </w:rPr>
                  </w:pPr>
                </w:p>
              </w:tc>
            </w:tr>
            <w:tr w14:paraId="7221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1D621454">
                  <w:pPr>
                    <w:pStyle w:val="32"/>
                    <w:rPr>
                      <w:rFonts w:cs="Times New Roman"/>
                    </w:rPr>
                  </w:pPr>
                </w:p>
              </w:tc>
              <w:tc>
                <w:tcPr>
                  <w:tcW w:w="1629" w:type="dxa"/>
                  <w:vAlign w:val="center"/>
                </w:tcPr>
                <w:p w14:paraId="01DFA15B">
                  <w:pPr>
                    <w:pStyle w:val="32"/>
                    <w:rPr>
                      <w:rFonts w:cs="Times New Roman"/>
                    </w:rPr>
                  </w:pPr>
                  <w:r>
                    <w:rPr>
                      <w:rFonts w:cs="Times New Roman"/>
                    </w:rPr>
                    <w:t>生活污水</w:t>
                  </w:r>
                </w:p>
              </w:tc>
              <w:tc>
                <w:tcPr>
                  <w:tcW w:w="3654" w:type="dxa"/>
                  <w:vAlign w:val="center"/>
                </w:tcPr>
                <w:p w14:paraId="2C232B48">
                  <w:pPr>
                    <w:pStyle w:val="32"/>
                    <w:rPr>
                      <w:rFonts w:cs="Times New Roman"/>
                    </w:rPr>
                  </w:pPr>
                  <w:r>
                    <w:rPr>
                      <w:rFonts w:cs="Times New Roman"/>
                    </w:rPr>
                    <w:t>1个隔油池（</w:t>
                  </w:r>
                  <w:r>
                    <w:rPr>
                      <w:rFonts w:hint="eastAsia" w:cs="Times New Roman"/>
                      <w:color w:val="FF0000"/>
                    </w:rPr>
                    <w:t>2</w:t>
                  </w:r>
                  <w:r>
                    <w:rPr>
                      <w:rFonts w:cs="Times New Roman"/>
                    </w:rPr>
                    <w:t>m</w:t>
                  </w:r>
                  <w:r>
                    <w:rPr>
                      <w:rFonts w:cs="Times New Roman"/>
                      <w:vertAlign w:val="superscript"/>
                    </w:rPr>
                    <w:t>3</w:t>
                  </w:r>
                  <w:r>
                    <w:rPr>
                      <w:rFonts w:cs="Times New Roman"/>
                    </w:rPr>
                    <w:t>）、1个化粪池（12m</w:t>
                  </w:r>
                  <w:r>
                    <w:rPr>
                      <w:rFonts w:cs="Times New Roman"/>
                      <w:vertAlign w:val="superscript"/>
                    </w:rPr>
                    <w:t>3</w:t>
                  </w:r>
                  <w:r>
                    <w:rPr>
                      <w:rFonts w:cs="Times New Roman"/>
                    </w:rPr>
                    <w:t>）</w:t>
                  </w:r>
                </w:p>
              </w:tc>
              <w:tc>
                <w:tcPr>
                  <w:tcW w:w="3320" w:type="dxa"/>
                  <w:vMerge w:val="continue"/>
                  <w:vAlign w:val="center"/>
                </w:tcPr>
                <w:p w14:paraId="2BF76395">
                  <w:pPr>
                    <w:pStyle w:val="32"/>
                    <w:rPr>
                      <w:rFonts w:cs="Times New Roman"/>
                    </w:rPr>
                  </w:pPr>
                </w:p>
              </w:tc>
            </w:tr>
            <w:tr w14:paraId="643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02DCFEF5">
                  <w:pPr>
                    <w:pStyle w:val="32"/>
                    <w:rPr>
                      <w:rFonts w:cs="Times New Roman"/>
                    </w:rPr>
                  </w:pPr>
                  <w:r>
                    <w:rPr>
                      <w:rFonts w:cs="Times New Roman"/>
                    </w:rPr>
                    <w:t>固废</w:t>
                  </w:r>
                </w:p>
              </w:tc>
              <w:tc>
                <w:tcPr>
                  <w:tcW w:w="1629" w:type="dxa"/>
                  <w:vAlign w:val="center"/>
                </w:tcPr>
                <w:p w14:paraId="3C5C0966">
                  <w:pPr>
                    <w:pStyle w:val="32"/>
                    <w:rPr>
                      <w:rFonts w:cs="Times New Roman"/>
                    </w:rPr>
                  </w:pPr>
                  <w:r>
                    <w:rPr>
                      <w:rFonts w:cs="Times New Roman"/>
                    </w:rPr>
                    <w:t>生活垃圾</w:t>
                  </w:r>
                </w:p>
              </w:tc>
              <w:tc>
                <w:tcPr>
                  <w:tcW w:w="3654" w:type="dxa"/>
                  <w:vAlign w:val="center"/>
                </w:tcPr>
                <w:p w14:paraId="21DAEEC2">
                  <w:pPr>
                    <w:pStyle w:val="32"/>
                    <w:rPr>
                      <w:rFonts w:cs="Times New Roman"/>
                    </w:rPr>
                  </w:pPr>
                  <w:r>
                    <w:rPr>
                      <w:rFonts w:cs="Times New Roman"/>
                    </w:rPr>
                    <w:t>若干个生活垃圾收集桶</w:t>
                  </w:r>
                </w:p>
              </w:tc>
              <w:tc>
                <w:tcPr>
                  <w:tcW w:w="3320" w:type="dxa"/>
                  <w:vMerge w:val="restart"/>
                  <w:vAlign w:val="center"/>
                </w:tcPr>
                <w:p w14:paraId="27E17FA8">
                  <w:pPr>
                    <w:pStyle w:val="32"/>
                    <w:rPr>
                      <w:rFonts w:cs="Times New Roman"/>
                    </w:rPr>
                  </w:pPr>
                  <w:r>
                    <w:rPr>
                      <w:rFonts w:cs="Times New Roman"/>
                    </w:rPr>
                    <w:t>分类处置，处置率100%</w:t>
                  </w:r>
                </w:p>
              </w:tc>
            </w:tr>
            <w:tr w14:paraId="325F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31A75291">
                  <w:pPr>
                    <w:pStyle w:val="32"/>
                    <w:rPr>
                      <w:rFonts w:cs="Times New Roman"/>
                    </w:rPr>
                  </w:pPr>
                </w:p>
              </w:tc>
              <w:tc>
                <w:tcPr>
                  <w:tcW w:w="1629" w:type="dxa"/>
                  <w:vAlign w:val="center"/>
                </w:tcPr>
                <w:p w14:paraId="516038D2">
                  <w:pPr>
                    <w:pStyle w:val="32"/>
                    <w:rPr>
                      <w:rFonts w:cs="Times New Roman"/>
                      <w:color w:val="FF0000"/>
                    </w:rPr>
                  </w:pPr>
                  <w:r>
                    <w:rPr>
                      <w:rFonts w:hint="eastAsia" w:cs="Times New Roman"/>
                      <w:color w:val="FF0000"/>
                    </w:rPr>
                    <w:t>弃渣</w:t>
                  </w:r>
                </w:p>
              </w:tc>
              <w:tc>
                <w:tcPr>
                  <w:tcW w:w="3654" w:type="dxa"/>
                  <w:vAlign w:val="center"/>
                </w:tcPr>
                <w:p w14:paraId="099942C6">
                  <w:pPr>
                    <w:pStyle w:val="32"/>
                    <w:rPr>
                      <w:rFonts w:cs="Times New Roman"/>
                    </w:rPr>
                  </w:pPr>
                  <w:r>
                    <w:rPr>
                      <w:rFonts w:cs="Times New Roman"/>
                    </w:rPr>
                    <w:t>设置弃渣场（库容3.3万m</w:t>
                  </w:r>
                  <w:r>
                    <w:rPr>
                      <w:rFonts w:cs="Times New Roman"/>
                      <w:vertAlign w:val="superscript"/>
                    </w:rPr>
                    <w:t>3</w:t>
                  </w:r>
                  <w:r>
                    <w:rPr>
                      <w:rFonts w:cs="Times New Roman"/>
                    </w:rPr>
                    <w:t>）堆放（弃渣场设置拦渣坝20m×0.5m×3m）</w:t>
                  </w:r>
                </w:p>
              </w:tc>
              <w:tc>
                <w:tcPr>
                  <w:tcW w:w="3320" w:type="dxa"/>
                  <w:vMerge w:val="continue"/>
                  <w:vAlign w:val="center"/>
                </w:tcPr>
                <w:p w14:paraId="67B36CBE">
                  <w:pPr>
                    <w:pStyle w:val="32"/>
                    <w:rPr>
                      <w:rFonts w:cs="Times New Roman"/>
                    </w:rPr>
                  </w:pPr>
                </w:p>
              </w:tc>
            </w:tr>
            <w:tr w14:paraId="6DAB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20F24882">
                  <w:pPr>
                    <w:pStyle w:val="32"/>
                    <w:rPr>
                      <w:rFonts w:cs="Times New Roman"/>
                    </w:rPr>
                  </w:pPr>
                </w:p>
              </w:tc>
              <w:tc>
                <w:tcPr>
                  <w:tcW w:w="1629" w:type="dxa"/>
                  <w:vAlign w:val="center"/>
                </w:tcPr>
                <w:p w14:paraId="58C20F36">
                  <w:pPr>
                    <w:pStyle w:val="32"/>
                    <w:rPr>
                      <w:rFonts w:cs="Times New Roman"/>
                    </w:rPr>
                  </w:pPr>
                  <w:r>
                    <w:rPr>
                      <w:rFonts w:cs="Times New Roman"/>
                    </w:rPr>
                    <w:t>厨房泔水和隔油池废油</w:t>
                  </w:r>
                </w:p>
              </w:tc>
              <w:tc>
                <w:tcPr>
                  <w:tcW w:w="3654" w:type="dxa"/>
                  <w:vAlign w:val="center"/>
                </w:tcPr>
                <w:p w14:paraId="0CC09460">
                  <w:pPr>
                    <w:pStyle w:val="32"/>
                    <w:rPr>
                      <w:rFonts w:cs="Times New Roman"/>
                    </w:rPr>
                  </w:pPr>
                  <w:r>
                    <w:rPr>
                      <w:rFonts w:cs="Times New Roman"/>
                    </w:rPr>
                    <w:t>1个带盖泔水收集桶</w:t>
                  </w:r>
                </w:p>
              </w:tc>
              <w:tc>
                <w:tcPr>
                  <w:tcW w:w="3320" w:type="dxa"/>
                  <w:vMerge w:val="continue"/>
                  <w:vAlign w:val="center"/>
                </w:tcPr>
                <w:p w14:paraId="7A8EF985">
                  <w:pPr>
                    <w:pStyle w:val="32"/>
                    <w:rPr>
                      <w:rFonts w:cs="Times New Roman"/>
                    </w:rPr>
                  </w:pPr>
                </w:p>
              </w:tc>
            </w:tr>
            <w:tr w14:paraId="4225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7001AB84">
                  <w:pPr>
                    <w:pStyle w:val="32"/>
                    <w:rPr>
                      <w:rFonts w:cs="Times New Roman"/>
                    </w:rPr>
                  </w:pPr>
                </w:p>
              </w:tc>
              <w:tc>
                <w:tcPr>
                  <w:tcW w:w="1629" w:type="dxa"/>
                  <w:vAlign w:val="center"/>
                </w:tcPr>
                <w:p w14:paraId="13424C19">
                  <w:pPr>
                    <w:pStyle w:val="32"/>
                    <w:rPr>
                      <w:rFonts w:cs="Times New Roman"/>
                    </w:rPr>
                  </w:pPr>
                  <w:r>
                    <w:rPr>
                      <w:rFonts w:cs="Times New Roman"/>
                    </w:rPr>
                    <w:t>化粪池污泥</w:t>
                  </w:r>
                </w:p>
              </w:tc>
              <w:tc>
                <w:tcPr>
                  <w:tcW w:w="3654" w:type="dxa"/>
                  <w:vAlign w:val="center"/>
                </w:tcPr>
                <w:p w14:paraId="54057A85">
                  <w:pPr>
                    <w:pStyle w:val="32"/>
                    <w:rPr>
                      <w:rFonts w:cs="Times New Roman"/>
                    </w:rPr>
                  </w:pPr>
                  <w:r>
                    <w:rPr>
                      <w:rFonts w:cs="Times New Roman"/>
                    </w:rPr>
                    <w:t>定期清掏，用作植被施肥</w:t>
                  </w:r>
                </w:p>
              </w:tc>
              <w:tc>
                <w:tcPr>
                  <w:tcW w:w="3320" w:type="dxa"/>
                  <w:vMerge w:val="continue"/>
                  <w:vAlign w:val="center"/>
                </w:tcPr>
                <w:p w14:paraId="5DA1E575">
                  <w:pPr>
                    <w:pStyle w:val="32"/>
                    <w:rPr>
                      <w:rFonts w:cs="Times New Roman"/>
                    </w:rPr>
                  </w:pPr>
                </w:p>
              </w:tc>
            </w:tr>
            <w:tr w14:paraId="3BB5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7C5D8115">
                  <w:pPr>
                    <w:pStyle w:val="32"/>
                    <w:rPr>
                      <w:rFonts w:cs="Times New Roman"/>
                    </w:rPr>
                  </w:pPr>
                </w:p>
              </w:tc>
              <w:tc>
                <w:tcPr>
                  <w:tcW w:w="1629" w:type="dxa"/>
                  <w:vAlign w:val="center"/>
                </w:tcPr>
                <w:p w14:paraId="4F0A448C">
                  <w:pPr>
                    <w:pStyle w:val="32"/>
                    <w:rPr>
                      <w:rFonts w:cs="Times New Roman"/>
                    </w:rPr>
                  </w:pPr>
                  <w:r>
                    <w:rPr>
                      <w:rFonts w:cs="Times New Roman"/>
                    </w:rPr>
                    <w:t>雨水沉淀池沉渣</w:t>
                  </w:r>
                </w:p>
              </w:tc>
              <w:tc>
                <w:tcPr>
                  <w:tcW w:w="3654" w:type="dxa"/>
                  <w:vAlign w:val="center"/>
                </w:tcPr>
                <w:p w14:paraId="392CB24A">
                  <w:pPr>
                    <w:pStyle w:val="32"/>
                    <w:rPr>
                      <w:rFonts w:cs="Times New Roman"/>
                    </w:rPr>
                  </w:pPr>
                  <w:r>
                    <w:rPr>
                      <w:rFonts w:cs="Times New Roman"/>
                    </w:rPr>
                    <w:t>定期清掏，堆放在弃渣场</w:t>
                  </w:r>
                </w:p>
              </w:tc>
              <w:tc>
                <w:tcPr>
                  <w:tcW w:w="3320" w:type="dxa"/>
                  <w:vMerge w:val="continue"/>
                  <w:vAlign w:val="center"/>
                </w:tcPr>
                <w:p w14:paraId="36B4DDF2">
                  <w:pPr>
                    <w:pStyle w:val="32"/>
                    <w:rPr>
                      <w:rFonts w:cs="Times New Roman"/>
                    </w:rPr>
                  </w:pPr>
                </w:p>
              </w:tc>
            </w:tr>
            <w:tr w14:paraId="3411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3A4F4D4C">
                  <w:pPr>
                    <w:pStyle w:val="32"/>
                    <w:rPr>
                      <w:rFonts w:cs="Times New Roman"/>
                    </w:rPr>
                  </w:pPr>
                </w:p>
              </w:tc>
              <w:tc>
                <w:tcPr>
                  <w:tcW w:w="1629" w:type="dxa"/>
                  <w:vAlign w:val="center"/>
                </w:tcPr>
                <w:p w14:paraId="5E77733A">
                  <w:pPr>
                    <w:pStyle w:val="32"/>
                    <w:rPr>
                      <w:rFonts w:cs="Times New Roman"/>
                    </w:rPr>
                  </w:pPr>
                  <w:r>
                    <w:rPr>
                      <w:rFonts w:cs="Times New Roman"/>
                    </w:rPr>
                    <w:t>废机油</w:t>
                  </w:r>
                </w:p>
              </w:tc>
              <w:tc>
                <w:tcPr>
                  <w:tcW w:w="3654" w:type="dxa"/>
                  <w:vAlign w:val="center"/>
                </w:tcPr>
                <w:p w14:paraId="6310F4C4">
                  <w:pPr>
                    <w:pStyle w:val="32"/>
                    <w:rPr>
                      <w:rFonts w:cs="Times New Roman"/>
                    </w:rPr>
                  </w:pPr>
                  <w:r>
                    <w:rPr>
                      <w:rFonts w:cs="Times New Roman"/>
                    </w:rPr>
                    <w:t>设置1间危险废物暂存间（4m</w:t>
                  </w:r>
                  <w:r>
                    <w:rPr>
                      <w:rFonts w:cs="Times New Roman"/>
                      <w:vertAlign w:val="superscript"/>
                    </w:rPr>
                    <w:t>2</w:t>
                  </w:r>
                  <w:r>
                    <w:rPr>
                      <w:rFonts w:cs="Times New Roman"/>
                    </w:rPr>
                    <w:t>），1个专用废油收集桶</w:t>
                  </w:r>
                  <w:r>
                    <w:rPr>
                      <w:rFonts w:hint="eastAsia" w:cs="Times New Roman"/>
                      <w:color w:val="FF0000"/>
                    </w:rPr>
                    <w:t>，并建立台账</w:t>
                  </w:r>
                </w:p>
              </w:tc>
              <w:tc>
                <w:tcPr>
                  <w:tcW w:w="3320" w:type="dxa"/>
                  <w:vMerge w:val="continue"/>
                  <w:vAlign w:val="center"/>
                </w:tcPr>
                <w:p w14:paraId="35739F4F">
                  <w:pPr>
                    <w:pStyle w:val="32"/>
                    <w:rPr>
                      <w:rFonts w:cs="Times New Roman"/>
                    </w:rPr>
                  </w:pPr>
                </w:p>
              </w:tc>
            </w:tr>
            <w:tr w14:paraId="0C4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5F3524FC">
                  <w:pPr>
                    <w:pStyle w:val="32"/>
                    <w:rPr>
                      <w:rFonts w:cs="Times New Roman"/>
                    </w:rPr>
                  </w:pPr>
                  <w:r>
                    <w:rPr>
                      <w:rFonts w:cs="Times New Roman"/>
                    </w:rPr>
                    <w:t>噪声</w:t>
                  </w:r>
                </w:p>
              </w:tc>
              <w:tc>
                <w:tcPr>
                  <w:tcW w:w="1629" w:type="dxa"/>
                  <w:vAlign w:val="center"/>
                </w:tcPr>
                <w:p w14:paraId="7CF57FF5">
                  <w:pPr>
                    <w:pStyle w:val="32"/>
                    <w:rPr>
                      <w:rFonts w:cs="Times New Roman"/>
                    </w:rPr>
                  </w:pPr>
                  <w:r>
                    <w:rPr>
                      <w:rFonts w:cs="Times New Roman"/>
                    </w:rPr>
                    <w:t>设备噪声</w:t>
                  </w:r>
                </w:p>
              </w:tc>
              <w:tc>
                <w:tcPr>
                  <w:tcW w:w="3654" w:type="dxa"/>
                  <w:vAlign w:val="center"/>
                </w:tcPr>
                <w:p w14:paraId="1C146434">
                  <w:pPr>
                    <w:pStyle w:val="32"/>
                    <w:rPr>
                      <w:rFonts w:cs="Times New Roman"/>
                    </w:rPr>
                  </w:pPr>
                  <w:r>
                    <w:rPr>
                      <w:rFonts w:cs="Times New Roman"/>
                    </w:rPr>
                    <w:t>设置隔声、消声和基础减震等措施</w:t>
                  </w:r>
                </w:p>
              </w:tc>
              <w:tc>
                <w:tcPr>
                  <w:tcW w:w="3320" w:type="dxa"/>
                  <w:vAlign w:val="center"/>
                </w:tcPr>
                <w:p w14:paraId="4D3F557D">
                  <w:pPr>
                    <w:pStyle w:val="32"/>
                    <w:rPr>
                      <w:rFonts w:cs="Times New Roman"/>
                    </w:rPr>
                  </w:pPr>
                  <w:r>
                    <w:rPr>
                      <w:rFonts w:cs="Times New Roman"/>
                    </w:rPr>
                    <w:t>厂界达《工业企业厂界环境噪声排放标准》（GB12348-2008）2类标准</w:t>
                  </w:r>
                </w:p>
              </w:tc>
            </w:tr>
            <w:tr w14:paraId="7D12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548C1662">
                  <w:pPr>
                    <w:pStyle w:val="32"/>
                    <w:rPr>
                      <w:rFonts w:cs="Times New Roman"/>
                    </w:rPr>
                  </w:pPr>
                  <w:r>
                    <w:rPr>
                      <w:rFonts w:cs="Times New Roman"/>
                    </w:rPr>
                    <w:t>其它</w:t>
                  </w:r>
                </w:p>
              </w:tc>
              <w:tc>
                <w:tcPr>
                  <w:tcW w:w="1629" w:type="dxa"/>
                  <w:vAlign w:val="center"/>
                </w:tcPr>
                <w:p w14:paraId="6449DCB2">
                  <w:pPr>
                    <w:pStyle w:val="32"/>
                    <w:rPr>
                      <w:rFonts w:cs="Times New Roman"/>
                    </w:rPr>
                  </w:pPr>
                  <w:r>
                    <w:rPr>
                      <w:rFonts w:cs="Times New Roman"/>
                    </w:rPr>
                    <w:t>储油罐区</w:t>
                  </w:r>
                </w:p>
              </w:tc>
              <w:tc>
                <w:tcPr>
                  <w:tcW w:w="3654" w:type="dxa"/>
                  <w:vAlign w:val="center"/>
                </w:tcPr>
                <w:p w14:paraId="251C363E">
                  <w:pPr>
                    <w:pStyle w:val="32"/>
                    <w:rPr>
                      <w:rFonts w:cs="Times New Roman"/>
                    </w:rPr>
                  </w:pPr>
                  <w:r>
                    <w:rPr>
                      <w:rFonts w:cs="Times New Roman"/>
                    </w:rPr>
                    <w:t>地面做防渗处理，外围设置</w:t>
                  </w:r>
                  <w:r>
                    <w:rPr>
                      <w:rFonts w:cs="Times New Roman"/>
                      <w:szCs w:val="24"/>
                    </w:rPr>
                    <w:t>围堰</w:t>
                  </w:r>
                </w:p>
              </w:tc>
              <w:tc>
                <w:tcPr>
                  <w:tcW w:w="3320" w:type="dxa"/>
                  <w:vAlign w:val="center"/>
                </w:tcPr>
                <w:p w14:paraId="39FC404B">
                  <w:pPr>
                    <w:pStyle w:val="32"/>
                    <w:rPr>
                      <w:rFonts w:cs="Times New Roman"/>
                    </w:rPr>
                  </w:pPr>
                  <w:r>
                    <w:rPr>
                      <w:rFonts w:cs="Times New Roman"/>
                    </w:rPr>
                    <w:t>/</w:t>
                  </w:r>
                </w:p>
              </w:tc>
            </w:tr>
          </w:tbl>
          <w:p w14:paraId="22205121">
            <w:pPr>
              <w:ind w:firstLine="480"/>
              <w:rPr>
                <w:rFonts w:cs="Times New Roman"/>
              </w:rPr>
            </w:pPr>
          </w:p>
          <w:p w14:paraId="48F14518">
            <w:pPr>
              <w:ind w:firstLine="480"/>
              <w:rPr>
                <w:rFonts w:cs="Times New Roman"/>
              </w:rPr>
            </w:pPr>
          </w:p>
          <w:p w14:paraId="494B3C15">
            <w:pPr>
              <w:ind w:firstLine="480"/>
              <w:rPr>
                <w:rFonts w:cs="Times New Roman"/>
              </w:rPr>
            </w:pPr>
          </w:p>
          <w:p w14:paraId="612B5CE4">
            <w:pPr>
              <w:ind w:firstLine="480"/>
              <w:rPr>
                <w:rFonts w:cs="Times New Roman"/>
              </w:rPr>
            </w:pPr>
          </w:p>
          <w:p w14:paraId="77EEEC38">
            <w:pPr>
              <w:ind w:firstLine="480"/>
              <w:rPr>
                <w:rFonts w:cs="Times New Roman"/>
              </w:rPr>
            </w:pPr>
          </w:p>
          <w:p w14:paraId="238DBC45">
            <w:pPr>
              <w:ind w:firstLine="480"/>
              <w:rPr>
                <w:rFonts w:cs="Times New Roman"/>
              </w:rPr>
            </w:pPr>
          </w:p>
          <w:p w14:paraId="6B1DDA98">
            <w:pPr>
              <w:ind w:firstLine="480"/>
              <w:rPr>
                <w:rFonts w:cs="Times New Roman"/>
              </w:rPr>
            </w:pPr>
          </w:p>
          <w:p w14:paraId="36EF7E40">
            <w:pPr>
              <w:ind w:firstLine="480"/>
              <w:rPr>
                <w:rFonts w:cs="Times New Roman"/>
              </w:rPr>
            </w:pPr>
          </w:p>
          <w:p w14:paraId="624AB7F0">
            <w:pPr>
              <w:ind w:firstLine="0" w:firstLineChars="0"/>
              <w:rPr>
                <w:rFonts w:cs="Times New Roman"/>
              </w:rPr>
            </w:pPr>
          </w:p>
          <w:p w14:paraId="22DE4BB6">
            <w:pPr>
              <w:ind w:firstLine="0" w:firstLineChars="0"/>
              <w:rPr>
                <w:rFonts w:cs="Times New Roman"/>
              </w:rPr>
            </w:pPr>
          </w:p>
          <w:p w14:paraId="5B1F62DA">
            <w:pPr>
              <w:ind w:firstLine="0" w:firstLineChars="0"/>
              <w:rPr>
                <w:rFonts w:cs="Times New Roman"/>
              </w:rPr>
            </w:pPr>
          </w:p>
          <w:p w14:paraId="335468CD">
            <w:pPr>
              <w:ind w:firstLine="0" w:firstLineChars="0"/>
              <w:rPr>
                <w:rFonts w:cs="Times New Roman"/>
              </w:rPr>
            </w:pPr>
          </w:p>
          <w:p w14:paraId="480D968A">
            <w:pPr>
              <w:ind w:firstLine="0" w:firstLineChars="0"/>
              <w:rPr>
                <w:rFonts w:cs="Times New Roman"/>
              </w:rPr>
            </w:pPr>
          </w:p>
          <w:p w14:paraId="0A26AEC9">
            <w:pPr>
              <w:ind w:firstLine="0" w:firstLineChars="0"/>
              <w:rPr>
                <w:rFonts w:cs="Times New Roman"/>
              </w:rPr>
            </w:pPr>
          </w:p>
          <w:p w14:paraId="4277B330">
            <w:pPr>
              <w:ind w:firstLine="0" w:firstLineChars="0"/>
              <w:rPr>
                <w:rFonts w:cs="Times New Roman"/>
              </w:rPr>
            </w:pPr>
          </w:p>
          <w:p w14:paraId="72B7E5F1">
            <w:pPr>
              <w:ind w:firstLine="0" w:firstLineChars="0"/>
              <w:rPr>
                <w:rFonts w:cs="Times New Roman"/>
              </w:rPr>
            </w:pPr>
          </w:p>
          <w:p w14:paraId="16A7CD8A">
            <w:pPr>
              <w:ind w:firstLine="0" w:firstLineChars="0"/>
              <w:rPr>
                <w:rFonts w:cs="Times New Roman"/>
              </w:rPr>
            </w:pPr>
          </w:p>
          <w:p w14:paraId="6CF633C0">
            <w:pPr>
              <w:ind w:firstLine="0" w:firstLineChars="0"/>
              <w:rPr>
                <w:rFonts w:cs="Times New Roman"/>
              </w:rPr>
            </w:pPr>
          </w:p>
        </w:tc>
      </w:tr>
      <w:tr w14:paraId="50FF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487BA570">
            <w:pPr>
              <w:ind w:firstLine="0" w:firstLineChars="0"/>
              <w:rPr>
                <w:rFonts w:cs="Times New Roman"/>
                <w:b/>
                <w:sz w:val="28"/>
                <w:szCs w:val="28"/>
              </w:rPr>
            </w:pPr>
            <w:r>
              <w:rPr>
                <w:rFonts w:cs="Times New Roman"/>
                <w:b/>
                <w:sz w:val="28"/>
                <w:szCs w:val="28"/>
              </w:rPr>
              <w:t>预审意见：</w:t>
            </w:r>
          </w:p>
          <w:p w14:paraId="7CF774BE">
            <w:pPr>
              <w:ind w:firstLine="560"/>
              <w:rPr>
                <w:rFonts w:cs="Times New Roman"/>
                <w:sz w:val="28"/>
                <w:szCs w:val="28"/>
              </w:rPr>
            </w:pPr>
          </w:p>
          <w:p w14:paraId="682F7286">
            <w:pPr>
              <w:ind w:firstLine="560"/>
              <w:rPr>
                <w:rFonts w:cs="Times New Roman"/>
                <w:sz w:val="28"/>
                <w:szCs w:val="28"/>
              </w:rPr>
            </w:pPr>
          </w:p>
          <w:p w14:paraId="2F624E34">
            <w:pPr>
              <w:ind w:firstLine="560"/>
              <w:rPr>
                <w:rFonts w:cs="Times New Roman"/>
                <w:sz w:val="28"/>
                <w:szCs w:val="28"/>
              </w:rPr>
            </w:pPr>
          </w:p>
          <w:p w14:paraId="64EDD36D">
            <w:pPr>
              <w:ind w:firstLine="560"/>
              <w:rPr>
                <w:rFonts w:cs="Times New Roman"/>
                <w:sz w:val="28"/>
                <w:szCs w:val="28"/>
              </w:rPr>
            </w:pPr>
          </w:p>
          <w:p w14:paraId="563CFA78">
            <w:pPr>
              <w:ind w:firstLine="560"/>
              <w:rPr>
                <w:rFonts w:cs="Times New Roman"/>
                <w:sz w:val="28"/>
                <w:szCs w:val="28"/>
              </w:rPr>
            </w:pPr>
          </w:p>
          <w:p w14:paraId="29D56E21">
            <w:pPr>
              <w:ind w:firstLine="560"/>
              <w:rPr>
                <w:rFonts w:cs="Times New Roman"/>
                <w:sz w:val="28"/>
                <w:szCs w:val="28"/>
              </w:rPr>
            </w:pPr>
          </w:p>
          <w:p w14:paraId="7303A688">
            <w:pPr>
              <w:ind w:firstLine="560"/>
              <w:rPr>
                <w:rFonts w:cs="Times New Roman"/>
                <w:sz w:val="28"/>
                <w:szCs w:val="28"/>
              </w:rPr>
            </w:pPr>
          </w:p>
          <w:p w14:paraId="10CCAFCE">
            <w:pPr>
              <w:ind w:firstLine="560"/>
              <w:rPr>
                <w:rFonts w:cs="Times New Roman"/>
                <w:sz w:val="28"/>
                <w:szCs w:val="28"/>
              </w:rPr>
            </w:pPr>
          </w:p>
          <w:p w14:paraId="3C4C9008">
            <w:pPr>
              <w:ind w:firstLine="6637" w:firstLineChars="2361"/>
              <w:rPr>
                <w:rFonts w:cs="Times New Roman"/>
                <w:b/>
                <w:sz w:val="28"/>
                <w:szCs w:val="28"/>
              </w:rPr>
            </w:pPr>
            <w:r>
              <w:rPr>
                <w:rFonts w:cs="Times New Roman"/>
                <w:b/>
                <w:sz w:val="28"/>
                <w:szCs w:val="28"/>
              </w:rPr>
              <w:t>公   章</w:t>
            </w:r>
          </w:p>
          <w:p w14:paraId="6C3C6B68">
            <w:pPr>
              <w:ind w:firstLine="0" w:firstLineChars="0"/>
              <w:rPr>
                <w:rFonts w:cs="Times New Roman"/>
                <w:b/>
                <w:sz w:val="28"/>
                <w:szCs w:val="28"/>
              </w:rPr>
            </w:pPr>
            <w:r>
              <w:rPr>
                <w:rFonts w:cs="Times New Roman"/>
                <w:b/>
                <w:sz w:val="28"/>
                <w:szCs w:val="28"/>
              </w:rPr>
              <w:t>经办人：                                      年   月   日</w:t>
            </w:r>
          </w:p>
        </w:tc>
      </w:tr>
      <w:tr w14:paraId="0BAD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9923" w:type="dxa"/>
          </w:tcPr>
          <w:p w14:paraId="36770ACE">
            <w:pPr>
              <w:ind w:firstLine="0" w:firstLineChars="0"/>
              <w:rPr>
                <w:rFonts w:cs="Times New Roman"/>
                <w:b/>
                <w:sz w:val="28"/>
                <w:szCs w:val="28"/>
              </w:rPr>
            </w:pPr>
            <w:r>
              <w:rPr>
                <w:rFonts w:cs="Times New Roman"/>
                <w:b/>
                <w:sz w:val="28"/>
                <w:szCs w:val="28"/>
              </w:rPr>
              <w:t>下一级环境保护行政主管部门审查意见：</w:t>
            </w:r>
          </w:p>
          <w:p w14:paraId="0AE2A267">
            <w:pPr>
              <w:ind w:firstLine="560"/>
              <w:rPr>
                <w:rFonts w:cs="Times New Roman"/>
                <w:sz w:val="28"/>
                <w:szCs w:val="28"/>
              </w:rPr>
            </w:pPr>
          </w:p>
          <w:p w14:paraId="1A5B01A8">
            <w:pPr>
              <w:ind w:firstLine="560"/>
              <w:rPr>
                <w:rFonts w:cs="Times New Roman"/>
                <w:sz w:val="28"/>
                <w:szCs w:val="28"/>
              </w:rPr>
            </w:pPr>
          </w:p>
          <w:p w14:paraId="22B56431">
            <w:pPr>
              <w:ind w:firstLine="560"/>
              <w:rPr>
                <w:rFonts w:cs="Times New Roman"/>
                <w:sz w:val="28"/>
                <w:szCs w:val="28"/>
              </w:rPr>
            </w:pPr>
          </w:p>
          <w:p w14:paraId="765A7B7D">
            <w:pPr>
              <w:ind w:firstLine="560"/>
              <w:rPr>
                <w:rFonts w:cs="Times New Roman"/>
                <w:sz w:val="28"/>
                <w:szCs w:val="28"/>
              </w:rPr>
            </w:pPr>
          </w:p>
          <w:p w14:paraId="4F2ACD50">
            <w:pPr>
              <w:ind w:firstLine="560"/>
              <w:rPr>
                <w:rFonts w:cs="Times New Roman"/>
                <w:sz w:val="28"/>
                <w:szCs w:val="28"/>
              </w:rPr>
            </w:pPr>
          </w:p>
          <w:p w14:paraId="61C3D3BC">
            <w:pPr>
              <w:ind w:firstLine="560"/>
              <w:rPr>
                <w:rFonts w:cs="Times New Roman"/>
                <w:sz w:val="28"/>
                <w:szCs w:val="28"/>
              </w:rPr>
            </w:pPr>
          </w:p>
          <w:p w14:paraId="4C1D38D5">
            <w:pPr>
              <w:ind w:firstLine="560"/>
              <w:rPr>
                <w:rFonts w:cs="Times New Roman"/>
                <w:sz w:val="28"/>
                <w:szCs w:val="28"/>
              </w:rPr>
            </w:pPr>
          </w:p>
          <w:p w14:paraId="1E78CB50">
            <w:pPr>
              <w:ind w:firstLine="560"/>
              <w:rPr>
                <w:rFonts w:cs="Times New Roman"/>
                <w:sz w:val="28"/>
                <w:szCs w:val="28"/>
              </w:rPr>
            </w:pPr>
          </w:p>
          <w:p w14:paraId="64D5C01C">
            <w:pPr>
              <w:ind w:firstLine="0" w:firstLineChars="0"/>
              <w:rPr>
                <w:rFonts w:cs="Times New Roman"/>
                <w:b/>
                <w:sz w:val="28"/>
                <w:szCs w:val="28"/>
              </w:rPr>
            </w:pPr>
          </w:p>
          <w:p w14:paraId="70088F05">
            <w:pPr>
              <w:ind w:firstLine="6873" w:firstLineChars="2445"/>
              <w:rPr>
                <w:rFonts w:cs="Times New Roman"/>
                <w:b/>
                <w:sz w:val="28"/>
                <w:szCs w:val="28"/>
              </w:rPr>
            </w:pPr>
            <w:r>
              <w:rPr>
                <w:rFonts w:cs="Times New Roman"/>
                <w:b/>
                <w:sz w:val="28"/>
                <w:szCs w:val="28"/>
              </w:rPr>
              <w:t>公   章</w:t>
            </w:r>
          </w:p>
        </w:tc>
      </w:tr>
      <w:tr w14:paraId="162E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04D93FF8">
            <w:pPr>
              <w:ind w:firstLine="0" w:firstLineChars="0"/>
              <w:rPr>
                <w:rFonts w:cs="Times New Roman"/>
                <w:b/>
                <w:sz w:val="28"/>
                <w:szCs w:val="28"/>
              </w:rPr>
            </w:pPr>
          </w:p>
          <w:p w14:paraId="66864E86">
            <w:pPr>
              <w:ind w:firstLine="0" w:firstLineChars="0"/>
              <w:rPr>
                <w:rFonts w:cs="Times New Roman"/>
                <w:b/>
                <w:sz w:val="28"/>
                <w:szCs w:val="28"/>
              </w:rPr>
            </w:pPr>
            <w:r>
              <w:rPr>
                <w:rFonts w:cs="Times New Roman"/>
                <w:b/>
                <w:sz w:val="28"/>
                <w:szCs w:val="28"/>
              </w:rPr>
              <w:t>审批意见：</w:t>
            </w:r>
          </w:p>
          <w:p w14:paraId="65AA02D0">
            <w:pPr>
              <w:ind w:firstLine="560"/>
              <w:rPr>
                <w:rFonts w:cs="Times New Roman"/>
                <w:sz w:val="28"/>
                <w:szCs w:val="28"/>
              </w:rPr>
            </w:pPr>
          </w:p>
          <w:p w14:paraId="155A715E">
            <w:pPr>
              <w:ind w:firstLine="560"/>
              <w:rPr>
                <w:rFonts w:cs="Times New Roman"/>
                <w:sz w:val="28"/>
                <w:szCs w:val="28"/>
              </w:rPr>
            </w:pPr>
          </w:p>
          <w:p w14:paraId="61C549FF">
            <w:pPr>
              <w:ind w:firstLine="560"/>
              <w:rPr>
                <w:rFonts w:cs="Times New Roman"/>
                <w:sz w:val="28"/>
                <w:szCs w:val="28"/>
              </w:rPr>
            </w:pPr>
          </w:p>
          <w:p w14:paraId="19742CCC">
            <w:pPr>
              <w:ind w:firstLine="560"/>
              <w:rPr>
                <w:rFonts w:cs="Times New Roman"/>
                <w:sz w:val="28"/>
                <w:szCs w:val="28"/>
              </w:rPr>
            </w:pPr>
          </w:p>
          <w:p w14:paraId="30E32A71">
            <w:pPr>
              <w:ind w:firstLine="560"/>
              <w:rPr>
                <w:rFonts w:cs="Times New Roman"/>
                <w:sz w:val="28"/>
                <w:szCs w:val="28"/>
              </w:rPr>
            </w:pPr>
          </w:p>
          <w:p w14:paraId="5A2D89C2">
            <w:pPr>
              <w:ind w:firstLine="560"/>
              <w:rPr>
                <w:rFonts w:cs="Times New Roman"/>
                <w:sz w:val="28"/>
                <w:szCs w:val="28"/>
              </w:rPr>
            </w:pPr>
          </w:p>
          <w:p w14:paraId="7A928CFA">
            <w:pPr>
              <w:ind w:firstLine="560"/>
              <w:rPr>
                <w:rFonts w:cs="Times New Roman"/>
                <w:sz w:val="28"/>
                <w:szCs w:val="28"/>
              </w:rPr>
            </w:pPr>
          </w:p>
          <w:p w14:paraId="358F598C">
            <w:pPr>
              <w:ind w:firstLine="560"/>
              <w:rPr>
                <w:rFonts w:cs="Times New Roman"/>
                <w:sz w:val="28"/>
                <w:szCs w:val="28"/>
              </w:rPr>
            </w:pPr>
          </w:p>
          <w:p w14:paraId="745C8923">
            <w:pPr>
              <w:ind w:firstLine="560"/>
              <w:rPr>
                <w:rFonts w:cs="Times New Roman"/>
                <w:sz w:val="28"/>
                <w:szCs w:val="28"/>
              </w:rPr>
            </w:pPr>
          </w:p>
          <w:p w14:paraId="640F082C">
            <w:pPr>
              <w:ind w:firstLine="560"/>
              <w:rPr>
                <w:rFonts w:cs="Times New Roman"/>
                <w:sz w:val="28"/>
                <w:szCs w:val="28"/>
              </w:rPr>
            </w:pPr>
          </w:p>
          <w:p w14:paraId="6E42524C">
            <w:pPr>
              <w:ind w:firstLine="560"/>
              <w:rPr>
                <w:rFonts w:cs="Times New Roman"/>
                <w:sz w:val="28"/>
                <w:szCs w:val="28"/>
              </w:rPr>
            </w:pPr>
          </w:p>
          <w:p w14:paraId="76AF2945">
            <w:pPr>
              <w:ind w:firstLine="560"/>
              <w:rPr>
                <w:rFonts w:cs="Times New Roman"/>
                <w:sz w:val="28"/>
                <w:szCs w:val="28"/>
              </w:rPr>
            </w:pPr>
          </w:p>
          <w:p w14:paraId="5AF16ECD">
            <w:pPr>
              <w:ind w:firstLine="560"/>
              <w:rPr>
                <w:rFonts w:cs="Times New Roman"/>
                <w:sz w:val="28"/>
                <w:szCs w:val="28"/>
              </w:rPr>
            </w:pPr>
          </w:p>
          <w:p w14:paraId="1F548ED3">
            <w:pPr>
              <w:ind w:firstLine="560"/>
              <w:rPr>
                <w:rFonts w:cs="Times New Roman"/>
                <w:sz w:val="28"/>
                <w:szCs w:val="28"/>
              </w:rPr>
            </w:pPr>
          </w:p>
          <w:p w14:paraId="47A966D3">
            <w:pPr>
              <w:ind w:firstLine="560"/>
              <w:rPr>
                <w:rFonts w:cs="Times New Roman"/>
                <w:sz w:val="28"/>
                <w:szCs w:val="28"/>
              </w:rPr>
            </w:pPr>
          </w:p>
          <w:p w14:paraId="50A730A7">
            <w:pPr>
              <w:ind w:firstLine="560"/>
              <w:rPr>
                <w:rFonts w:cs="Times New Roman"/>
                <w:sz w:val="28"/>
                <w:szCs w:val="28"/>
              </w:rPr>
            </w:pPr>
          </w:p>
          <w:p w14:paraId="66792B6E">
            <w:pPr>
              <w:ind w:firstLine="480"/>
              <w:rPr>
                <w:rFonts w:cs="Times New Roman"/>
                <w:szCs w:val="21"/>
              </w:rPr>
            </w:pPr>
          </w:p>
          <w:p w14:paraId="4F491BE4">
            <w:pPr>
              <w:ind w:firstLine="480"/>
              <w:rPr>
                <w:rFonts w:cs="Times New Roman"/>
                <w:szCs w:val="21"/>
              </w:rPr>
            </w:pPr>
          </w:p>
          <w:p w14:paraId="3BE039E2">
            <w:pPr>
              <w:ind w:firstLine="6873" w:firstLineChars="2445"/>
              <w:rPr>
                <w:rFonts w:cs="Times New Roman"/>
                <w:b/>
                <w:sz w:val="28"/>
                <w:szCs w:val="28"/>
              </w:rPr>
            </w:pPr>
            <w:r>
              <w:rPr>
                <w:rFonts w:cs="Times New Roman"/>
                <w:b/>
                <w:sz w:val="28"/>
                <w:szCs w:val="28"/>
              </w:rPr>
              <w:t>公   章</w:t>
            </w:r>
          </w:p>
          <w:p w14:paraId="0DDCD271">
            <w:pPr>
              <w:ind w:firstLine="0" w:firstLineChars="0"/>
              <w:rPr>
                <w:rFonts w:cs="Times New Roman"/>
                <w:b/>
                <w:sz w:val="28"/>
                <w:szCs w:val="28"/>
              </w:rPr>
            </w:pPr>
            <w:r>
              <w:rPr>
                <w:rFonts w:cs="Times New Roman"/>
                <w:b/>
                <w:sz w:val="28"/>
                <w:szCs w:val="28"/>
              </w:rPr>
              <w:t>经办人：                                       年   月   日</w:t>
            </w:r>
          </w:p>
        </w:tc>
      </w:tr>
    </w:tbl>
    <w:p w14:paraId="538FA8BE">
      <w:pPr>
        <w:widowControl/>
        <w:spacing w:line="240" w:lineRule="auto"/>
        <w:ind w:firstLine="0" w:firstLineChars="0"/>
        <w:rPr>
          <w:rFonts w:cs="Times New Roman"/>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4276">
    <w:pPr>
      <w:pStyle w:val="14"/>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3611">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8888">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006395"/>
    </w:sdtPr>
    <w:sdtContent>
      <w:p w14:paraId="5FBFB414">
        <w:pPr>
          <w:pStyle w:val="14"/>
          <w:ind w:firstLine="360"/>
          <w:jc w:val="center"/>
        </w:pPr>
        <w:r>
          <w:fldChar w:fldCharType="begin"/>
        </w:r>
        <w:r>
          <w:instrText xml:space="preserve">PAGE   \* MERGEFORMAT</w:instrText>
        </w:r>
        <w:r>
          <w:fldChar w:fldCharType="separate"/>
        </w:r>
        <w:r>
          <w:rPr>
            <w:lang w:val="zh-CN"/>
          </w:rPr>
          <w:t>60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072A">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9F5F">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FA4B">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C3BD0"/>
    <w:multiLevelType w:val="multilevel"/>
    <w:tmpl w:val="025C3BD0"/>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F1F075B"/>
    <w:multiLevelType w:val="multilevel"/>
    <w:tmpl w:val="2F1F075B"/>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3113CCA"/>
    <w:multiLevelType w:val="multilevel"/>
    <w:tmpl w:val="63113CCA"/>
    <w:lvl w:ilvl="0" w:tentative="0">
      <w:start w:val="1"/>
      <w:numFmt w:val="none"/>
      <w:lvlText w:val="一、"/>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xYWVjZjFkYTJkNzI5ZDNmMjNjYTE4YTEwNTQ2OTUifQ=="/>
  </w:docVars>
  <w:rsids>
    <w:rsidRoot w:val="002548C0"/>
    <w:rsid w:val="00000837"/>
    <w:rsid w:val="00000CA0"/>
    <w:rsid w:val="00001315"/>
    <w:rsid w:val="00001EBF"/>
    <w:rsid w:val="00002938"/>
    <w:rsid w:val="00002C15"/>
    <w:rsid w:val="00003ACE"/>
    <w:rsid w:val="000051A9"/>
    <w:rsid w:val="00005B7E"/>
    <w:rsid w:val="00007EED"/>
    <w:rsid w:val="00010E59"/>
    <w:rsid w:val="00011435"/>
    <w:rsid w:val="000134C8"/>
    <w:rsid w:val="00014214"/>
    <w:rsid w:val="00014677"/>
    <w:rsid w:val="00015FCD"/>
    <w:rsid w:val="00017EEF"/>
    <w:rsid w:val="00020788"/>
    <w:rsid w:val="000219CB"/>
    <w:rsid w:val="0002252F"/>
    <w:rsid w:val="000241E9"/>
    <w:rsid w:val="00024DDE"/>
    <w:rsid w:val="0002541F"/>
    <w:rsid w:val="00026159"/>
    <w:rsid w:val="00026614"/>
    <w:rsid w:val="00026CA5"/>
    <w:rsid w:val="00027403"/>
    <w:rsid w:val="00030A61"/>
    <w:rsid w:val="00031110"/>
    <w:rsid w:val="000315AF"/>
    <w:rsid w:val="00031F7F"/>
    <w:rsid w:val="00032204"/>
    <w:rsid w:val="0003253D"/>
    <w:rsid w:val="0003466A"/>
    <w:rsid w:val="00034DDC"/>
    <w:rsid w:val="000412CC"/>
    <w:rsid w:val="00041FC8"/>
    <w:rsid w:val="00042E40"/>
    <w:rsid w:val="00043751"/>
    <w:rsid w:val="0004447F"/>
    <w:rsid w:val="000448CE"/>
    <w:rsid w:val="0004579F"/>
    <w:rsid w:val="00045EA2"/>
    <w:rsid w:val="00047090"/>
    <w:rsid w:val="00047D76"/>
    <w:rsid w:val="00051BBA"/>
    <w:rsid w:val="000529E5"/>
    <w:rsid w:val="0005347C"/>
    <w:rsid w:val="0005466E"/>
    <w:rsid w:val="000553D5"/>
    <w:rsid w:val="00055B13"/>
    <w:rsid w:val="0006183D"/>
    <w:rsid w:val="0006207C"/>
    <w:rsid w:val="000621F2"/>
    <w:rsid w:val="00067A09"/>
    <w:rsid w:val="00072102"/>
    <w:rsid w:val="00073D64"/>
    <w:rsid w:val="0007549B"/>
    <w:rsid w:val="00076397"/>
    <w:rsid w:val="00080685"/>
    <w:rsid w:val="00081819"/>
    <w:rsid w:val="000824A7"/>
    <w:rsid w:val="00082948"/>
    <w:rsid w:val="00082C9D"/>
    <w:rsid w:val="0008398B"/>
    <w:rsid w:val="000844F7"/>
    <w:rsid w:val="0008532F"/>
    <w:rsid w:val="00085793"/>
    <w:rsid w:val="000871EE"/>
    <w:rsid w:val="00087948"/>
    <w:rsid w:val="00087DE8"/>
    <w:rsid w:val="00090AAC"/>
    <w:rsid w:val="000920B8"/>
    <w:rsid w:val="00092450"/>
    <w:rsid w:val="00092C94"/>
    <w:rsid w:val="00095C2B"/>
    <w:rsid w:val="0009768F"/>
    <w:rsid w:val="00097DBE"/>
    <w:rsid w:val="000A13CA"/>
    <w:rsid w:val="000A1F5B"/>
    <w:rsid w:val="000A2BF3"/>
    <w:rsid w:val="000A34A0"/>
    <w:rsid w:val="000A3B55"/>
    <w:rsid w:val="000A4070"/>
    <w:rsid w:val="000A5DCE"/>
    <w:rsid w:val="000B2A61"/>
    <w:rsid w:val="000B2F05"/>
    <w:rsid w:val="000B3B23"/>
    <w:rsid w:val="000B4430"/>
    <w:rsid w:val="000B4711"/>
    <w:rsid w:val="000B5556"/>
    <w:rsid w:val="000B55BD"/>
    <w:rsid w:val="000B592F"/>
    <w:rsid w:val="000B5B25"/>
    <w:rsid w:val="000B7B3D"/>
    <w:rsid w:val="000B7BCB"/>
    <w:rsid w:val="000C058A"/>
    <w:rsid w:val="000C1FC7"/>
    <w:rsid w:val="000C3687"/>
    <w:rsid w:val="000C40DB"/>
    <w:rsid w:val="000C4588"/>
    <w:rsid w:val="000C60EA"/>
    <w:rsid w:val="000C6A83"/>
    <w:rsid w:val="000C7011"/>
    <w:rsid w:val="000D02A1"/>
    <w:rsid w:val="000D103C"/>
    <w:rsid w:val="000D1927"/>
    <w:rsid w:val="000D3494"/>
    <w:rsid w:val="000D46E5"/>
    <w:rsid w:val="000D550B"/>
    <w:rsid w:val="000D7968"/>
    <w:rsid w:val="000E1F06"/>
    <w:rsid w:val="000E336D"/>
    <w:rsid w:val="000E3FBC"/>
    <w:rsid w:val="000E4840"/>
    <w:rsid w:val="000E5A34"/>
    <w:rsid w:val="000E5FDB"/>
    <w:rsid w:val="000E64C9"/>
    <w:rsid w:val="000F1D85"/>
    <w:rsid w:val="000F38FE"/>
    <w:rsid w:val="000F4A7C"/>
    <w:rsid w:val="000F4D1B"/>
    <w:rsid w:val="000F542D"/>
    <w:rsid w:val="000F5C96"/>
    <w:rsid w:val="000F6075"/>
    <w:rsid w:val="000F7FD0"/>
    <w:rsid w:val="00100195"/>
    <w:rsid w:val="00100681"/>
    <w:rsid w:val="00100769"/>
    <w:rsid w:val="00100D97"/>
    <w:rsid w:val="00101C76"/>
    <w:rsid w:val="00102526"/>
    <w:rsid w:val="00103110"/>
    <w:rsid w:val="001044B2"/>
    <w:rsid w:val="00104B41"/>
    <w:rsid w:val="00107F89"/>
    <w:rsid w:val="0011020C"/>
    <w:rsid w:val="001116CA"/>
    <w:rsid w:val="001118A1"/>
    <w:rsid w:val="00112520"/>
    <w:rsid w:val="0011544D"/>
    <w:rsid w:val="00116D07"/>
    <w:rsid w:val="00117DF6"/>
    <w:rsid w:val="00120336"/>
    <w:rsid w:val="00120406"/>
    <w:rsid w:val="00121B8D"/>
    <w:rsid w:val="0012284D"/>
    <w:rsid w:val="0012288D"/>
    <w:rsid w:val="00122EC5"/>
    <w:rsid w:val="00123A72"/>
    <w:rsid w:val="00124523"/>
    <w:rsid w:val="00124F71"/>
    <w:rsid w:val="001252D3"/>
    <w:rsid w:val="00125ABD"/>
    <w:rsid w:val="00127251"/>
    <w:rsid w:val="00127991"/>
    <w:rsid w:val="00127E6E"/>
    <w:rsid w:val="001310F8"/>
    <w:rsid w:val="00132C36"/>
    <w:rsid w:val="001339A3"/>
    <w:rsid w:val="001340F2"/>
    <w:rsid w:val="001366E2"/>
    <w:rsid w:val="001415A2"/>
    <w:rsid w:val="001425A6"/>
    <w:rsid w:val="00145651"/>
    <w:rsid w:val="00145EEB"/>
    <w:rsid w:val="00145FF7"/>
    <w:rsid w:val="00147B16"/>
    <w:rsid w:val="00152DDE"/>
    <w:rsid w:val="00160177"/>
    <w:rsid w:val="00160BC9"/>
    <w:rsid w:val="00160BE4"/>
    <w:rsid w:val="00161430"/>
    <w:rsid w:val="0016251E"/>
    <w:rsid w:val="00163282"/>
    <w:rsid w:val="0016335E"/>
    <w:rsid w:val="00166341"/>
    <w:rsid w:val="00166E60"/>
    <w:rsid w:val="00167624"/>
    <w:rsid w:val="00171784"/>
    <w:rsid w:val="00171A46"/>
    <w:rsid w:val="00171F48"/>
    <w:rsid w:val="0017318C"/>
    <w:rsid w:val="00173526"/>
    <w:rsid w:val="001746B6"/>
    <w:rsid w:val="00174FFD"/>
    <w:rsid w:val="00177F2C"/>
    <w:rsid w:val="0018189D"/>
    <w:rsid w:val="00182625"/>
    <w:rsid w:val="001829B6"/>
    <w:rsid w:val="001835C3"/>
    <w:rsid w:val="001845F4"/>
    <w:rsid w:val="001854E3"/>
    <w:rsid w:val="00186C66"/>
    <w:rsid w:val="001875CF"/>
    <w:rsid w:val="00187CE7"/>
    <w:rsid w:val="00190836"/>
    <w:rsid w:val="0019116B"/>
    <w:rsid w:val="00192677"/>
    <w:rsid w:val="00192C0A"/>
    <w:rsid w:val="00193076"/>
    <w:rsid w:val="001933D8"/>
    <w:rsid w:val="00197B4B"/>
    <w:rsid w:val="00197C06"/>
    <w:rsid w:val="001A0950"/>
    <w:rsid w:val="001A0B40"/>
    <w:rsid w:val="001A0BD4"/>
    <w:rsid w:val="001A1B91"/>
    <w:rsid w:val="001A244A"/>
    <w:rsid w:val="001A28E7"/>
    <w:rsid w:val="001A3C88"/>
    <w:rsid w:val="001A44D3"/>
    <w:rsid w:val="001A4D29"/>
    <w:rsid w:val="001A5C81"/>
    <w:rsid w:val="001A64F0"/>
    <w:rsid w:val="001A6E9A"/>
    <w:rsid w:val="001B226F"/>
    <w:rsid w:val="001B2C13"/>
    <w:rsid w:val="001B3D3E"/>
    <w:rsid w:val="001B4E31"/>
    <w:rsid w:val="001B4F79"/>
    <w:rsid w:val="001B52CE"/>
    <w:rsid w:val="001B697A"/>
    <w:rsid w:val="001C0388"/>
    <w:rsid w:val="001C1CB0"/>
    <w:rsid w:val="001C5864"/>
    <w:rsid w:val="001C5BDB"/>
    <w:rsid w:val="001C7022"/>
    <w:rsid w:val="001D1908"/>
    <w:rsid w:val="001D3B4F"/>
    <w:rsid w:val="001D3BED"/>
    <w:rsid w:val="001D404A"/>
    <w:rsid w:val="001D4DB7"/>
    <w:rsid w:val="001D6690"/>
    <w:rsid w:val="001D6C42"/>
    <w:rsid w:val="001D786C"/>
    <w:rsid w:val="001D7FB1"/>
    <w:rsid w:val="001E01CB"/>
    <w:rsid w:val="001E109F"/>
    <w:rsid w:val="001E4A1A"/>
    <w:rsid w:val="001E7627"/>
    <w:rsid w:val="001E7C45"/>
    <w:rsid w:val="001F0A61"/>
    <w:rsid w:val="001F0C21"/>
    <w:rsid w:val="001F1338"/>
    <w:rsid w:val="001F18DE"/>
    <w:rsid w:val="001F1BB8"/>
    <w:rsid w:val="001F2185"/>
    <w:rsid w:val="001F27BD"/>
    <w:rsid w:val="001F6635"/>
    <w:rsid w:val="001F72AB"/>
    <w:rsid w:val="002032DF"/>
    <w:rsid w:val="00204204"/>
    <w:rsid w:val="00204D83"/>
    <w:rsid w:val="00205470"/>
    <w:rsid w:val="002071F7"/>
    <w:rsid w:val="00210AE7"/>
    <w:rsid w:val="00210C34"/>
    <w:rsid w:val="00215D7D"/>
    <w:rsid w:val="002162EF"/>
    <w:rsid w:val="00216D7C"/>
    <w:rsid w:val="00216DD7"/>
    <w:rsid w:val="002176EF"/>
    <w:rsid w:val="002207A8"/>
    <w:rsid w:val="002215EC"/>
    <w:rsid w:val="00221D60"/>
    <w:rsid w:val="002226FD"/>
    <w:rsid w:val="00223355"/>
    <w:rsid w:val="00223D88"/>
    <w:rsid w:val="00227896"/>
    <w:rsid w:val="002303B6"/>
    <w:rsid w:val="0023065B"/>
    <w:rsid w:val="002315BC"/>
    <w:rsid w:val="002318C3"/>
    <w:rsid w:val="00231E27"/>
    <w:rsid w:val="002342D4"/>
    <w:rsid w:val="002343BC"/>
    <w:rsid w:val="002362A2"/>
    <w:rsid w:val="00236838"/>
    <w:rsid w:val="0023783B"/>
    <w:rsid w:val="0024081E"/>
    <w:rsid w:val="002414B0"/>
    <w:rsid w:val="00241800"/>
    <w:rsid w:val="00241959"/>
    <w:rsid w:val="00242C7C"/>
    <w:rsid w:val="0024452C"/>
    <w:rsid w:val="00244B0F"/>
    <w:rsid w:val="0024518A"/>
    <w:rsid w:val="0024566A"/>
    <w:rsid w:val="00245EB6"/>
    <w:rsid w:val="00246A98"/>
    <w:rsid w:val="00246DD3"/>
    <w:rsid w:val="0024734A"/>
    <w:rsid w:val="002475D2"/>
    <w:rsid w:val="00247FD3"/>
    <w:rsid w:val="00250C6C"/>
    <w:rsid w:val="00251771"/>
    <w:rsid w:val="00252048"/>
    <w:rsid w:val="0025321D"/>
    <w:rsid w:val="0025460A"/>
    <w:rsid w:val="002548C0"/>
    <w:rsid w:val="00254CD6"/>
    <w:rsid w:val="00255343"/>
    <w:rsid w:val="002559DA"/>
    <w:rsid w:val="00256F97"/>
    <w:rsid w:val="00257BAA"/>
    <w:rsid w:val="00260A98"/>
    <w:rsid w:val="00261D58"/>
    <w:rsid w:val="00261D89"/>
    <w:rsid w:val="00265429"/>
    <w:rsid w:val="0026660E"/>
    <w:rsid w:val="00266D81"/>
    <w:rsid w:val="0027008E"/>
    <w:rsid w:val="00270D56"/>
    <w:rsid w:val="00270F03"/>
    <w:rsid w:val="00273CEF"/>
    <w:rsid w:val="00273E68"/>
    <w:rsid w:val="00273F9F"/>
    <w:rsid w:val="00275D82"/>
    <w:rsid w:val="002763BB"/>
    <w:rsid w:val="0027704E"/>
    <w:rsid w:val="00277BBC"/>
    <w:rsid w:val="00280D5B"/>
    <w:rsid w:val="00282202"/>
    <w:rsid w:val="00282607"/>
    <w:rsid w:val="002834B4"/>
    <w:rsid w:val="002839DA"/>
    <w:rsid w:val="00285ABA"/>
    <w:rsid w:val="00285B30"/>
    <w:rsid w:val="0029024C"/>
    <w:rsid w:val="00292867"/>
    <w:rsid w:val="00293B6A"/>
    <w:rsid w:val="00293F18"/>
    <w:rsid w:val="0029432E"/>
    <w:rsid w:val="00294A04"/>
    <w:rsid w:val="00294FE8"/>
    <w:rsid w:val="002A156B"/>
    <w:rsid w:val="002A1764"/>
    <w:rsid w:val="002A222E"/>
    <w:rsid w:val="002A23FB"/>
    <w:rsid w:val="002A24F0"/>
    <w:rsid w:val="002A29F0"/>
    <w:rsid w:val="002A5C7B"/>
    <w:rsid w:val="002A7982"/>
    <w:rsid w:val="002A7E79"/>
    <w:rsid w:val="002B742A"/>
    <w:rsid w:val="002C0DEC"/>
    <w:rsid w:val="002C1892"/>
    <w:rsid w:val="002C7C41"/>
    <w:rsid w:val="002D1E46"/>
    <w:rsid w:val="002D238B"/>
    <w:rsid w:val="002D26E8"/>
    <w:rsid w:val="002D312E"/>
    <w:rsid w:val="002D3A85"/>
    <w:rsid w:val="002D41B8"/>
    <w:rsid w:val="002D499F"/>
    <w:rsid w:val="002D4BF4"/>
    <w:rsid w:val="002D5C9B"/>
    <w:rsid w:val="002D7515"/>
    <w:rsid w:val="002E065C"/>
    <w:rsid w:val="002E1E34"/>
    <w:rsid w:val="002E45AC"/>
    <w:rsid w:val="002E4FAA"/>
    <w:rsid w:val="002E5290"/>
    <w:rsid w:val="002E574A"/>
    <w:rsid w:val="002E6A81"/>
    <w:rsid w:val="002E78F0"/>
    <w:rsid w:val="002E7CCB"/>
    <w:rsid w:val="002E7FB2"/>
    <w:rsid w:val="002F1B3A"/>
    <w:rsid w:val="002F305E"/>
    <w:rsid w:val="002F4F47"/>
    <w:rsid w:val="002F593F"/>
    <w:rsid w:val="002F603F"/>
    <w:rsid w:val="002F7992"/>
    <w:rsid w:val="003032A3"/>
    <w:rsid w:val="00303559"/>
    <w:rsid w:val="00306DF9"/>
    <w:rsid w:val="003119E5"/>
    <w:rsid w:val="00311B85"/>
    <w:rsid w:val="00311E0C"/>
    <w:rsid w:val="00312C1C"/>
    <w:rsid w:val="00313A6B"/>
    <w:rsid w:val="00314B63"/>
    <w:rsid w:val="0031644B"/>
    <w:rsid w:val="003171A5"/>
    <w:rsid w:val="00317225"/>
    <w:rsid w:val="00321CC0"/>
    <w:rsid w:val="00323E2A"/>
    <w:rsid w:val="003260C0"/>
    <w:rsid w:val="00326789"/>
    <w:rsid w:val="00330327"/>
    <w:rsid w:val="003307A1"/>
    <w:rsid w:val="00331627"/>
    <w:rsid w:val="00331BCB"/>
    <w:rsid w:val="00335307"/>
    <w:rsid w:val="00335980"/>
    <w:rsid w:val="00335B0B"/>
    <w:rsid w:val="00337F8F"/>
    <w:rsid w:val="0034572F"/>
    <w:rsid w:val="00346D63"/>
    <w:rsid w:val="00347050"/>
    <w:rsid w:val="00350622"/>
    <w:rsid w:val="00350743"/>
    <w:rsid w:val="0035216A"/>
    <w:rsid w:val="00353291"/>
    <w:rsid w:val="00353CC5"/>
    <w:rsid w:val="00353F29"/>
    <w:rsid w:val="003542E4"/>
    <w:rsid w:val="00354BCC"/>
    <w:rsid w:val="00354D97"/>
    <w:rsid w:val="0035573C"/>
    <w:rsid w:val="00355F77"/>
    <w:rsid w:val="00360C85"/>
    <w:rsid w:val="00361054"/>
    <w:rsid w:val="0036225C"/>
    <w:rsid w:val="00365E87"/>
    <w:rsid w:val="00367FA4"/>
    <w:rsid w:val="0037117F"/>
    <w:rsid w:val="00371399"/>
    <w:rsid w:val="00372E2E"/>
    <w:rsid w:val="00373B53"/>
    <w:rsid w:val="003757BF"/>
    <w:rsid w:val="003758C9"/>
    <w:rsid w:val="00375D70"/>
    <w:rsid w:val="0037663D"/>
    <w:rsid w:val="00376974"/>
    <w:rsid w:val="0037757D"/>
    <w:rsid w:val="003801B7"/>
    <w:rsid w:val="00380612"/>
    <w:rsid w:val="0038064C"/>
    <w:rsid w:val="00380986"/>
    <w:rsid w:val="00380DC3"/>
    <w:rsid w:val="00381B12"/>
    <w:rsid w:val="00384A79"/>
    <w:rsid w:val="003873BF"/>
    <w:rsid w:val="003873FE"/>
    <w:rsid w:val="00387C91"/>
    <w:rsid w:val="003908C8"/>
    <w:rsid w:val="0039141E"/>
    <w:rsid w:val="00393260"/>
    <w:rsid w:val="00395A31"/>
    <w:rsid w:val="00396677"/>
    <w:rsid w:val="00396E78"/>
    <w:rsid w:val="003970F1"/>
    <w:rsid w:val="003A3068"/>
    <w:rsid w:val="003A310D"/>
    <w:rsid w:val="003A3230"/>
    <w:rsid w:val="003A5A15"/>
    <w:rsid w:val="003A744B"/>
    <w:rsid w:val="003A7582"/>
    <w:rsid w:val="003B0D69"/>
    <w:rsid w:val="003B3FE4"/>
    <w:rsid w:val="003B584D"/>
    <w:rsid w:val="003B5B32"/>
    <w:rsid w:val="003C0561"/>
    <w:rsid w:val="003C0CF4"/>
    <w:rsid w:val="003C3F17"/>
    <w:rsid w:val="003C3F2D"/>
    <w:rsid w:val="003C4100"/>
    <w:rsid w:val="003C6337"/>
    <w:rsid w:val="003C6A47"/>
    <w:rsid w:val="003C6D3E"/>
    <w:rsid w:val="003C6E07"/>
    <w:rsid w:val="003C71A2"/>
    <w:rsid w:val="003D1211"/>
    <w:rsid w:val="003D1FF5"/>
    <w:rsid w:val="003D271F"/>
    <w:rsid w:val="003D2FF9"/>
    <w:rsid w:val="003D426A"/>
    <w:rsid w:val="003D5B7B"/>
    <w:rsid w:val="003D5D8E"/>
    <w:rsid w:val="003E1AF8"/>
    <w:rsid w:val="003E3BCA"/>
    <w:rsid w:val="003E4E51"/>
    <w:rsid w:val="003E542E"/>
    <w:rsid w:val="003E6CC0"/>
    <w:rsid w:val="003E77AD"/>
    <w:rsid w:val="003F00D3"/>
    <w:rsid w:val="003F1013"/>
    <w:rsid w:val="003F2ADA"/>
    <w:rsid w:val="003F2BAE"/>
    <w:rsid w:val="003F3C54"/>
    <w:rsid w:val="003F4F36"/>
    <w:rsid w:val="00400D3B"/>
    <w:rsid w:val="0040297A"/>
    <w:rsid w:val="0040297E"/>
    <w:rsid w:val="00402B30"/>
    <w:rsid w:val="00404258"/>
    <w:rsid w:val="004052DE"/>
    <w:rsid w:val="004076A1"/>
    <w:rsid w:val="00407824"/>
    <w:rsid w:val="0041010D"/>
    <w:rsid w:val="00411E44"/>
    <w:rsid w:val="004124BB"/>
    <w:rsid w:val="00412F42"/>
    <w:rsid w:val="00417908"/>
    <w:rsid w:val="004212FB"/>
    <w:rsid w:val="00421381"/>
    <w:rsid w:val="004223B0"/>
    <w:rsid w:val="00424D95"/>
    <w:rsid w:val="0042605E"/>
    <w:rsid w:val="0042736C"/>
    <w:rsid w:val="00430BDD"/>
    <w:rsid w:val="00430D79"/>
    <w:rsid w:val="00434A5C"/>
    <w:rsid w:val="00434DD9"/>
    <w:rsid w:val="00435E50"/>
    <w:rsid w:val="00436272"/>
    <w:rsid w:val="004371BE"/>
    <w:rsid w:val="00437274"/>
    <w:rsid w:val="00441636"/>
    <w:rsid w:val="00441740"/>
    <w:rsid w:val="004431C5"/>
    <w:rsid w:val="00447095"/>
    <w:rsid w:val="00447479"/>
    <w:rsid w:val="00452BE4"/>
    <w:rsid w:val="00452E3C"/>
    <w:rsid w:val="004532FC"/>
    <w:rsid w:val="00455EB2"/>
    <w:rsid w:val="00457054"/>
    <w:rsid w:val="004575D8"/>
    <w:rsid w:val="0045778F"/>
    <w:rsid w:val="00460296"/>
    <w:rsid w:val="00460515"/>
    <w:rsid w:val="00464700"/>
    <w:rsid w:val="004648A9"/>
    <w:rsid w:val="00464CBC"/>
    <w:rsid w:val="004669F2"/>
    <w:rsid w:val="004723C1"/>
    <w:rsid w:val="0047256F"/>
    <w:rsid w:val="0047374F"/>
    <w:rsid w:val="00473ADB"/>
    <w:rsid w:val="00473CEE"/>
    <w:rsid w:val="004754E3"/>
    <w:rsid w:val="00476E25"/>
    <w:rsid w:val="0047738E"/>
    <w:rsid w:val="004774C0"/>
    <w:rsid w:val="004811A9"/>
    <w:rsid w:val="004814B4"/>
    <w:rsid w:val="00481C47"/>
    <w:rsid w:val="0048217B"/>
    <w:rsid w:val="00482466"/>
    <w:rsid w:val="00482D90"/>
    <w:rsid w:val="00482EBD"/>
    <w:rsid w:val="004838A3"/>
    <w:rsid w:val="00483DA4"/>
    <w:rsid w:val="004840B0"/>
    <w:rsid w:val="004844D0"/>
    <w:rsid w:val="00485300"/>
    <w:rsid w:val="004858A4"/>
    <w:rsid w:val="00485B21"/>
    <w:rsid w:val="0049081B"/>
    <w:rsid w:val="00491415"/>
    <w:rsid w:val="00491BE1"/>
    <w:rsid w:val="004921BD"/>
    <w:rsid w:val="0049286E"/>
    <w:rsid w:val="00492950"/>
    <w:rsid w:val="00494F79"/>
    <w:rsid w:val="004A0DE9"/>
    <w:rsid w:val="004A1258"/>
    <w:rsid w:val="004A35A4"/>
    <w:rsid w:val="004A6FD1"/>
    <w:rsid w:val="004B31C2"/>
    <w:rsid w:val="004B3D54"/>
    <w:rsid w:val="004B5DC4"/>
    <w:rsid w:val="004B68F4"/>
    <w:rsid w:val="004C1084"/>
    <w:rsid w:val="004C17EB"/>
    <w:rsid w:val="004C2BC2"/>
    <w:rsid w:val="004C30FC"/>
    <w:rsid w:val="004C4C91"/>
    <w:rsid w:val="004C4DF0"/>
    <w:rsid w:val="004C58CD"/>
    <w:rsid w:val="004C5C1C"/>
    <w:rsid w:val="004C608C"/>
    <w:rsid w:val="004D052C"/>
    <w:rsid w:val="004D079F"/>
    <w:rsid w:val="004D2A93"/>
    <w:rsid w:val="004D2E70"/>
    <w:rsid w:val="004D2FD9"/>
    <w:rsid w:val="004D31BA"/>
    <w:rsid w:val="004D35EC"/>
    <w:rsid w:val="004D3D0B"/>
    <w:rsid w:val="004D5D2F"/>
    <w:rsid w:val="004D74E2"/>
    <w:rsid w:val="004D767A"/>
    <w:rsid w:val="004E1612"/>
    <w:rsid w:val="004E256B"/>
    <w:rsid w:val="004E2620"/>
    <w:rsid w:val="004E426D"/>
    <w:rsid w:val="004E53B1"/>
    <w:rsid w:val="004E6C39"/>
    <w:rsid w:val="004E7507"/>
    <w:rsid w:val="004E760B"/>
    <w:rsid w:val="004F0735"/>
    <w:rsid w:val="004F2AA1"/>
    <w:rsid w:val="004F61B6"/>
    <w:rsid w:val="004F6E8B"/>
    <w:rsid w:val="004F7B04"/>
    <w:rsid w:val="00502188"/>
    <w:rsid w:val="005034BA"/>
    <w:rsid w:val="00504793"/>
    <w:rsid w:val="0050517C"/>
    <w:rsid w:val="00506105"/>
    <w:rsid w:val="00506128"/>
    <w:rsid w:val="0050613F"/>
    <w:rsid w:val="00507EFC"/>
    <w:rsid w:val="005100FB"/>
    <w:rsid w:val="0051050E"/>
    <w:rsid w:val="00512E49"/>
    <w:rsid w:val="00512F3D"/>
    <w:rsid w:val="00513A63"/>
    <w:rsid w:val="005152B1"/>
    <w:rsid w:val="00516005"/>
    <w:rsid w:val="00516492"/>
    <w:rsid w:val="00521379"/>
    <w:rsid w:val="00523CCD"/>
    <w:rsid w:val="00524A63"/>
    <w:rsid w:val="00530294"/>
    <w:rsid w:val="00530737"/>
    <w:rsid w:val="00531429"/>
    <w:rsid w:val="00532380"/>
    <w:rsid w:val="00532DF0"/>
    <w:rsid w:val="00533427"/>
    <w:rsid w:val="0053367F"/>
    <w:rsid w:val="005338FB"/>
    <w:rsid w:val="0053461B"/>
    <w:rsid w:val="00535278"/>
    <w:rsid w:val="00535DE0"/>
    <w:rsid w:val="005360BF"/>
    <w:rsid w:val="005360E5"/>
    <w:rsid w:val="00536CBD"/>
    <w:rsid w:val="00540F31"/>
    <w:rsid w:val="00541C6C"/>
    <w:rsid w:val="00542521"/>
    <w:rsid w:val="0054336D"/>
    <w:rsid w:val="0054414A"/>
    <w:rsid w:val="005444C1"/>
    <w:rsid w:val="005473C9"/>
    <w:rsid w:val="00547FCB"/>
    <w:rsid w:val="0055109A"/>
    <w:rsid w:val="00551C92"/>
    <w:rsid w:val="00552CC8"/>
    <w:rsid w:val="005551A0"/>
    <w:rsid w:val="005625AE"/>
    <w:rsid w:val="00564E87"/>
    <w:rsid w:val="005707FA"/>
    <w:rsid w:val="00570FFF"/>
    <w:rsid w:val="00572B6E"/>
    <w:rsid w:val="00572C76"/>
    <w:rsid w:val="005732E2"/>
    <w:rsid w:val="0057468B"/>
    <w:rsid w:val="0057673B"/>
    <w:rsid w:val="0057792B"/>
    <w:rsid w:val="0058114C"/>
    <w:rsid w:val="0058560B"/>
    <w:rsid w:val="00586E00"/>
    <w:rsid w:val="00587682"/>
    <w:rsid w:val="00587DEE"/>
    <w:rsid w:val="00590DD7"/>
    <w:rsid w:val="00591263"/>
    <w:rsid w:val="00592912"/>
    <w:rsid w:val="00592DCB"/>
    <w:rsid w:val="00592F8E"/>
    <w:rsid w:val="00593D24"/>
    <w:rsid w:val="00593E32"/>
    <w:rsid w:val="005946A2"/>
    <w:rsid w:val="00594D3D"/>
    <w:rsid w:val="00594FDC"/>
    <w:rsid w:val="00595FBF"/>
    <w:rsid w:val="00596B72"/>
    <w:rsid w:val="00597A0F"/>
    <w:rsid w:val="005A085F"/>
    <w:rsid w:val="005A2C09"/>
    <w:rsid w:val="005A5F07"/>
    <w:rsid w:val="005A6EFF"/>
    <w:rsid w:val="005A744B"/>
    <w:rsid w:val="005B04E1"/>
    <w:rsid w:val="005B2841"/>
    <w:rsid w:val="005B2863"/>
    <w:rsid w:val="005B5516"/>
    <w:rsid w:val="005B599F"/>
    <w:rsid w:val="005C0D23"/>
    <w:rsid w:val="005C13ED"/>
    <w:rsid w:val="005C141F"/>
    <w:rsid w:val="005C16D0"/>
    <w:rsid w:val="005C28C3"/>
    <w:rsid w:val="005C2B6D"/>
    <w:rsid w:val="005C46D2"/>
    <w:rsid w:val="005C471B"/>
    <w:rsid w:val="005C52E3"/>
    <w:rsid w:val="005C56F8"/>
    <w:rsid w:val="005C5B48"/>
    <w:rsid w:val="005C6B91"/>
    <w:rsid w:val="005C7D76"/>
    <w:rsid w:val="005D04AE"/>
    <w:rsid w:val="005D0A02"/>
    <w:rsid w:val="005D0B3B"/>
    <w:rsid w:val="005D36B2"/>
    <w:rsid w:val="005D64E2"/>
    <w:rsid w:val="005D76B7"/>
    <w:rsid w:val="005E1F36"/>
    <w:rsid w:val="005E2259"/>
    <w:rsid w:val="005E299D"/>
    <w:rsid w:val="005E2DD4"/>
    <w:rsid w:val="005E31D0"/>
    <w:rsid w:val="005E33F9"/>
    <w:rsid w:val="005E37EF"/>
    <w:rsid w:val="005E41E9"/>
    <w:rsid w:val="005E5C6C"/>
    <w:rsid w:val="005E635B"/>
    <w:rsid w:val="005E6645"/>
    <w:rsid w:val="005E6E32"/>
    <w:rsid w:val="005E794D"/>
    <w:rsid w:val="005F0212"/>
    <w:rsid w:val="005F0248"/>
    <w:rsid w:val="005F0982"/>
    <w:rsid w:val="005F225F"/>
    <w:rsid w:val="005F24A9"/>
    <w:rsid w:val="005F5B91"/>
    <w:rsid w:val="005F5C04"/>
    <w:rsid w:val="005F5DE2"/>
    <w:rsid w:val="005F5FB4"/>
    <w:rsid w:val="005F7A9D"/>
    <w:rsid w:val="00601471"/>
    <w:rsid w:val="0060169F"/>
    <w:rsid w:val="006019D7"/>
    <w:rsid w:val="00601D78"/>
    <w:rsid w:val="00603A3A"/>
    <w:rsid w:val="00603EA6"/>
    <w:rsid w:val="006042BE"/>
    <w:rsid w:val="00606F0F"/>
    <w:rsid w:val="0061383E"/>
    <w:rsid w:val="0061446C"/>
    <w:rsid w:val="00614902"/>
    <w:rsid w:val="00614E2B"/>
    <w:rsid w:val="006156F6"/>
    <w:rsid w:val="00615C8B"/>
    <w:rsid w:val="00615F33"/>
    <w:rsid w:val="00616102"/>
    <w:rsid w:val="00616342"/>
    <w:rsid w:val="006201B6"/>
    <w:rsid w:val="00621E1A"/>
    <w:rsid w:val="00624EF9"/>
    <w:rsid w:val="006262E8"/>
    <w:rsid w:val="00626B1F"/>
    <w:rsid w:val="006303C6"/>
    <w:rsid w:val="00630AC6"/>
    <w:rsid w:val="006325A7"/>
    <w:rsid w:val="006329E0"/>
    <w:rsid w:val="00632F56"/>
    <w:rsid w:val="00633FA8"/>
    <w:rsid w:val="00634261"/>
    <w:rsid w:val="006352F4"/>
    <w:rsid w:val="00637FD8"/>
    <w:rsid w:val="006409CD"/>
    <w:rsid w:val="00645EA9"/>
    <w:rsid w:val="00646A24"/>
    <w:rsid w:val="006511C2"/>
    <w:rsid w:val="006514CC"/>
    <w:rsid w:val="00651D95"/>
    <w:rsid w:val="00651E46"/>
    <w:rsid w:val="0065270B"/>
    <w:rsid w:val="00653C75"/>
    <w:rsid w:val="00654A02"/>
    <w:rsid w:val="0065553C"/>
    <w:rsid w:val="00655E15"/>
    <w:rsid w:val="00657C5B"/>
    <w:rsid w:val="00660534"/>
    <w:rsid w:val="00661405"/>
    <w:rsid w:val="0066178A"/>
    <w:rsid w:val="00663A5D"/>
    <w:rsid w:val="0066407A"/>
    <w:rsid w:val="0066523A"/>
    <w:rsid w:val="006654F0"/>
    <w:rsid w:val="0066595C"/>
    <w:rsid w:val="0066612E"/>
    <w:rsid w:val="006673C4"/>
    <w:rsid w:val="0067039B"/>
    <w:rsid w:val="00670C98"/>
    <w:rsid w:val="0067189D"/>
    <w:rsid w:val="0067231C"/>
    <w:rsid w:val="00672D67"/>
    <w:rsid w:val="006731CB"/>
    <w:rsid w:val="00674E28"/>
    <w:rsid w:val="00676A1F"/>
    <w:rsid w:val="00677351"/>
    <w:rsid w:val="0068138E"/>
    <w:rsid w:val="00681DA5"/>
    <w:rsid w:val="00682132"/>
    <w:rsid w:val="0068291B"/>
    <w:rsid w:val="006830D4"/>
    <w:rsid w:val="00683399"/>
    <w:rsid w:val="0068514C"/>
    <w:rsid w:val="00685C77"/>
    <w:rsid w:val="00687A95"/>
    <w:rsid w:val="00687AC1"/>
    <w:rsid w:val="006903A2"/>
    <w:rsid w:val="00692777"/>
    <w:rsid w:val="00693AB7"/>
    <w:rsid w:val="00695EE8"/>
    <w:rsid w:val="00695FBF"/>
    <w:rsid w:val="0069666D"/>
    <w:rsid w:val="0069702D"/>
    <w:rsid w:val="006A0421"/>
    <w:rsid w:val="006A2791"/>
    <w:rsid w:val="006A28CC"/>
    <w:rsid w:val="006A2EA8"/>
    <w:rsid w:val="006A30CE"/>
    <w:rsid w:val="006A4019"/>
    <w:rsid w:val="006A40F1"/>
    <w:rsid w:val="006A4962"/>
    <w:rsid w:val="006A4CDF"/>
    <w:rsid w:val="006A5520"/>
    <w:rsid w:val="006A70B1"/>
    <w:rsid w:val="006A79CD"/>
    <w:rsid w:val="006B3C0E"/>
    <w:rsid w:val="006B3EC9"/>
    <w:rsid w:val="006B3F8F"/>
    <w:rsid w:val="006B4BD6"/>
    <w:rsid w:val="006B51A3"/>
    <w:rsid w:val="006B5733"/>
    <w:rsid w:val="006B645F"/>
    <w:rsid w:val="006B74B8"/>
    <w:rsid w:val="006C1060"/>
    <w:rsid w:val="006C1EDF"/>
    <w:rsid w:val="006C2F2E"/>
    <w:rsid w:val="006C4CFD"/>
    <w:rsid w:val="006D0B03"/>
    <w:rsid w:val="006D0DFE"/>
    <w:rsid w:val="006D2AC6"/>
    <w:rsid w:val="006D7114"/>
    <w:rsid w:val="006D772A"/>
    <w:rsid w:val="006D7DA0"/>
    <w:rsid w:val="006E0487"/>
    <w:rsid w:val="006E08B9"/>
    <w:rsid w:val="006E12D6"/>
    <w:rsid w:val="006E173E"/>
    <w:rsid w:val="006E226C"/>
    <w:rsid w:val="006E24EE"/>
    <w:rsid w:val="006E3B73"/>
    <w:rsid w:val="006E4143"/>
    <w:rsid w:val="006E49AF"/>
    <w:rsid w:val="006E6872"/>
    <w:rsid w:val="006F096C"/>
    <w:rsid w:val="006F0AD3"/>
    <w:rsid w:val="006F1359"/>
    <w:rsid w:val="006F22C5"/>
    <w:rsid w:val="006F2689"/>
    <w:rsid w:val="006F34B5"/>
    <w:rsid w:val="006F37F9"/>
    <w:rsid w:val="006F3BD0"/>
    <w:rsid w:val="006F47CE"/>
    <w:rsid w:val="006F54E2"/>
    <w:rsid w:val="006F6B27"/>
    <w:rsid w:val="0070133F"/>
    <w:rsid w:val="007029EC"/>
    <w:rsid w:val="0070309F"/>
    <w:rsid w:val="0070320E"/>
    <w:rsid w:val="0071169C"/>
    <w:rsid w:val="00712373"/>
    <w:rsid w:val="007131A5"/>
    <w:rsid w:val="00713422"/>
    <w:rsid w:val="00716A40"/>
    <w:rsid w:val="00716AB3"/>
    <w:rsid w:val="00717100"/>
    <w:rsid w:val="007207C1"/>
    <w:rsid w:val="00721192"/>
    <w:rsid w:val="00721340"/>
    <w:rsid w:val="00721527"/>
    <w:rsid w:val="007218AF"/>
    <w:rsid w:val="00722008"/>
    <w:rsid w:val="0072400F"/>
    <w:rsid w:val="00724889"/>
    <w:rsid w:val="0072499D"/>
    <w:rsid w:val="00725243"/>
    <w:rsid w:val="0072569A"/>
    <w:rsid w:val="007265B9"/>
    <w:rsid w:val="00726CD3"/>
    <w:rsid w:val="00730EC3"/>
    <w:rsid w:val="0073168D"/>
    <w:rsid w:val="00731E04"/>
    <w:rsid w:val="0073308C"/>
    <w:rsid w:val="00735C21"/>
    <w:rsid w:val="007369BD"/>
    <w:rsid w:val="0073711B"/>
    <w:rsid w:val="00742873"/>
    <w:rsid w:val="007437D7"/>
    <w:rsid w:val="007439B1"/>
    <w:rsid w:val="00743D8D"/>
    <w:rsid w:val="00744556"/>
    <w:rsid w:val="00744570"/>
    <w:rsid w:val="00746557"/>
    <w:rsid w:val="007511C4"/>
    <w:rsid w:val="00751876"/>
    <w:rsid w:val="0075223A"/>
    <w:rsid w:val="00753A1E"/>
    <w:rsid w:val="00754159"/>
    <w:rsid w:val="007553C2"/>
    <w:rsid w:val="00756BD2"/>
    <w:rsid w:val="00757631"/>
    <w:rsid w:val="00757D21"/>
    <w:rsid w:val="007602BE"/>
    <w:rsid w:val="00760DF4"/>
    <w:rsid w:val="0076325B"/>
    <w:rsid w:val="00763660"/>
    <w:rsid w:val="007644FE"/>
    <w:rsid w:val="007646EB"/>
    <w:rsid w:val="007646F4"/>
    <w:rsid w:val="00764F40"/>
    <w:rsid w:val="007654C2"/>
    <w:rsid w:val="00771B36"/>
    <w:rsid w:val="00772549"/>
    <w:rsid w:val="00773895"/>
    <w:rsid w:val="007743D4"/>
    <w:rsid w:val="00776668"/>
    <w:rsid w:val="00776B27"/>
    <w:rsid w:val="00780678"/>
    <w:rsid w:val="00780BD8"/>
    <w:rsid w:val="0078110D"/>
    <w:rsid w:val="00782F3C"/>
    <w:rsid w:val="00783117"/>
    <w:rsid w:val="00784A48"/>
    <w:rsid w:val="00784D42"/>
    <w:rsid w:val="00786F22"/>
    <w:rsid w:val="007900F9"/>
    <w:rsid w:val="00790BCF"/>
    <w:rsid w:val="007924A7"/>
    <w:rsid w:val="00797814"/>
    <w:rsid w:val="007A03A0"/>
    <w:rsid w:val="007A0E4A"/>
    <w:rsid w:val="007A284A"/>
    <w:rsid w:val="007A57EC"/>
    <w:rsid w:val="007A5856"/>
    <w:rsid w:val="007A6222"/>
    <w:rsid w:val="007A6353"/>
    <w:rsid w:val="007A7AC0"/>
    <w:rsid w:val="007A7F5F"/>
    <w:rsid w:val="007B1BEF"/>
    <w:rsid w:val="007B2B9C"/>
    <w:rsid w:val="007B5531"/>
    <w:rsid w:val="007B6A88"/>
    <w:rsid w:val="007B6BEC"/>
    <w:rsid w:val="007B6CE7"/>
    <w:rsid w:val="007C03E3"/>
    <w:rsid w:val="007C1664"/>
    <w:rsid w:val="007C1D1F"/>
    <w:rsid w:val="007C53DD"/>
    <w:rsid w:val="007C6368"/>
    <w:rsid w:val="007C6953"/>
    <w:rsid w:val="007C71D0"/>
    <w:rsid w:val="007D06F8"/>
    <w:rsid w:val="007D1935"/>
    <w:rsid w:val="007D1C37"/>
    <w:rsid w:val="007D2110"/>
    <w:rsid w:val="007D2147"/>
    <w:rsid w:val="007D3B10"/>
    <w:rsid w:val="007D44F5"/>
    <w:rsid w:val="007D7021"/>
    <w:rsid w:val="007D71AE"/>
    <w:rsid w:val="007E092E"/>
    <w:rsid w:val="007E0CEA"/>
    <w:rsid w:val="007E1039"/>
    <w:rsid w:val="007E10F0"/>
    <w:rsid w:val="007E154F"/>
    <w:rsid w:val="007E5654"/>
    <w:rsid w:val="007E5707"/>
    <w:rsid w:val="007E5E00"/>
    <w:rsid w:val="007E6176"/>
    <w:rsid w:val="007E6FF6"/>
    <w:rsid w:val="007E799D"/>
    <w:rsid w:val="007F06EC"/>
    <w:rsid w:val="007F4489"/>
    <w:rsid w:val="007F450B"/>
    <w:rsid w:val="007F57B1"/>
    <w:rsid w:val="007F5D02"/>
    <w:rsid w:val="008004F4"/>
    <w:rsid w:val="00802C43"/>
    <w:rsid w:val="00802F0A"/>
    <w:rsid w:val="0080357D"/>
    <w:rsid w:val="00804CCC"/>
    <w:rsid w:val="00804F13"/>
    <w:rsid w:val="008055B2"/>
    <w:rsid w:val="0080597B"/>
    <w:rsid w:val="0080639F"/>
    <w:rsid w:val="00807FF0"/>
    <w:rsid w:val="008127A0"/>
    <w:rsid w:val="008131B7"/>
    <w:rsid w:val="00813D59"/>
    <w:rsid w:val="00813F56"/>
    <w:rsid w:val="00820DFC"/>
    <w:rsid w:val="00822448"/>
    <w:rsid w:val="00823C71"/>
    <w:rsid w:val="00824026"/>
    <w:rsid w:val="008243A6"/>
    <w:rsid w:val="00824C39"/>
    <w:rsid w:val="00827320"/>
    <w:rsid w:val="00830781"/>
    <w:rsid w:val="00832A67"/>
    <w:rsid w:val="00832F12"/>
    <w:rsid w:val="00832FAF"/>
    <w:rsid w:val="0083391A"/>
    <w:rsid w:val="00835742"/>
    <w:rsid w:val="00836D50"/>
    <w:rsid w:val="00837CDB"/>
    <w:rsid w:val="00841CC9"/>
    <w:rsid w:val="00842054"/>
    <w:rsid w:val="0084210F"/>
    <w:rsid w:val="00842D90"/>
    <w:rsid w:val="00843F39"/>
    <w:rsid w:val="00844DA3"/>
    <w:rsid w:val="008459C6"/>
    <w:rsid w:val="00845E66"/>
    <w:rsid w:val="00846995"/>
    <w:rsid w:val="00846FEA"/>
    <w:rsid w:val="008508A3"/>
    <w:rsid w:val="0085249D"/>
    <w:rsid w:val="00853B18"/>
    <w:rsid w:val="008567FC"/>
    <w:rsid w:val="008573EB"/>
    <w:rsid w:val="0085799E"/>
    <w:rsid w:val="00857FE1"/>
    <w:rsid w:val="0086244A"/>
    <w:rsid w:val="00862C1A"/>
    <w:rsid w:val="00863D70"/>
    <w:rsid w:val="008650AE"/>
    <w:rsid w:val="0086525D"/>
    <w:rsid w:val="00872124"/>
    <w:rsid w:val="00872158"/>
    <w:rsid w:val="0087374B"/>
    <w:rsid w:val="00873DED"/>
    <w:rsid w:val="0087402E"/>
    <w:rsid w:val="008753F2"/>
    <w:rsid w:val="0087729F"/>
    <w:rsid w:val="0087796B"/>
    <w:rsid w:val="008806BD"/>
    <w:rsid w:val="0088098F"/>
    <w:rsid w:val="00880D03"/>
    <w:rsid w:val="008813E5"/>
    <w:rsid w:val="008814C5"/>
    <w:rsid w:val="0088240C"/>
    <w:rsid w:val="00882D8F"/>
    <w:rsid w:val="008832FB"/>
    <w:rsid w:val="00883E5D"/>
    <w:rsid w:val="0088586D"/>
    <w:rsid w:val="0088714E"/>
    <w:rsid w:val="00891209"/>
    <w:rsid w:val="00891753"/>
    <w:rsid w:val="008924EA"/>
    <w:rsid w:val="008932AA"/>
    <w:rsid w:val="00893415"/>
    <w:rsid w:val="00893B99"/>
    <w:rsid w:val="00893EF9"/>
    <w:rsid w:val="0089443E"/>
    <w:rsid w:val="008948BC"/>
    <w:rsid w:val="00895319"/>
    <w:rsid w:val="00895BB8"/>
    <w:rsid w:val="00897982"/>
    <w:rsid w:val="008A391C"/>
    <w:rsid w:val="008A495B"/>
    <w:rsid w:val="008A5CA2"/>
    <w:rsid w:val="008A7710"/>
    <w:rsid w:val="008B1463"/>
    <w:rsid w:val="008B254E"/>
    <w:rsid w:val="008B28EA"/>
    <w:rsid w:val="008B2D66"/>
    <w:rsid w:val="008B434B"/>
    <w:rsid w:val="008B65C8"/>
    <w:rsid w:val="008B6FF3"/>
    <w:rsid w:val="008C1D9F"/>
    <w:rsid w:val="008C4888"/>
    <w:rsid w:val="008C4BB9"/>
    <w:rsid w:val="008D0343"/>
    <w:rsid w:val="008D0537"/>
    <w:rsid w:val="008D0A21"/>
    <w:rsid w:val="008D22A3"/>
    <w:rsid w:val="008D31E1"/>
    <w:rsid w:val="008D43FC"/>
    <w:rsid w:val="008D4C22"/>
    <w:rsid w:val="008D4DA8"/>
    <w:rsid w:val="008D5267"/>
    <w:rsid w:val="008D5377"/>
    <w:rsid w:val="008D7A07"/>
    <w:rsid w:val="008E03AA"/>
    <w:rsid w:val="008E0C9F"/>
    <w:rsid w:val="008E1321"/>
    <w:rsid w:val="008E203F"/>
    <w:rsid w:val="008E3CE9"/>
    <w:rsid w:val="008E4C5C"/>
    <w:rsid w:val="008E5C07"/>
    <w:rsid w:val="008E6F5D"/>
    <w:rsid w:val="008F0A42"/>
    <w:rsid w:val="008F16B6"/>
    <w:rsid w:val="008F2517"/>
    <w:rsid w:val="008F30B4"/>
    <w:rsid w:val="008F6C57"/>
    <w:rsid w:val="008F7289"/>
    <w:rsid w:val="008F7335"/>
    <w:rsid w:val="0090148D"/>
    <w:rsid w:val="009023D7"/>
    <w:rsid w:val="009039B7"/>
    <w:rsid w:val="009039F7"/>
    <w:rsid w:val="00903FE2"/>
    <w:rsid w:val="00904698"/>
    <w:rsid w:val="009054A5"/>
    <w:rsid w:val="00905A4B"/>
    <w:rsid w:val="00910A8D"/>
    <w:rsid w:val="0091111D"/>
    <w:rsid w:val="009111F5"/>
    <w:rsid w:val="00914D81"/>
    <w:rsid w:val="00915335"/>
    <w:rsid w:val="00916639"/>
    <w:rsid w:val="00916AD1"/>
    <w:rsid w:val="00920CC8"/>
    <w:rsid w:val="00920CCB"/>
    <w:rsid w:val="00922351"/>
    <w:rsid w:val="00924E70"/>
    <w:rsid w:val="009253D4"/>
    <w:rsid w:val="00925762"/>
    <w:rsid w:val="0092669B"/>
    <w:rsid w:val="009267DC"/>
    <w:rsid w:val="00926A38"/>
    <w:rsid w:val="009276D5"/>
    <w:rsid w:val="00927E23"/>
    <w:rsid w:val="00927FD2"/>
    <w:rsid w:val="0093132B"/>
    <w:rsid w:val="009329C8"/>
    <w:rsid w:val="00932CB2"/>
    <w:rsid w:val="009333E7"/>
    <w:rsid w:val="00933FB8"/>
    <w:rsid w:val="009346F0"/>
    <w:rsid w:val="0093565D"/>
    <w:rsid w:val="00940171"/>
    <w:rsid w:val="00941398"/>
    <w:rsid w:val="00941F67"/>
    <w:rsid w:val="00942E8D"/>
    <w:rsid w:val="009435DF"/>
    <w:rsid w:val="00944EE3"/>
    <w:rsid w:val="00946B4E"/>
    <w:rsid w:val="00947488"/>
    <w:rsid w:val="009502CE"/>
    <w:rsid w:val="00950EAD"/>
    <w:rsid w:val="00952044"/>
    <w:rsid w:val="00952ED5"/>
    <w:rsid w:val="009533A9"/>
    <w:rsid w:val="009539EC"/>
    <w:rsid w:val="0095505B"/>
    <w:rsid w:val="00955B02"/>
    <w:rsid w:val="009560F2"/>
    <w:rsid w:val="009572CF"/>
    <w:rsid w:val="00960558"/>
    <w:rsid w:val="00962D33"/>
    <w:rsid w:val="00963ACE"/>
    <w:rsid w:val="00963CBC"/>
    <w:rsid w:val="00964165"/>
    <w:rsid w:val="00965065"/>
    <w:rsid w:val="009704D4"/>
    <w:rsid w:val="0097158B"/>
    <w:rsid w:val="009749FE"/>
    <w:rsid w:val="00975B67"/>
    <w:rsid w:val="00976224"/>
    <w:rsid w:val="009768F4"/>
    <w:rsid w:val="00977F33"/>
    <w:rsid w:val="00981088"/>
    <w:rsid w:val="00984506"/>
    <w:rsid w:val="009858BB"/>
    <w:rsid w:val="00986825"/>
    <w:rsid w:val="00991967"/>
    <w:rsid w:val="00991EC0"/>
    <w:rsid w:val="00993EDB"/>
    <w:rsid w:val="00994543"/>
    <w:rsid w:val="009958D4"/>
    <w:rsid w:val="009967AD"/>
    <w:rsid w:val="00997645"/>
    <w:rsid w:val="00997A05"/>
    <w:rsid w:val="009A025E"/>
    <w:rsid w:val="009A1ACD"/>
    <w:rsid w:val="009A2E9B"/>
    <w:rsid w:val="009A4ED8"/>
    <w:rsid w:val="009A579C"/>
    <w:rsid w:val="009A635A"/>
    <w:rsid w:val="009A7D09"/>
    <w:rsid w:val="009B1756"/>
    <w:rsid w:val="009B2353"/>
    <w:rsid w:val="009B2D9F"/>
    <w:rsid w:val="009B65ED"/>
    <w:rsid w:val="009B6ABB"/>
    <w:rsid w:val="009B6BA4"/>
    <w:rsid w:val="009C2EB5"/>
    <w:rsid w:val="009C43E2"/>
    <w:rsid w:val="009C5D58"/>
    <w:rsid w:val="009C678D"/>
    <w:rsid w:val="009C756E"/>
    <w:rsid w:val="009C7E5A"/>
    <w:rsid w:val="009D4761"/>
    <w:rsid w:val="009D522C"/>
    <w:rsid w:val="009D5631"/>
    <w:rsid w:val="009D599C"/>
    <w:rsid w:val="009D6515"/>
    <w:rsid w:val="009D65C0"/>
    <w:rsid w:val="009D6F54"/>
    <w:rsid w:val="009D72A1"/>
    <w:rsid w:val="009D7E3A"/>
    <w:rsid w:val="009E2198"/>
    <w:rsid w:val="009E2674"/>
    <w:rsid w:val="009E3338"/>
    <w:rsid w:val="009E3859"/>
    <w:rsid w:val="009E3B49"/>
    <w:rsid w:val="009E47A8"/>
    <w:rsid w:val="009E7644"/>
    <w:rsid w:val="009F1EFA"/>
    <w:rsid w:val="009F1FA2"/>
    <w:rsid w:val="009F521A"/>
    <w:rsid w:val="009F5A63"/>
    <w:rsid w:val="009F7AED"/>
    <w:rsid w:val="00A000DF"/>
    <w:rsid w:val="00A01588"/>
    <w:rsid w:val="00A02E69"/>
    <w:rsid w:val="00A0314E"/>
    <w:rsid w:val="00A0342C"/>
    <w:rsid w:val="00A04139"/>
    <w:rsid w:val="00A04C41"/>
    <w:rsid w:val="00A04F2C"/>
    <w:rsid w:val="00A060AE"/>
    <w:rsid w:val="00A117C4"/>
    <w:rsid w:val="00A12593"/>
    <w:rsid w:val="00A13A6D"/>
    <w:rsid w:val="00A1441F"/>
    <w:rsid w:val="00A15A59"/>
    <w:rsid w:val="00A160F7"/>
    <w:rsid w:val="00A1652A"/>
    <w:rsid w:val="00A1722A"/>
    <w:rsid w:val="00A20C0C"/>
    <w:rsid w:val="00A21D20"/>
    <w:rsid w:val="00A229B2"/>
    <w:rsid w:val="00A23E97"/>
    <w:rsid w:val="00A23F2A"/>
    <w:rsid w:val="00A2527A"/>
    <w:rsid w:val="00A25619"/>
    <w:rsid w:val="00A2589D"/>
    <w:rsid w:val="00A25A90"/>
    <w:rsid w:val="00A26179"/>
    <w:rsid w:val="00A279EA"/>
    <w:rsid w:val="00A3004E"/>
    <w:rsid w:val="00A30637"/>
    <w:rsid w:val="00A34306"/>
    <w:rsid w:val="00A34B52"/>
    <w:rsid w:val="00A35805"/>
    <w:rsid w:val="00A3654E"/>
    <w:rsid w:val="00A36632"/>
    <w:rsid w:val="00A366E7"/>
    <w:rsid w:val="00A40730"/>
    <w:rsid w:val="00A41FF2"/>
    <w:rsid w:val="00A422D6"/>
    <w:rsid w:val="00A42958"/>
    <w:rsid w:val="00A42B00"/>
    <w:rsid w:val="00A43EFE"/>
    <w:rsid w:val="00A46C84"/>
    <w:rsid w:val="00A46FC2"/>
    <w:rsid w:val="00A50584"/>
    <w:rsid w:val="00A50803"/>
    <w:rsid w:val="00A50B3B"/>
    <w:rsid w:val="00A51B8A"/>
    <w:rsid w:val="00A52AE1"/>
    <w:rsid w:val="00A53E8E"/>
    <w:rsid w:val="00A54083"/>
    <w:rsid w:val="00A551F6"/>
    <w:rsid w:val="00A553A3"/>
    <w:rsid w:val="00A56B24"/>
    <w:rsid w:val="00A5749C"/>
    <w:rsid w:val="00A60EEC"/>
    <w:rsid w:val="00A6155B"/>
    <w:rsid w:val="00A617AF"/>
    <w:rsid w:val="00A64239"/>
    <w:rsid w:val="00A66560"/>
    <w:rsid w:val="00A66731"/>
    <w:rsid w:val="00A667F3"/>
    <w:rsid w:val="00A66D9B"/>
    <w:rsid w:val="00A6764A"/>
    <w:rsid w:val="00A67CAB"/>
    <w:rsid w:val="00A70088"/>
    <w:rsid w:val="00A71809"/>
    <w:rsid w:val="00A72665"/>
    <w:rsid w:val="00A7465E"/>
    <w:rsid w:val="00A748FF"/>
    <w:rsid w:val="00A7539F"/>
    <w:rsid w:val="00A7591B"/>
    <w:rsid w:val="00A764E8"/>
    <w:rsid w:val="00A778C1"/>
    <w:rsid w:val="00A77CD2"/>
    <w:rsid w:val="00A77FEF"/>
    <w:rsid w:val="00A80786"/>
    <w:rsid w:val="00A827CE"/>
    <w:rsid w:val="00A84991"/>
    <w:rsid w:val="00A858DC"/>
    <w:rsid w:val="00A85C92"/>
    <w:rsid w:val="00A86B8F"/>
    <w:rsid w:val="00A874BF"/>
    <w:rsid w:val="00A87B05"/>
    <w:rsid w:val="00A87CCE"/>
    <w:rsid w:val="00A91B0B"/>
    <w:rsid w:val="00A91C91"/>
    <w:rsid w:val="00A91F51"/>
    <w:rsid w:val="00A922C1"/>
    <w:rsid w:val="00A92400"/>
    <w:rsid w:val="00A92E6C"/>
    <w:rsid w:val="00A93DA4"/>
    <w:rsid w:val="00A95001"/>
    <w:rsid w:val="00A96B25"/>
    <w:rsid w:val="00AA1B78"/>
    <w:rsid w:val="00AA1D6D"/>
    <w:rsid w:val="00AA1D83"/>
    <w:rsid w:val="00AA28C9"/>
    <w:rsid w:val="00AA2907"/>
    <w:rsid w:val="00AA33E3"/>
    <w:rsid w:val="00AA465E"/>
    <w:rsid w:val="00AA56CF"/>
    <w:rsid w:val="00AA57B1"/>
    <w:rsid w:val="00AB0803"/>
    <w:rsid w:val="00AB0D5D"/>
    <w:rsid w:val="00AB12B9"/>
    <w:rsid w:val="00AB377A"/>
    <w:rsid w:val="00AB5568"/>
    <w:rsid w:val="00AB7790"/>
    <w:rsid w:val="00AB7808"/>
    <w:rsid w:val="00AB7B59"/>
    <w:rsid w:val="00AB7F12"/>
    <w:rsid w:val="00AC38DA"/>
    <w:rsid w:val="00AC5655"/>
    <w:rsid w:val="00AC69C9"/>
    <w:rsid w:val="00AC7B76"/>
    <w:rsid w:val="00AD0730"/>
    <w:rsid w:val="00AD10AF"/>
    <w:rsid w:val="00AD244A"/>
    <w:rsid w:val="00AD43F9"/>
    <w:rsid w:val="00AD4833"/>
    <w:rsid w:val="00AD4ADE"/>
    <w:rsid w:val="00AD5A8D"/>
    <w:rsid w:val="00AD685E"/>
    <w:rsid w:val="00AE0BE6"/>
    <w:rsid w:val="00AE1CEB"/>
    <w:rsid w:val="00AE2990"/>
    <w:rsid w:val="00AE39EC"/>
    <w:rsid w:val="00AE3D56"/>
    <w:rsid w:val="00AE4C8E"/>
    <w:rsid w:val="00AE4C9B"/>
    <w:rsid w:val="00AE5204"/>
    <w:rsid w:val="00AE6A13"/>
    <w:rsid w:val="00AE6ED2"/>
    <w:rsid w:val="00AF2BC7"/>
    <w:rsid w:val="00AF2D30"/>
    <w:rsid w:val="00AF2F22"/>
    <w:rsid w:val="00AF342F"/>
    <w:rsid w:val="00AF3F46"/>
    <w:rsid w:val="00AF4426"/>
    <w:rsid w:val="00AF4BCF"/>
    <w:rsid w:val="00AF5045"/>
    <w:rsid w:val="00AF6E03"/>
    <w:rsid w:val="00B0317F"/>
    <w:rsid w:val="00B03B00"/>
    <w:rsid w:val="00B05623"/>
    <w:rsid w:val="00B064DB"/>
    <w:rsid w:val="00B06942"/>
    <w:rsid w:val="00B10A65"/>
    <w:rsid w:val="00B135DA"/>
    <w:rsid w:val="00B13821"/>
    <w:rsid w:val="00B160C8"/>
    <w:rsid w:val="00B1707A"/>
    <w:rsid w:val="00B1795B"/>
    <w:rsid w:val="00B21878"/>
    <w:rsid w:val="00B2457B"/>
    <w:rsid w:val="00B253FE"/>
    <w:rsid w:val="00B2620A"/>
    <w:rsid w:val="00B2687E"/>
    <w:rsid w:val="00B26B3B"/>
    <w:rsid w:val="00B26E31"/>
    <w:rsid w:val="00B27345"/>
    <w:rsid w:val="00B3014E"/>
    <w:rsid w:val="00B30B24"/>
    <w:rsid w:val="00B30C62"/>
    <w:rsid w:val="00B31F26"/>
    <w:rsid w:val="00B33BC9"/>
    <w:rsid w:val="00B3421D"/>
    <w:rsid w:val="00B3470E"/>
    <w:rsid w:val="00B3542A"/>
    <w:rsid w:val="00B3578B"/>
    <w:rsid w:val="00B367BB"/>
    <w:rsid w:val="00B36820"/>
    <w:rsid w:val="00B37795"/>
    <w:rsid w:val="00B40530"/>
    <w:rsid w:val="00B40A80"/>
    <w:rsid w:val="00B412E1"/>
    <w:rsid w:val="00B44673"/>
    <w:rsid w:val="00B446E3"/>
    <w:rsid w:val="00B45989"/>
    <w:rsid w:val="00B510BE"/>
    <w:rsid w:val="00B52620"/>
    <w:rsid w:val="00B53233"/>
    <w:rsid w:val="00B537CF"/>
    <w:rsid w:val="00B54763"/>
    <w:rsid w:val="00B550C1"/>
    <w:rsid w:val="00B55292"/>
    <w:rsid w:val="00B55C4B"/>
    <w:rsid w:val="00B56E1D"/>
    <w:rsid w:val="00B607E6"/>
    <w:rsid w:val="00B6118E"/>
    <w:rsid w:val="00B638C6"/>
    <w:rsid w:val="00B658A3"/>
    <w:rsid w:val="00B65FFD"/>
    <w:rsid w:val="00B7013C"/>
    <w:rsid w:val="00B7299F"/>
    <w:rsid w:val="00B73175"/>
    <w:rsid w:val="00B7319A"/>
    <w:rsid w:val="00B73222"/>
    <w:rsid w:val="00B73A10"/>
    <w:rsid w:val="00B73BF6"/>
    <w:rsid w:val="00B754E6"/>
    <w:rsid w:val="00B75C66"/>
    <w:rsid w:val="00B765D8"/>
    <w:rsid w:val="00B81BCD"/>
    <w:rsid w:val="00B82C6B"/>
    <w:rsid w:val="00B82D5B"/>
    <w:rsid w:val="00B83617"/>
    <w:rsid w:val="00B85C1D"/>
    <w:rsid w:val="00B86F26"/>
    <w:rsid w:val="00B870F7"/>
    <w:rsid w:val="00B87D75"/>
    <w:rsid w:val="00B9195D"/>
    <w:rsid w:val="00B94506"/>
    <w:rsid w:val="00B94715"/>
    <w:rsid w:val="00B971ED"/>
    <w:rsid w:val="00B97431"/>
    <w:rsid w:val="00B9778A"/>
    <w:rsid w:val="00BA3A48"/>
    <w:rsid w:val="00BA6E5A"/>
    <w:rsid w:val="00BA7001"/>
    <w:rsid w:val="00BB1655"/>
    <w:rsid w:val="00BB30A9"/>
    <w:rsid w:val="00BB355B"/>
    <w:rsid w:val="00BB3CC6"/>
    <w:rsid w:val="00BC4C91"/>
    <w:rsid w:val="00BC7DBF"/>
    <w:rsid w:val="00BD1216"/>
    <w:rsid w:val="00BD2052"/>
    <w:rsid w:val="00BD2368"/>
    <w:rsid w:val="00BD24DB"/>
    <w:rsid w:val="00BD25E2"/>
    <w:rsid w:val="00BD2A58"/>
    <w:rsid w:val="00BD44F4"/>
    <w:rsid w:val="00BD5A29"/>
    <w:rsid w:val="00BD6721"/>
    <w:rsid w:val="00BD6D7F"/>
    <w:rsid w:val="00BD6FFF"/>
    <w:rsid w:val="00BD7480"/>
    <w:rsid w:val="00BE0C10"/>
    <w:rsid w:val="00BE0D12"/>
    <w:rsid w:val="00BE1558"/>
    <w:rsid w:val="00BE3219"/>
    <w:rsid w:val="00BE3B2F"/>
    <w:rsid w:val="00BE44DD"/>
    <w:rsid w:val="00BE74B0"/>
    <w:rsid w:val="00BE75E0"/>
    <w:rsid w:val="00BF1763"/>
    <w:rsid w:val="00BF1C10"/>
    <w:rsid w:val="00BF4E29"/>
    <w:rsid w:val="00BF5625"/>
    <w:rsid w:val="00BF58F2"/>
    <w:rsid w:val="00BF601C"/>
    <w:rsid w:val="00BF7966"/>
    <w:rsid w:val="00BF7C09"/>
    <w:rsid w:val="00C023FD"/>
    <w:rsid w:val="00C02BBC"/>
    <w:rsid w:val="00C02C05"/>
    <w:rsid w:val="00C044B9"/>
    <w:rsid w:val="00C0551B"/>
    <w:rsid w:val="00C067B9"/>
    <w:rsid w:val="00C072CD"/>
    <w:rsid w:val="00C07634"/>
    <w:rsid w:val="00C07F0E"/>
    <w:rsid w:val="00C10AC7"/>
    <w:rsid w:val="00C118A7"/>
    <w:rsid w:val="00C12930"/>
    <w:rsid w:val="00C13106"/>
    <w:rsid w:val="00C131EE"/>
    <w:rsid w:val="00C133A5"/>
    <w:rsid w:val="00C15C77"/>
    <w:rsid w:val="00C200CE"/>
    <w:rsid w:val="00C22427"/>
    <w:rsid w:val="00C23031"/>
    <w:rsid w:val="00C26F65"/>
    <w:rsid w:val="00C26FDC"/>
    <w:rsid w:val="00C27275"/>
    <w:rsid w:val="00C30EFD"/>
    <w:rsid w:val="00C316CB"/>
    <w:rsid w:val="00C33899"/>
    <w:rsid w:val="00C3501E"/>
    <w:rsid w:val="00C3716D"/>
    <w:rsid w:val="00C40591"/>
    <w:rsid w:val="00C416BA"/>
    <w:rsid w:val="00C41F19"/>
    <w:rsid w:val="00C42AB1"/>
    <w:rsid w:val="00C42AC3"/>
    <w:rsid w:val="00C42F98"/>
    <w:rsid w:val="00C430F0"/>
    <w:rsid w:val="00C444D7"/>
    <w:rsid w:val="00C46CBB"/>
    <w:rsid w:val="00C46D71"/>
    <w:rsid w:val="00C50830"/>
    <w:rsid w:val="00C525AD"/>
    <w:rsid w:val="00C529D9"/>
    <w:rsid w:val="00C53F22"/>
    <w:rsid w:val="00C540A9"/>
    <w:rsid w:val="00C5459B"/>
    <w:rsid w:val="00C55086"/>
    <w:rsid w:val="00C5508E"/>
    <w:rsid w:val="00C57516"/>
    <w:rsid w:val="00C57B7F"/>
    <w:rsid w:val="00C600C8"/>
    <w:rsid w:val="00C60142"/>
    <w:rsid w:val="00C61033"/>
    <w:rsid w:val="00C61966"/>
    <w:rsid w:val="00C62007"/>
    <w:rsid w:val="00C62A7E"/>
    <w:rsid w:val="00C63113"/>
    <w:rsid w:val="00C637C4"/>
    <w:rsid w:val="00C650FD"/>
    <w:rsid w:val="00C653FE"/>
    <w:rsid w:val="00C716CF"/>
    <w:rsid w:val="00C7183D"/>
    <w:rsid w:val="00C71C2B"/>
    <w:rsid w:val="00C721CD"/>
    <w:rsid w:val="00C724E3"/>
    <w:rsid w:val="00C74313"/>
    <w:rsid w:val="00C74691"/>
    <w:rsid w:val="00C7568E"/>
    <w:rsid w:val="00C807F5"/>
    <w:rsid w:val="00C814A8"/>
    <w:rsid w:val="00C81709"/>
    <w:rsid w:val="00C86EB7"/>
    <w:rsid w:val="00C87F15"/>
    <w:rsid w:val="00C87F72"/>
    <w:rsid w:val="00C9001C"/>
    <w:rsid w:val="00C919B4"/>
    <w:rsid w:val="00C92637"/>
    <w:rsid w:val="00C93607"/>
    <w:rsid w:val="00C93A51"/>
    <w:rsid w:val="00C94825"/>
    <w:rsid w:val="00C950A9"/>
    <w:rsid w:val="00C952BB"/>
    <w:rsid w:val="00C95645"/>
    <w:rsid w:val="00C95B2C"/>
    <w:rsid w:val="00CA0015"/>
    <w:rsid w:val="00CA0A9F"/>
    <w:rsid w:val="00CA2DF2"/>
    <w:rsid w:val="00CA304F"/>
    <w:rsid w:val="00CA325E"/>
    <w:rsid w:val="00CA3C8C"/>
    <w:rsid w:val="00CA3D91"/>
    <w:rsid w:val="00CA4CDF"/>
    <w:rsid w:val="00CA5C61"/>
    <w:rsid w:val="00CA609B"/>
    <w:rsid w:val="00CA69E6"/>
    <w:rsid w:val="00CB0237"/>
    <w:rsid w:val="00CB1745"/>
    <w:rsid w:val="00CB2A52"/>
    <w:rsid w:val="00CB3581"/>
    <w:rsid w:val="00CB4FA6"/>
    <w:rsid w:val="00CC03B3"/>
    <w:rsid w:val="00CC063A"/>
    <w:rsid w:val="00CC09E3"/>
    <w:rsid w:val="00CC1675"/>
    <w:rsid w:val="00CC24F4"/>
    <w:rsid w:val="00CC25A3"/>
    <w:rsid w:val="00CC2684"/>
    <w:rsid w:val="00CC2C51"/>
    <w:rsid w:val="00CC55FE"/>
    <w:rsid w:val="00CC5AE4"/>
    <w:rsid w:val="00CC60B5"/>
    <w:rsid w:val="00CC6340"/>
    <w:rsid w:val="00CD20D0"/>
    <w:rsid w:val="00CD21BF"/>
    <w:rsid w:val="00CD375B"/>
    <w:rsid w:val="00CD48A9"/>
    <w:rsid w:val="00CD5C1F"/>
    <w:rsid w:val="00CD6F78"/>
    <w:rsid w:val="00CD70E0"/>
    <w:rsid w:val="00CE2299"/>
    <w:rsid w:val="00CE4CBC"/>
    <w:rsid w:val="00CE4F33"/>
    <w:rsid w:val="00CE5B56"/>
    <w:rsid w:val="00CE697C"/>
    <w:rsid w:val="00CE6B95"/>
    <w:rsid w:val="00CF0A17"/>
    <w:rsid w:val="00CF162B"/>
    <w:rsid w:val="00CF1861"/>
    <w:rsid w:val="00CF1DD5"/>
    <w:rsid w:val="00CF277E"/>
    <w:rsid w:val="00CF2E3E"/>
    <w:rsid w:val="00CF6600"/>
    <w:rsid w:val="00CF7578"/>
    <w:rsid w:val="00D00B45"/>
    <w:rsid w:val="00D02A43"/>
    <w:rsid w:val="00D02F04"/>
    <w:rsid w:val="00D034F5"/>
    <w:rsid w:val="00D06207"/>
    <w:rsid w:val="00D06992"/>
    <w:rsid w:val="00D06AC4"/>
    <w:rsid w:val="00D129BA"/>
    <w:rsid w:val="00D13BB4"/>
    <w:rsid w:val="00D1561C"/>
    <w:rsid w:val="00D15947"/>
    <w:rsid w:val="00D15AAA"/>
    <w:rsid w:val="00D1701C"/>
    <w:rsid w:val="00D17847"/>
    <w:rsid w:val="00D20BB1"/>
    <w:rsid w:val="00D2147E"/>
    <w:rsid w:val="00D26B17"/>
    <w:rsid w:val="00D2736B"/>
    <w:rsid w:val="00D27EE5"/>
    <w:rsid w:val="00D30220"/>
    <w:rsid w:val="00D3225D"/>
    <w:rsid w:val="00D324A6"/>
    <w:rsid w:val="00D32BDF"/>
    <w:rsid w:val="00D32E0F"/>
    <w:rsid w:val="00D340B4"/>
    <w:rsid w:val="00D34BB9"/>
    <w:rsid w:val="00D3510C"/>
    <w:rsid w:val="00D40101"/>
    <w:rsid w:val="00D408CD"/>
    <w:rsid w:val="00D42A46"/>
    <w:rsid w:val="00D43DA3"/>
    <w:rsid w:val="00D4425A"/>
    <w:rsid w:val="00D44F2A"/>
    <w:rsid w:val="00D475FD"/>
    <w:rsid w:val="00D47B3E"/>
    <w:rsid w:val="00D50819"/>
    <w:rsid w:val="00D5178D"/>
    <w:rsid w:val="00D51B3D"/>
    <w:rsid w:val="00D5241C"/>
    <w:rsid w:val="00D53D2A"/>
    <w:rsid w:val="00D54B46"/>
    <w:rsid w:val="00D552F4"/>
    <w:rsid w:val="00D55DCD"/>
    <w:rsid w:val="00D56269"/>
    <w:rsid w:val="00D564D8"/>
    <w:rsid w:val="00D56F1F"/>
    <w:rsid w:val="00D57702"/>
    <w:rsid w:val="00D601D5"/>
    <w:rsid w:val="00D60F08"/>
    <w:rsid w:val="00D6163C"/>
    <w:rsid w:val="00D616F9"/>
    <w:rsid w:val="00D626E8"/>
    <w:rsid w:val="00D639E5"/>
    <w:rsid w:val="00D63D08"/>
    <w:rsid w:val="00D64A4A"/>
    <w:rsid w:val="00D65804"/>
    <w:rsid w:val="00D662FD"/>
    <w:rsid w:val="00D67D8C"/>
    <w:rsid w:val="00D7089A"/>
    <w:rsid w:val="00D714FF"/>
    <w:rsid w:val="00D727EA"/>
    <w:rsid w:val="00D72B68"/>
    <w:rsid w:val="00D72DBC"/>
    <w:rsid w:val="00D73647"/>
    <w:rsid w:val="00D76B35"/>
    <w:rsid w:val="00D77340"/>
    <w:rsid w:val="00D77D4C"/>
    <w:rsid w:val="00D77DC3"/>
    <w:rsid w:val="00D77E32"/>
    <w:rsid w:val="00D8130E"/>
    <w:rsid w:val="00D81C65"/>
    <w:rsid w:val="00D82781"/>
    <w:rsid w:val="00D83F5D"/>
    <w:rsid w:val="00D861C1"/>
    <w:rsid w:val="00D861DA"/>
    <w:rsid w:val="00D861F9"/>
    <w:rsid w:val="00D90108"/>
    <w:rsid w:val="00D90938"/>
    <w:rsid w:val="00D91C8B"/>
    <w:rsid w:val="00D92CD5"/>
    <w:rsid w:val="00D92D48"/>
    <w:rsid w:val="00DA02B6"/>
    <w:rsid w:val="00DA08F8"/>
    <w:rsid w:val="00DA0DA7"/>
    <w:rsid w:val="00DA1390"/>
    <w:rsid w:val="00DA2416"/>
    <w:rsid w:val="00DA35C8"/>
    <w:rsid w:val="00DA4043"/>
    <w:rsid w:val="00DA437C"/>
    <w:rsid w:val="00DA755D"/>
    <w:rsid w:val="00DA79B9"/>
    <w:rsid w:val="00DB0C82"/>
    <w:rsid w:val="00DB2EFA"/>
    <w:rsid w:val="00DB3058"/>
    <w:rsid w:val="00DB4D38"/>
    <w:rsid w:val="00DB6AF5"/>
    <w:rsid w:val="00DB6FE8"/>
    <w:rsid w:val="00DB743C"/>
    <w:rsid w:val="00DB7D34"/>
    <w:rsid w:val="00DC01A6"/>
    <w:rsid w:val="00DC01B5"/>
    <w:rsid w:val="00DC2A73"/>
    <w:rsid w:val="00DC69B4"/>
    <w:rsid w:val="00DC76D0"/>
    <w:rsid w:val="00DC7BA7"/>
    <w:rsid w:val="00DC7D97"/>
    <w:rsid w:val="00DD4034"/>
    <w:rsid w:val="00DD66FA"/>
    <w:rsid w:val="00DD6C77"/>
    <w:rsid w:val="00DE0E23"/>
    <w:rsid w:val="00DE1280"/>
    <w:rsid w:val="00DE166B"/>
    <w:rsid w:val="00DE1A63"/>
    <w:rsid w:val="00DE1FB7"/>
    <w:rsid w:val="00DE3474"/>
    <w:rsid w:val="00DE4771"/>
    <w:rsid w:val="00DE4BB4"/>
    <w:rsid w:val="00DE54A1"/>
    <w:rsid w:val="00DF0E00"/>
    <w:rsid w:val="00DF29D3"/>
    <w:rsid w:val="00DF3B5B"/>
    <w:rsid w:val="00DF3EA3"/>
    <w:rsid w:val="00DF5783"/>
    <w:rsid w:val="00DF6EE1"/>
    <w:rsid w:val="00E003A3"/>
    <w:rsid w:val="00E007E8"/>
    <w:rsid w:val="00E009A4"/>
    <w:rsid w:val="00E0184F"/>
    <w:rsid w:val="00E01B69"/>
    <w:rsid w:val="00E0331A"/>
    <w:rsid w:val="00E03F3E"/>
    <w:rsid w:val="00E04420"/>
    <w:rsid w:val="00E04942"/>
    <w:rsid w:val="00E05937"/>
    <w:rsid w:val="00E0782D"/>
    <w:rsid w:val="00E10CD2"/>
    <w:rsid w:val="00E11919"/>
    <w:rsid w:val="00E11979"/>
    <w:rsid w:val="00E12E61"/>
    <w:rsid w:val="00E13B59"/>
    <w:rsid w:val="00E14D5D"/>
    <w:rsid w:val="00E15AE7"/>
    <w:rsid w:val="00E15B02"/>
    <w:rsid w:val="00E1650E"/>
    <w:rsid w:val="00E1674E"/>
    <w:rsid w:val="00E16F06"/>
    <w:rsid w:val="00E17903"/>
    <w:rsid w:val="00E20697"/>
    <w:rsid w:val="00E208D5"/>
    <w:rsid w:val="00E23091"/>
    <w:rsid w:val="00E2362B"/>
    <w:rsid w:val="00E23895"/>
    <w:rsid w:val="00E244B1"/>
    <w:rsid w:val="00E265CC"/>
    <w:rsid w:val="00E268D1"/>
    <w:rsid w:val="00E27A59"/>
    <w:rsid w:val="00E30EE5"/>
    <w:rsid w:val="00E33AD2"/>
    <w:rsid w:val="00E33DD0"/>
    <w:rsid w:val="00E3567B"/>
    <w:rsid w:val="00E3598F"/>
    <w:rsid w:val="00E35EFA"/>
    <w:rsid w:val="00E3695B"/>
    <w:rsid w:val="00E37248"/>
    <w:rsid w:val="00E418C6"/>
    <w:rsid w:val="00E43839"/>
    <w:rsid w:val="00E450CD"/>
    <w:rsid w:val="00E459EC"/>
    <w:rsid w:val="00E46DD3"/>
    <w:rsid w:val="00E47DB5"/>
    <w:rsid w:val="00E51F7D"/>
    <w:rsid w:val="00E535ED"/>
    <w:rsid w:val="00E57764"/>
    <w:rsid w:val="00E57C95"/>
    <w:rsid w:val="00E60512"/>
    <w:rsid w:val="00E60CD0"/>
    <w:rsid w:val="00E60DA1"/>
    <w:rsid w:val="00E61452"/>
    <w:rsid w:val="00E65870"/>
    <w:rsid w:val="00E66295"/>
    <w:rsid w:val="00E66784"/>
    <w:rsid w:val="00E67CE8"/>
    <w:rsid w:val="00E7588C"/>
    <w:rsid w:val="00E76F88"/>
    <w:rsid w:val="00E7749B"/>
    <w:rsid w:val="00E805B2"/>
    <w:rsid w:val="00E81127"/>
    <w:rsid w:val="00E817AD"/>
    <w:rsid w:val="00E824BF"/>
    <w:rsid w:val="00E842F6"/>
    <w:rsid w:val="00E8516A"/>
    <w:rsid w:val="00E854E9"/>
    <w:rsid w:val="00E87BB0"/>
    <w:rsid w:val="00E905F4"/>
    <w:rsid w:val="00E90721"/>
    <w:rsid w:val="00E9106A"/>
    <w:rsid w:val="00E919BF"/>
    <w:rsid w:val="00E9292B"/>
    <w:rsid w:val="00E94228"/>
    <w:rsid w:val="00E945F7"/>
    <w:rsid w:val="00E94D6D"/>
    <w:rsid w:val="00E95835"/>
    <w:rsid w:val="00E9693B"/>
    <w:rsid w:val="00E96C69"/>
    <w:rsid w:val="00E973F9"/>
    <w:rsid w:val="00E97AC5"/>
    <w:rsid w:val="00EA0A13"/>
    <w:rsid w:val="00EA0B39"/>
    <w:rsid w:val="00EA49AB"/>
    <w:rsid w:val="00EA58D4"/>
    <w:rsid w:val="00EA6140"/>
    <w:rsid w:val="00EA69D8"/>
    <w:rsid w:val="00EA7299"/>
    <w:rsid w:val="00EA734B"/>
    <w:rsid w:val="00EA7457"/>
    <w:rsid w:val="00EB1868"/>
    <w:rsid w:val="00EB1F62"/>
    <w:rsid w:val="00EB25AE"/>
    <w:rsid w:val="00EB6892"/>
    <w:rsid w:val="00EB6939"/>
    <w:rsid w:val="00EB7BC7"/>
    <w:rsid w:val="00EB7D92"/>
    <w:rsid w:val="00EC17F7"/>
    <w:rsid w:val="00EC1FE7"/>
    <w:rsid w:val="00EC4808"/>
    <w:rsid w:val="00EC4F02"/>
    <w:rsid w:val="00EC581F"/>
    <w:rsid w:val="00EC5889"/>
    <w:rsid w:val="00EC59AE"/>
    <w:rsid w:val="00EC5F65"/>
    <w:rsid w:val="00EC6B53"/>
    <w:rsid w:val="00EC77EA"/>
    <w:rsid w:val="00ED02AE"/>
    <w:rsid w:val="00ED1032"/>
    <w:rsid w:val="00ED2B17"/>
    <w:rsid w:val="00ED2E66"/>
    <w:rsid w:val="00ED354D"/>
    <w:rsid w:val="00ED3E05"/>
    <w:rsid w:val="00ED428F"/>
    <w:rsid w:val="00ED431B"/>
    <w:rsid w:val="00ED62D2"/>
    <w:rsid w:val="00ED6C04"/>
    <w:rsid w:val="00EE0219"/>
    <w:rsid w:val="00EE03BE"/>
    <w:rsid w:val="00EE09E1"/>
    <w:rsid w:val="00EE285F"/>
    <w:rsid w:val="00EE33BF"/>
    <w:rsid w:val="00EE37F8"/>
    <w:rsid w:val="00EE38AD"/>
    <w:rsid w:val="00EE3D41"/>
    <w:rsid w:val="00EE40F1"/>
    <w:rsid w:val="00EE419D"/>
    <w:rsid w:val="00EE76B2"/>
    <w:rsid w:val="00EE7921"/>
    <w:rsid w:val="00EE7C51"/>
    <w:rsid w:val="00EF045C"/>
    <w:rsid w:val="00EF0880"/>
    <w:rsid w:val="00EF455A"/>
    <w:rsid w:val="00EF5970"/>
    <w:rsid w:val="00EF6FD4"/>
    <w:rsid w:val="00EF7731"/>
    <w:rsid w:val="00F00191"/>
    <w:rsid w:val="00F01929"/>
    <w:rsid w:val="00F02776"/>
    <w:rsid w:val="00F0406D"/>
    <w:rsid w:val="00F079DE"/>
    <w:rsid w:val="00F105C0"/>
    <w:rsid w:val="00F10686"/>
    <w:rsid w:val="00F10F16"/>
    <w:rsid w:val="00F13574"/>
    <w:rsid w:val="00F1384F"/>
    <w:rsid w:val="00F1392C"/>
    <w:rsid w:val="00F142E6"/>
    <w:rsid w:val="00F171D0"/>
    <w:rsid w:val="00F237C9"/>
    <w:rsid w:val="00F23F38"/>
    <w:rsid w:val="00F26637"/>
    <w:rsid w:val="00F266D0"/>
    <w:rsid w:val="00F26F25"/>
    <w:rsid w:val="00F30B1D"/>
    <w:rsid w:val="00F33114"/>
    <w:rsid w:val="00F33601"/>
    <w:rsid w:val="00F35079"/>
    <w:rsid w:val="00F3591F"/>
    <w:rsid w:val="00F37A3D"/>
    <w:rsid w:val="00F416C2"/>
    <w:rsid w:val="00F41908"/>
    <w:rsid w:val="00F43178"/>
    <w:rsid w:val="00F451D0"/>
    <w:rsid w:val="00F45658"/>
    <w:rsid w:val="00F45BA0"/>
    <w:rsid w:val="00F50569"/>
    <w:rsid w:val="00F5246E"/>
    <w:rsid w:val="00F53CA4"/>
    <w:rsid w:val="00F5433A"/>
    <w:rsid w:val="00F55B68"/>
    <w:rsid w:val="00F564A4"/>
    <w:rsid w:val="00F56E84"/>
    <w:rsid w:val="00F60276"/>
    <w:rsid w:val="00F607E8"/>
    <w:rsid w:val="00F608D7"/>
    <w:rsid w:val="00F637BA"/>
    <w:rsid w:val="00F64ED4"/>
    <w:rsid w:val="00F656CD"/>
    <w:rsid w:val="00F658FB"/>
    <w:rsid w:val="00F660C5"/>
    <w:rsid w:val="00F66D94"/>
    <w:rsid w:val="00F67206"/>
    <w:rsid w:val="00F6780F"/>
    <w:rsid w:val="00F67EA4"/>
    <w:rsid w:val="00F71829"/>
    <w:rsid w:val="00F71A99"/>
    <w:rsid w:val="00F71AB6"/>
    <w:rsid w:val="00F72175"/>
    <w:rsid w:val="00F7366C"/>
    <w:rsid w:val="00F73A08"/>
    <w:rsid w:val="00F7442E"/>
    <w:rsid w:val="00F75125"/>
    <w:rsid w:val="00F76AB5"/>
    <w:rsid w:val="00F8005C"/>
    <w:rsid w:val="00F8084A"/>
    <w:rsid w:val="00F81644"/>
    <w:rsid w:val="00F818AC"/>
    <w:rsid w:val="00F81ABD"/>
    <w:rsid w:val="00F82294"/>
    <w:rsid w:val="00F83484"/>
    <w:rsid w:val="00F83949"/>
    <w:rsid w:val="00F8701D"/>
    <w:rsid w:val="00F87762"/>
    <w:rsid w:val="00F90E4A"/>
    <w:rsid w:val="00F90F39"/>
    <w:rsid w:val="00F94C2C"/>
    <w:rsid w:val="00F976F5"/>
    <w:rsid w:val="00F97E7C"/>
    <w:rsid w:val="00FA01E2"/>
    <w:rsid w:val="00FA049E"/>
    <w:rsid w:val="00FA06B4"/>
    <w:rsid w:val="00FA1B00"/>
    <w:rsid w:val="00FA1CB6"/>
    <w:rsid w:val="00FA1CF6"/>
    <w:rsid w:val="00FA3265"/>
    <w:rsid w:val="00FA342B"/>
    <w:rsid w:val="00FA36BD"/>
    <w:rsid w:val="00FA4B6B"/>
    <w:rsid w:val="00FA4E44"/>
    <w:rsid w:val="00FA7298"/>
    <w:rsid w:val="00FB074C"/>
    <w:rsid w:val="00FB1487"/>
    <w:rsid w:val="00FB14BC"/>
    <w:rsid w:val="00FB1C51"/>
    <w:rsid w:val="00FB4518"/>
    <w:rsid w:val="00FB5048"/>
    <w:rsid w:val="00FB590D"/>
    <w:rsid w:val="00FB6D71"/>
    <w:rsid w:val="00FB7D64"/>
    <w:rsid w:val="00FC11F3"/>
    <w:rsid w:val="00FC1B0B"/>
    <w:rsid w:val="00FC1B76"/>
    <w:rsid w:val="00FC35F9"/>
    <w:rsid w:val="00FC3C2D"/>
    <w:rsid w:val="00FC4072"/>
    <w:rsid w:val="00FC407C"/>
    <w:rsid w:val="00FC4687"/>
    <w:rsid w:val="00FC4B8E"/>
    <w:rsid w:val="00FC6D91"/>
    <w:rsid w:val="00FD0817"/>
    <w:rsid w:val="00FD09DA"/>
    <w:rsid w:val="00FD127F"/>
    <w:rsid w:val="00FD2413"/>
    <w:rsid w:val="00FD31FE"/>
    <w:rsid w:val="00FD34CA"/>
    <w:rsid w:val="00FD49A9"/>
    <w:rsid w:val="00FD608D"/>
    <w:rsid w:val="00FD6842"/>
    <w:rsid w:val="00FE06AC"/>
    <w:rsid w:val="00FE0BF9"/>
    <w:rsid w:val="00FE0F03"/>
    <w:rsid w:val="00FE0F9F"/>
    <w:rsid w:val="00FE2CBB"/>
    <w:rsid w:val="00FE2E5D"/>
    <w:rsid w:val="00FE33C8"/>
    <w:rsid w:val="00FE3E44"/>
    <w:rsid w:val="00FE59D6"/>
    <w:rsid w:val="00FE5E3E"/>
    <w:rsid w:val="00FE7621"/>
    <w:rsid w:val="00FF0233"/>
    <w:rsid w:val="00FF236E"/>
    <w:rsid w:val="00FF2445"/>
    <w:rsid w:val="00FF4CE8"/>
    <w:rsid w:val="00FF54CF"/>
    <w:rsid w:val="00FF66EA"/>
    <w:rsid w:val="069736F6"/>
    <w:rsid w:val="08CA1A33"/>
    <w:rsid w:val="18D67ECE"/>
    <w:rsid w:val="19F30F76"/>
    <w:rsid w:val="25797C80"/>
    <w:rsid w:val="28404B39"/>
    <w:rsid w:val="2AC351FB"/>
    <w:rsid w:val="3ACE7AEB"/>
    <w:rsid w:val="64F15A99"/>
    <w:rsid w:val="6F225ED7"/>
    <w:rsid w:val="70DF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heme="minorBidi"/>
      <w:kern w:val="2"/>
      <w:sz w:val="24"/>
      <w:szCs w:val="22"/>
      <w:lang w:val="en-US" w:eastAsia="zh-CN" w:bidi="ar-SA"/>
    </w:rPr>
  </w:style>
  <w:style w:type="paragraph" w:styleId="3">
    <w:name w:val="heading 1"/>
    <w:basedOn w:val="1"/>
    <w:next w:val="1"/>
    <w:link w:val="27"/>
    <w:qFormat/>
    <w:uiPriority w:val="9"/>
    <w:pPr>
      <w:keepNext/>
      <w:keepLines/>
      <w:ind w:firstLine="0" w:firstLineChars="0"/>
      <w:outlineLvl w:val="0"/>
    </w:pPr>
    <w:rPr>
      <w:b/>
      <w:bCs/>
      <w:kern w:val="44"/>
      <w:sz w:val="32"/>
      <w:szCs w:val="44"/>
    </w:rPr>
  </w:style>
  <w:style w:type="paragraph" w:styleId="4">
    <w:name w:val="heading 2"/>
    <w:basedOn w:val="1"/>
    <w:next w:val="1"/>
    <w:link w:val="28"/>
    <w:unhideWhenUsed/>
    <w:qFormat/>
    <w:uiPriority w:val="9"/>
    <w:pPr>
      <w:keepNext/>
      <w:keepLines/>
      <w:ind w:firstLine="0" w:firstLineChars="0"/>
      <w:outlineLvl w:val="1"/>
    </w:pPr>
    <w:rPr>
      <w:rFonts w:cstheme="majorBidi"/>
      <w:b/>
      <w:bCs/>
      <w:sz w:val="30"/>
      <w:szCs w:val="32"/>
    </w:rPr>
  </w:style>
  <w:style w:type="paragraph" w:styleId="5">
    <w:name w:val="heading 3"/>
    <w:basedOn w:val="1"/>
    <w:next w:val="1"/>
    <w:link w:val="29"/>
    <w:unhideWhenUsed/>
    <w:qFormat/>
    <w:uiPriority w:val="9"/>
    <w:pPr>
      <w:keepNext/>
      <w:keepLines/>
      <w:ind w:firstLine="0" w:firstLineChars="0"/>
      <w:outlineLvl w:val="2"/>
    </w:pPr>
    <w:rPr>
      <w:b/>
      <w:bCs/>
      <w:sz w:val="28"/>
      <w:szCs w:val="32"/>
    </w:rPr>
  </w:style>
  <w:style w:type="paragraph" w:styleId="6">
    <w:name w:val="heading 4"/>
    <w:basedOn w:val="1"/>
    <w:next w:val="1"/>
    <w:link w:val="30"/>
    <w:unhideWhenUsed/>
    <w:qFormat/>
    <w:uiPriority w:val="9"/>
    <w:pPr>
      <w:keepNext/>
      <w:keepLines/>
      <w:ind w:firstLine="0" w:firstLineChars="0"/>
      <w:outlineLvl w:val="3"/>
    </w:pPr>
    <w:rPr>
      <w:rFonts w:cstheme="majorBidi"/>
      <w:b/>
      <w:bCs/>
      <w:szCs w:val="28"/>
    </w:rPr>
  </w:style>
  <w:style w:type="paragraph" w:styleId="7">
    <w:name w:val="heading 6"/>
    <w:basedOn w:val="1"/>
    <w:next w:val="1"/>
    <w:link w:val="44"/>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macro"/>
    <w:link w:val="49"/>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8">
    <w:name w:val="Normal Indent"/>
    <w:basedOn w:val="1"/>
    <w:link w:val="59"/>
    <w:unhideWhenUsed/>
    <w:qFormat/>
    <w:uiPriority w:val="0"/>
    <w:pPr>
      <w:ind w:firstLine="420"/>
    </w:pPr>
  </w:style>
  <w:style w:type="paragraph" w:styleId="9">
    <w:name w:val="Document Map"/>
    <w:basedOn w:val="1"/>
    <w:link w:val="91"/>
    <w:semiHidden/>
    <w:unhideWhenUsed/>
    <w:qFormat/>
    <w:uiPriority w:val="99"/>
    <w:rPr>
      <w:rFonts w:ascii="宋体"/>
      <w:sz w:val="18"/>
      <w:szCs w:val="18"/>
    </w:rPr>
  </w:style>
  <w:style w:type="paragraph" w:styleId="10">
    <w:name w:val="annotation text"/>
    <w:basedOn w:val="1"/>
    <w:link w:val="39"/>
    <w:unhideWhenUsed/>
    <w:qFormat/>
    <w:uiPriority w:val="99"/>
  </w:style>
  <w:style w:type="paragraph" w:styleId="11">
    <w:name w:val="Body Text Indent"/>
    <w:basedOn w:val="1"/>
    <w:link w:val="67"/>
    <w:qFormat/>
    <w:uiPriority w:val="0"/>
    <w:pPr>
      <w:spacing w:after="120" w:line="240" w:lineRule="auto"/>
      <w:ind w:left="420" w:leftChars="200" w:firstLine="0" w:firstLineChars="0"/>
      <w:jc w:val="both"/>
    </w:pPr>
    <w:rPr>
      <w:rFonts w:ascii="Calibri" w:hAnsi="Calibri" w:cs="Times New Roman"/>
      <w:sz w:val="21"/>
      <w:szCs w:val="20"/>
    </w:rPr>
  </w:style>
  <w:style w:type="paragraph" w:styleId="12">
    <w:name w:val="Plain Text"/>
    <w:basedOn w:val="1"/>
    <w:link w:val="93"/>
    <w:unhideWhenUsed/>
    <w:qFormat/>
    <w:uiPriority w:val="0"/>
    <w:pPr>
      <w:spacing w:line="240" w:lineRule="auto"/>
      <w:ind w:firstLine="0" w:firstLineChars="0"/>
      <w:jc w:val="both"/>
    </w:pPr>
    <w:rPr>
      <w:rFonts w:ascii="宋体" w:hAnsi="Courier New" w:cs="Times New Roman"/>
      <w:sz w:val="21"/>
      <w:szCs w:val="21"/>
    </w:rPr>
  </w:style>
  <w:style w:type="paragraph" w:styleId="13">
    <w:name w:val="Balloon Text"/>
    <w:basedOn w:val="1"/>
    <w:link w:val="40"/>
    <w:unhideWhenUsed/>
    <w:qFormat/>
    <w:uiPriority w:val="99"/>
    <w:pPr>
      <w:spacing w:line="240" w:lineRule="auto"/>
    </w:pPr>
    <w:rPr>
      <w:sz w:val="18"/>
      <w:szCs w:val="18"/>
    </w:rPr>
  </w:style>
  <w:style w:type="paragraph" w:styleId="14">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76"/>
    <w:qFormat/>
    <w:uiPriority w:val="0"/>
    <w:pPr>
      <w:spacing w:before="100" w:beforeAutospacing="1" w:after="100" w:afterAutospacing="1"/>
      <w:ind w:firstLine="0" w:firstLineChars="0"/>
      <w:jc w:val="center"/>
    </w:pPr>
    <w:rPr>
      <w:rFonts w:asciiTheme="minorHAnsi" w:hAnsiTheme="minorHAnsi" w:eastAsiaTheme="minorEastAsia"/>
      <w:b/>
      <w:bCs/>
      <w:kern w:val="28"/>
      <w:szCs w:val="32"/>
    </w:rPr>
  </w:style>
  <w:style w:type="paragraph" w:styleId="18">
    <w:name w:val="toc 2"/>
    <w:basedOn w:val="1"/>
    <w:next w:val="1"/>
    <w:unhideWhenUsed/>
    <w:qFormat/>
    <w:uiPriority w:val="39"/>
    <w:pPr>
      <w:ind w:left="420" w:leftChars="200"/>
    </w:pPr>
  </w:style>
  <w:style w:type="paragraph" w:styleId="19">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0" w:firstLineChars="0"/>
    </w:pPr>
    <w:rPr>
      <w:rFonts w:ascii="Arial" w:hAnsi="Arial" w:cs="Arial" w:eastAsiaTheme="minorEastAsia"/>
      <w:sz w:val="21"/>
      <w:szCs w:val="21"/>
    </w:rPr>
  </w:style>
  <w:style w:type="paragraph" w:styleId="20">
    <w:name w:val="annotation subject"/>
    <w:basedOn w:val="10"/>
    <w:next w:val="10"/>
    <w:link w:val="47"/>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TML Definition"/>
    <w:qFormat/>
    <w:uiPriority w:val="0"/>
  </w:style>
  <w:style w:type="character" w:styleId="25">
    <w:name w:val="Hyperlink"/>
    <w:basedOn w:val="23"/>
    <w:unhideWhenUsed/>
    <w:qFormat/>
    <w:uiPriority w:val="99"/>
    <w:rPr>
      <w:color w:val="0000FF" w:themeColor="hyperlink"/>
      <w:u w:val="single"/>
    </w:rPr>
  </w:style>
  <w:style w:type="character" w:styleId="26">
    <w:name w:val="annotation reference"/>
    <w:qFormat/>
    <w:uiPriority w:val="99"/>
    <w:rPr>
      <w:sz w:val="21"/>
      <w:szCs w:val="21"/>
    </w:rPr>
  </w:style>
  <w:style w:type="character" w:customStyle="1" w:styleId="27">
    <w:name w:val="标题 1 Char"/>
    <w:basedOn w:val="23"/>
    <w:link w:val="3"/>
    <w:qFormat/>
    <w:uiPriority w:val="9"/>
    <w:rPr>
      <w:rFonts w:ascii="Times New Roman" w:hAnsi="Times New Roman" w:eastAsia="宋体"/>
      <w:b/>
      <w:bCs/>
      <w:kern w:val="44"/>
      <w:sz w:val="32"/>
      <w:szCs w:val="44"/>
    </w:rPr>
  </w:style>
  <w:style w:type="character" w:customStyle="1" w:styleId="28">
    <w:name w:val="标题 2 Char"/>
    <w:basedOn w:val="23"/>
    <w:link w:val="4"/>
    <w:qFormat/>
    <w:uiPriority w:val="9"/>
    <w:rPr>
      <w:rFonts w:ascii="Times New Roman" w:hAnsi="Times New Roman" w:eastAsia="宋体" w:cstheme="majorBidi"/>
      <w:b/>
      <w:bCs/>
      <w:sz w:val="30"/>
      <w:szCs w:val="32"/>
    </w:rPr>
  </w:style>
  <w:style w:type="character" w:customStyle="1" w:styleId="29">
    <w:name w:val="标题 3 Char"/>
    <w:basedOn w:val="23"/>
    <w:link w:val="5"/>
    <w:qFormat/>
    <w:uiPriority w:val="9"/>
    <w:rPr>
      <w:rFonts w:ascii="Times New Roman" w:hAnsi="Times New Roman" w:eastAsia="宋体"/>
      <w:b/>
      <w:bCs/>
      <w:sz w:val="28"/>
      <w:szCs w:val="32"/>
    </w:rPr>
  </w:style>
  <w:style w:type="character" w:customStyle="1" w:styleId="30">
    <w:name w:val="标题 4 Char"/>
    <w:basedOn w:val="23"/>
    <w:link w:val="6"/>
    <w:qFormat/>
    <w:uiPriority w:val="9"/>
    <w:rPr>
      <w:rFonts w:ascii="Times New Roman" w:hAnsi="Times New Roman" w:eastAsia="宋体" w:cstheme="majorBidi"/>
      <w:b/>
      <w:bCs/>
      <w:sz w:val="24"/>
      <w:szCs w:val="28"/>
    </w:rPr>
  </w:style>
  <w:style w:type="paragraph" w:customStyle="1" w:styleId="31">
    <w:name w:val="表头"/>
    <w:basedOn w:val="1"/>
    <w:link w:val="33"/>
    <w:qFormat/>
    <w:uiPriority w:val="0"/>
    <w:pPr>
      <w:ind w:firstLine="0" w:firstLineChars="0"/>
      <w:jc w:val="center"/>
    </w:pPr>
    <w:rPr>
      <w:b/>
    </w:rPr>
  </w:style>
  <w:style w:type="paragraph" w:customStyle="1" w:styleId="32">
    <w:name w:val="表格内容"/>
    <w:basedOn w:val="1"/>
    <w:link w:val="34"/>
    <w:qFormat/>
    <w:uiPriority w:val="0"/>
    <w:pPr>
      <w:spacing w:line="240" w:lineRule="auto"/>
      <w:ind w:firstLine="0" w:firstLineChars="0"/>
      <w:jc w:val="center"/>
    </w:pPr>
    <w:rPr>
      <w:sz w:val="21"/>
    </w:rPr>
  </w:style>
  <w:style w:type="character" w:customStyle="1" w:styleId="33">
    <w:name w:val="表头 Char"/>
    <w:basedOn w:val="23"/>
    <w:link w:val="31"/>
    <w:qFormat/>
    <w:uiPriority w:val="0"/>
    <w:rPr>
      <w:rFonts w:ascii="Times New Roman" w:hAnsi="Times New Roman" w:eastAsia="宋体"/>
      <w:b/>
      <w:sz w:val="24"/>
    </w:rPr>
  </w:style>
  <w:style w:type="character" w:customStyle="1" w:styleId="34">
    <w:name w:val="表格内容 Char"/>
    <w:basedOn w:val="23"/>
    <w:link w:val="32"/>
    <w:qFormat/>
    <w:uiPriority w:val="0"/>
    <w:rPr>
      <w:rFonts w:ascii="Times New Roman" w:hAnsi="Times New Roman" w:eastAsia="宋体"/>
    </w:rPr>
  </w:style>
  <w:style w:type="character" w:customStyle="1" w:styleId="35">
    <w:name w:val="页眉 Char"/>
    <w:basedOn w:val="23"/>
    <w:link w:val="15"/>
    <w:qFormat/>
    <w:uiPriority w:val="99"/>
    <w:rPr>
      <w:rFonts w:ascii="Times New Roman" w:hAnsi="Times New Roman" w:eastAsia="宋体"/>
      <w:sz w:val="18"/>
      <w:szCs w:val="18"/>
    </w:rPr>
  </w:style>
  <w:style w:type="character" w:customStyle="1" w:styleId="36">
    <w:name w:val="页脚 Char"/>
    <w:basedOn w:val="23"/>
    <w:link w:val="14"/>
    <w:qFormat/>
    <w:uiPriority w:val="99"/>
    <w:rPr>
      <w:rFonts w:ascii="Times New Roman" w:hAnsi="Times New Roman" w:eastAsia="宋体"/>
      <w:sz w:val="18"/>
      <w:szCs w:val="18"/>
    </w:rPr>
  </w:style>
  <w:style w:type="paragraph" w:customStyle="1" w:styleId="37">
    <w:name w:val="表格文字"/>
    <w:basedOn w:val="1"/>
    <w:link w:val="38"/>
    <w:qFormat/>
    <w:uiPriority w:val="0"/>
    <w:pPr>
      <w:spacing w:line="240" w:lineRule="auto"/>
      <w:ind w:firstLine="0" w:firstLineChars="0"/>
      <w:jc w:val="center"/>
    </w:pPr>
    <w:rPr>
      <w:rFonts w:cs="Times New Roman"/>
      <w:sz w:val="21"/>
      <w:szCs w:val="24"/>
    </w:rPr>
  </w:style>
  <w:style w:type="character" w:customStyle="1" w:styleId="38">
    <w:name w:val="表格文字 Char"/>
    <w:basedOn w:val="23"/>
    <w:link w:val="37"/>
    <w:qFormat/>
    <w:uiPriority w:val="0"/>
    <w:rPr>
      <w:rFonts w:ascii="Times New Roman" w:hAnsi="Times New Roman" w:eastAsia="宋体" w:cs="Times New Roman"/>
      <w:szCs w:val="24"/>
    </w:rPr>
  </w:style>
  <w:style w:type="character" w:customStyle="1" w:styleId="39">
    <w:name w:val="批注文字 Char"/>
    <w:basedOn w:val="23"/>
    <w:link w:val="10"/>
    <w:qFormat/>
    <w:uiPriority w:val="99"/>
    <w:rPr>
      <w:rFonts w:ascii="Times New Roman" w:hAnsi="Times New Roman" w:eastAsia="宋体"/>
      <w:sz w:val="24"/>
    </w:rPr>
  </w:style>
  <w:style w:type="character" w:customStyle="1" w:styleId="40">
    <w:name w:val="批注框文本 Char"/>
    <w:basedOn w:val="23"/>
    <w:link w:val="13"/>
    <w:semiHidden/>
    <w:qFormat/>
    <w:uiPriority w:val="99"/>
    <w:rPr>
      <w:rFonts w:ascii="Times New Roman" w:hAnsi="Times New Roman" w:eastAsia="宋体"/>
      <w:sz w:val="18"/>
      <w:szCs w:val="18"/>
    </w:rPr>
  </w:style>
  <w:style w:type="paragraph" w:customStyle="1" w:styleId="41">
    <w:name w:val="表格中的内容"/>
    <w:basedOn w:val="1"/>
    <w:link w:val="42"/>
    <w:qFormat/>
    <w:uiPriority w:val="0"/>
    <w:pPr>
      <w:spacing w:line="240" w:lineRule="auto"/>
      <w:ind w:firstLine="0" w:firstLineChars="0"/>
      <w:jc w:val="center"/>
    </w:pPr>
    <w:rPr>
      <w:rFonts w:cs="Times New Roman"/>
      <w:sz w:val="21"/>
      <w:szCs w:val="21"/>
    </w:rPr>
  </w:style>
  <w:style w:type="character" w:customStyle="1" w:styleId="42">
    <w:name w:val="表格中的内容 Char"/>
    <w:link w:val="41"/>
    <w:qFormat/>
    <w:uiPriority w:val="0"/>
    <w:rPr>
      <w:rFonts w:ascii="Times New Roman" w:hAnsi="Times New Roman" w:eastAsia="宋体" w:cs="Times New Roman"/>
      <w:szCs w:val="21"/>
    </w:rPr>
  </w:style>
  <w:style w:type="paragraph" w:customStyle="1" w:styleId="43">
    <w:name w:val="无间隔1"/>
    <w:link w:val="46"/>
    <w:qFormat/>
    <w:uiPriority w:val="0"/>
    <w:pPr>
      <w:widowControl w:val="0"/>
      <w:ind w:firstLine="200" w:firstLineChars="200"/>
    </w:pPr>
    <w:rPr>
      <w:rFonts w:ascii="Times New Roman" w:hAnsi="Times New Roman" w:eastAsia="宋体" w:cstheme="minorBidi"/>
      <w:kern w:val="2"/>
      <w:sz w:val="24"/>
      <w:szCs w:val="22"/>
      <w:lang w:val="en-US" w:eastAsia="zh-CN" w:bidi="ar-SA"/>
    </w:rPr>
  </w:style>
  <w:style w:type="character" w:customStyle="1" w:styleId="44">
    <w:name w:val="标题 6 Char"/>
    <w:basedOn w:val="23"/>
    <w:link w:val="7"/>
    <w:semiHidden/>
    <w:qFormat/>
    <w:uiPriority w:val="9"/>
    <w:rPr>
      <w:rFonts w:asciiTheme="majorHAnsi" w:hAnsiTheme="majorHAnsi" w:eastAsiaTheme="majorEastAsia" w:cstheme="majorBidi"/>
      <w:b/>
      <w:bCs/>
      <w:sz w:val="24"/>
      <w:szCs w:val="24"/>
    </w:rPr>
  </w:style>
  <w:style w:type="character" w:customStyle="1" w:styleId="45">
    <w:name w:val="占位符文本1"/>
    <w:basedOn w:val="23"/>
    <w:semiHidden/>
    <w:qFormat/>
    <w:uiPriority w:val="99"/>
    <w:rPr>
      <w:color w:val="808080"/>
    </w:rPr>
  </w:style>
  <w:style w:type="character" w:customStyle="1" w:styleId="46">
    <w:name w:val="无间隔 Char"/>
    <w:link w:val="43"/>
    <w:qFormat/>
    <w:uiPriority w:val="0"/>
    <w:rPr>
      <w:rFonts w:ascii="Times New Roman" w:hAnsi="Times New Roman" w:eastAsia="宋体"/>
      <w:sz w:val="24"/>
    </w:rPr>
  </w:style>
  <w:style w:type="character" w:customStyle="1" w:styleId="47">
    <w:name w:val="批注主题 Char"/>
    <w:basedOn w:val="39"/>
    <w:link w:val="20"/>
    <w:semiHidden/>
    <w:qFormat/>
    <w:uiPriority w:val="99"/>
    <w:rPr>
      <w:rFonts w:ascii="Times New Roman" w:hAnsi="Times New Roman" w:eastAsia="宋体"/>
      <w:b/>
      <w:bCs/>
      <w:sz w:val="24"/>
    </w:rPr>
  </w:style>
  <w:style w:type="paragraph" w:customStyle="1" w:styleId="48">
    <w:name w:val="Char Char Char Char Char Char"/>
    <w:basedOn w:val="1"/>
    <w:qFormat/>
    <w:uiPriority w:val="0"/>
    <w:pPr>
      <w:spacing w:line="240" w:lineRule="auto"/>
      <w:ind w:firstLine="0" w:firstLineChars="0"/>
      <w:jc w:val="both"/>
    </w:pPr>
    <w:rPr>
      <w:rFonts w:cs="Times New Roman"/>
      <w:sz w:val="28"/>
      <w:szCs w:val="28"/>
    </w:rPr>
  </w:style>
  <w:style w:type="character" w:customStyle="1" w:styleId="49">
    <w:name w:val="宏文本 Char"/>
    <w:basedOn w:val="23"/>
    <w:link w:val="2"/>
    <w:semiHidden/>
    <w:qFormat/>
    <w:uiPriority w:val="99"/>
    <w:rPr>
      <w:rFonts w:ascii="Courier New" w:hAnsi="Courier New" w:eastAsia="宋体" w:cs="Courier New"/>
      <w:sz w:val="24"/>
      <w:szCs w:val="24"/>
    </w:rPr>
  </w:style>
  <w:style w:type="paragraph" w:customStyle="1" w:styleId="50">
    <w:name w:val="正文级别▲"/>
    <w:basedOn w:val="1"/>
    <w:link w:val="51"/>
    <w:qFormat/>
    <w:uiPriority w:val="0"/>
    <w:pPr>
      <w:jc w:val="both"/>
    </w:pPr>
    <w:rPr>
      <w:rFonts w:cs="Times New Roman"/>
      <w:szCs w:val="24"/>
      <w:lang w:val="zh-CN"/>
    </w:rPr>
  </w:style>
  <w:style w:type="character" w:customStyle="1" w:styleId="51">
    <w:name w:val="正文级别▲ Char"/>
    <w:link w:val="50"/>
    <w:qFormat/>
    <w:uiPriority w:val="0"/>
    <w:rPr>
      <w:rFonts w:ascii="Times New Roman" w:hAnsi="Times New Roman" w:eastAsia="宋体" w:cs="Times New Roman"/>
      <w:sz w:val="24"/>
      <w:szCs w:val="24"/>
      <w:lang w:val="zh-CN" w:eastAsia="zh-CN"/>
    </w:rPr>
  </w:style>
  <w:style w:type="paragraph" w:customStyle="1" w:styleId="52">
    <w:name w:val="表内容"/>
    <w:basedOn w:val="1"/>
    <w:qFormat/>
    <w:uiPriority w:val="0"/>
    <w:pPr>
      <w:spacing w:line="240" w:lineRule="auto"/>
      <w:ind w:firstLine="0" w:firstLineChars="0"/>
      <w:jc w:val="center"/>
    </w:pPr>
    <w:rPr>
      <w:rFonts w:cs="Times New Roman"/>
      <w:color w:val="000000"/>
      <w:kern w:val="0"/>
      <w:sz w:val="21"/>
      <w:szCs w:val="20"/>
    </w:rPr>
  </w:style>
  <w:style w:type="paragraph" w:customStyle="1" w:styleId="53">
    <w:name w:val="环评正文"/>
    <w:basedOn w:val="1"/>
    <w:link w:val="66"/>
    <w:qFormat/>
    <w:uiPriority w:val="0"/>
    <w:pPr>
      <w:jc w:val="both"/>
    </w:pPr>
    <w:rPr>
      <w:rFonts w:cs="Times New Roman"/>
    </w:rPr>
  </w:style>
  <w:style w:type="paragraph" w:customStyle="1" w:styleId="54">
    <w:name w:val="表正文环评"/>
    <w:basedOn w:val="1"/>
    <w:qFormat/>
    <w:uiPriority w:val="0"/>
    <w:pPr>
      <w:spacing w:line="240" w:lineRule="auto"/>
      <w:ind w:firstLine="0" w:firstLineChars="0"/>
      <w:jc w:val="both"/>
    </w:pPr>
    <w:rPr>
      <w:rFonts w:cs="Times New Roman"/>
      <w:sz w:val="21"/>
    </w:rPr>
  </w:style>
  <w:style w:type="paragraph" w:customStyle="1" w:styleId="55">
    <w:name w:val="5 Char"/>
    <w:basedOn w:val="1"/>
    <w:link w:val="56"/>
    <w:qFormat/>
    <w:uiPriority w:val="0"/>
    <w:pPr>
      <w:tabs>
        <w:tab w:val="left" w:pos="180"/>
        <w:tab w:val="left" w:pos="540"/>
      </w:tabs>
      <w:suppressAutoHyphens/>
      <w:adjustRightInd w:val="0"/>
      <w:snapToGrid w:val="0"/>
      <w:spacing w:line="540" w:lineRule="exact"/>
      <w:ind w:firstLine="480"/>
      <w:jc w:val="both"/>
    </w:pPr>
    <w:rPr>
      <w:rFonts w:ascii="宋体" w:hAnsi="宋体" w:cs="Times New Roman"/>
      <w:bCs/>
      <w:szCs w:val="24"/>
    </w:rPr>
  </w:style>
  <w:style w:type="character" w:customStyle="1" w:styleId="56">
    <w:name w:val="5 Char Char1"/>
    <w:link w:val="55"/>
    <w:qFormat/>
    <w:uiPriority w:val="0"/>
    <w:rPr>
      <w:rFonts w:ascii="宋体" w:hAnsi="宋体" w:eastAsia="宋体" w:cs="Times New Roman"/>
      <w:bCs/>
      <w:sz w:val="24"/>
      <w:szCs w:val="24"/>
    </w:rPr>
  </w:style>
  <w:style w:type="character" w:customStyle="1" w:styleId="57">
    <w:name w:val="文本 卢谌 Char"/>
    <w:link w:val="58"/>
    <w:qFormat/>
    <w:uiPriority w:val="0"/>
    <w:rPr>
      <w:rFonts w:ascii="Times New Roman" w:hAnsi="Times New Roman"/>
      <w:sz w:val="24"/>
      <w:szCs w:val="24"/>
    </w:rPr>
  </w:style>
  <w:style w:type="paragraph" w:customStyle="1" w:styleId="58">
    <w:name w:val="文本 卢谌"/>
    <w:basedOn w:val="8"/>
    <w:link w:val="57"/>
    <w:qFormat/>
    <w:uiPriority w:val="0"/>
    <w:pPr>
      <w:ind w:firstLine="480"/>
      <w:jc w:val="both"/>
    </w:pPr>
    <w:rPr>
      <w:rFonts w:eastAsiaTheme="minorEastAsia"/>
      <w:szCs w:val="24"/>
    </w:rPr>
  </w:style>
  <w:style w:type="character" w:customStyle="1" w:styleId="59">
    <w:name w:val="正文缩进 Char"/>
    <w:link w:val="8"/>
    <w:qFormat/>
    <w:uiPriority w:val="0"/>
    <w:rPr>
      <w:rFonts w:ascii="Times New Roman" w:hAnsi="Times New Roman" w:eastAsia="宋体"/>
      <w:sz w:val="24"/>
    </w:rPr>
  </w:style>
  <w:style w:type="paragraph" w:customStyle="1" w:styleId="60">
    <w:name w:val="制表格"/>
    <w:basedOn w:val="1"/>
    <w:link w:val="61"/>
    <w:qFormat/>
    <w:uiPriority w:val="0"/>
    <w:pPr>
      <w:spacing w:line="240" w:lineRule="auto"/>
      <w:ind w:firstLine="0" w:firstLineChars="0"/>
      <w:jc w:val="center"/>
    </w:pPr>
    <w:rPr>
      <w:rFonts w:cs="Times New Roman"/>
      <w:snapToGrid w:val="0"/>
      <w:kern w:val="0"/>
      <w:sz w:val="21"/>
      <w:szCs w:val="28"/>
      <w:lang w:val="zh-CN"/>
    </w:rPr>
  </w:style>
  <w:style w:type="character" w:customStyle="1" w:styleId="61">
    <w:name w:val="制表格 Char"/>
    <w:link w:val="60"/>
    <w:qFormat/>
    <w:uiPriority w:val="0"/>
    <w:rPr>
      <w:rFonts w:ascii="Times New Roman" w:hAnsi="Times New Roman" w:eastAsia="宋体" w:cs="Times New Roman"/>
      <w:snapToGrid w:val="0"/>
      <w:kern w:val="0"/>
      <w:szCs w:val="28"/>
      <w:lang w:val="zh-CN" w:eastAsia="zh-CN"/>
    </w:rPr>
  </w:style>
  <w:style w:type="character" w:customStyle="1" w:styleId="62">
    <w:name w:val="表格 Char Char"/>
    <w:qFormat/>
    <w:uiPriority w:val="0"/>
    <w:rPr>
      <w:rFonts w:ascii="宋体"/>
      <w:sz w:val="21"/>
      <w:lang w:bidi="ar-SA"/>
    </w:rPr>
  </w:style>
  <w:style w:type="paragraph" w:customStyle="1" w:styleId="63">
    <w:name w:val="正文1"/>
    <w:basedOn w:val="1"/>
    <w:link w:val="64"/>
    <w:qFormat/>
    <w:uiPriority w:val="0"/>
    <w:pPr>
      <w:spacing w:line="560" w:lineRule="exact"/>
      <w:jc w:val="both"/>
    </w:pPr>
    <w:rPr>
      <w:rFonts w:ascii="宋体" w:cs="Times New Roman"/>
      <w:sz w:val="28"/>
      <w:szCs w:val="28"/>
    </w:rPr>
  </w:style>
  <w:style w:type="character" w:customStyle="1" w:styleId="64">
    <w:name w:val="正文1 Char"/>
    <w:link w:val="63"/>
    <w:qFormat/>
    <w:uiPriority w:val="0"/>
    <w:rPr>
      <w:rFonts w:ascii="宋体" w:hAnsi="Times New Roman" w:eastAsia="宋体" w:cs="Times New Roman"/>
      <w:sz w:val="28"/>
      <w:szCs w:val="28"/>
    </w:rPr>
  </w:style>
  <w:style w:type="paragraph" w:customStyle="1" w:styleId="65">
    <w:name w:val="正文环评"/>
    <w:basedOn w:val="1"/>
    <w:qFormat/>
    <w:uiPriority w:val="0"/>
    <w:pPr>
      <w:jc w:val="both"/>
    </w:pPr>
    <w:rPr>
      <w:rFonts w:cs="Times New Roman"/>
    </w:rPr>
  </w:style>
  <w:style w:type="character" w:customStyle="1" w:styleId="66">
    <w:name w:val="环评正文 Char Char"/>
    <w:link w:val="53"/>
    <w:qFormat/>
    <w:uiPriority w:val="0"/>
    <w:rPr>
      <w:rFonts w:ascii="Times New Roman" w:hAnsi="Times New Roman" w:eastAsia="宋体" w:cs="Times New Roman"/>
      <w:sz w:val="24"/>
    </w:rPr>
  </w:style>
  <w:style w:type="character" w:customStyle="1" w:styleId="67">
    <w:name w:val="正文文本缩进 Char"/>
    <w:basedOn w:val="23"/>
    <w:link w:val="11"/>
    <w:qFormat/>
    <w:uiPriority w:val="0"/>
    <w:rPr>
      <w:rFonts w:ascii="Calibri" w:hAnsi="Calibri" w:eastAsia="宋体" w:cs="Times New Roman"/>
      <w:szCs w:val="20"/>
    </w:rPr>
  </w:style>
  <w:style w:type="paragraph" w:customStyle="1" w:styleId="68">
    <w:name w:val="报告表格"/>
    <w:basedOn w:val="1"/>
    <w:link w:val="69"/>
    <w:qFormat/>
    <w:uiPriority w:val="0"/>
    <w:pPr>
      <w:autoSpaceDE w:val="0"/>
      <w:autoSpaceDN w:val="0"/>
      <w:adjustRightInd w:val="0"/>
      <w:spacing w:before="40" w:after="40" w:line="240" w:lineRule="auto"/>
      <w:ind w:firstLine="0" w:firstLineChars="0"/>
      <w:jc w:val="center"/>
    </w:pPr>
    <w:rPr>
      <w:rFonts w:cs="Times New Roman"/>
      <w:kern w:val="0"/>
      <w:sz w:val="21"/>
      <w:szCs w:val="20"/>
      <w:lang w:val="zh-CN"/>
    </w:rPr>
  </w:style>
  <w:style w:type="character" w:customStyle="1" w:styleId="69">
    <w:name w:val="报告表格 Char"/>
    <w:link w:val="68"/>
    <w:qFormat/>
    <w:uiPriority w:val="0"/>
    <w:rPr>
      <w:rFonts w:ascii="Times New Roman" w:hAnsi="Times New Roman" w:eastAsia="宋体" w:cs="Times New Roman"/>
      <w:kern w:val="0"/>
      <w:szCs w:val="20"/>
      <w:lang w:val="zh-CN" w:eastAsia="zh-CN"/>
    </w:rPr>
  </w:style>
  <w:style w:type="character" w:customStyle="1" w:styleId="70">
    <w:name w:val="表格文字 Char Char"/>
    <w:qFormat/>
    <w:uiPriority w:val="0"/>
    <w:rPr>
      <w:rFonts w:ascii="宋体"/>
      <w:color w:val="000000"/>
      <w:sz w:val="24"/>
      <w:lang w:bidi="ar-SA"/>
    </w:rPr>
  </w:style>
  <w:style w:type="character" w:customStyle="1" w:styleId="71">
    <w:name w:val="3333 Char"/>
    <w:link w:val="72"/>
    <w:qFormat/>
    <w:uiPriority w:val="0"/>
    <w:rPr>
      <w:b/>
      <w:bCs/>
      <w:sz w:val="28"/>
      <w:szCs w:val="32"/>
    </w:rPr>
  </w:style>
  <w:style w:type="paragraph" w:customStyle="1" w:styleId="72">
    <w:name w:val="3333"/>
    <w:basedOn w:val="5"/>
    <w:link w:val="71"/>
    <w:qFormat/>
    <w:uiPriority w:val="0"/>
    <w:rPr>
      <w:rFonts w:asciiTheme="minorHAnsi" w:hAnsiTheme="minorHAnsi" w:eastAsiaTheme="minorEastAsia"/>
    </w:rPr>
  </w:style>
  <w:style w:type="paragraph" w:customStyle="1" w:styleId="73">
    <w:name w:val="2222"/>
    <w:basedOn w:val="4"/>
    <w:qFormat/>
    <w:uiPriority w:val="0"/>
    <w:rPr>
      <w:rFonts w:cs="Times New Roman"/>
      <w:kern w:val="0"/>
    </w:rPr>
  </w:style>
  <w:style w:type="paragraph" w:customStyle="1" w:styleId="74">
    <w:name w:val="正文▲"/>
    <w:link w:val="75"/>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75">
    <w:name w:val="正文▲ Char"/>
    <w:link w:val="74"/>
    <w:qFormat/>
    <w:uiPriority w:val="0"/>
    <w:rPr>
      <w:rFonts w:ascii="Times New Roman" w:hAnsi="Times New Roman" w:eastAsia="宋体" w:cs="Times New Roman"/>
      <w:color w:val="000000"/>
      <w:sz w:val="24"/>
      <w:szCs w:val="24"/>
    </w:rPr>
  </w:style>
  <w:style w:type="character" w:customStyle="1" w:styleId="76">
    <w:name w:val="副标题 Char"/>
    <w:link w:val="17"/>
    <w:qFormat/>
    <w:uiPriority w:val="0"/>
    <w:rPr>
      <w:b/>
      <w:bCs/>
      <w:kern w:val="28"/>
      <w:sz w:val="24"/>
      <w:szCs w:val="32"/>
    </w:rPr>
  </w:style>
  <w:style w:type="character" w:customStyle="1" w:styleId="77">
    <w:name w:val="副标题 Char1"/>
    <w:basedOn w:val="23"/>
    <w:qFormat/>
    <w:uiPriority w:val="11"/>
    <w:rPr>
      <w:rFonts w:eastAsia="宋体" w:asciiTheme="majorHAnsi" w:hAnsiTheme="majorHAnsi" w:cstheme="majorBidi"/>
      <w:b/>
      <w:bCs/>
      <w:kern w:val="28"/>
      <w:sz w:val="32"/>
      <w:szCs w:val="32"/>
    </w:rPr>
  </w:style>
  <w:style w:type="paragraph" w:customStyle="1" w:styleId="78">
    <w:name w:val="已有表格"/>
    <w:basedOn w:val="1"/>
    <w:qFormat/>
    <w:uiPriority w:val="0"/>
    <w:pPr>
      <w:adjustRightInd w:val="0"/>
      <w:spacing w:before="40" w:after="40" w:line="240" w:lineRule="auto"/>
      <w:ind w:firstLine="0" w:firstLineChars="0"/>
      <w:jc w:val="center"/>
      <w:textAlignment w:val="baseline"/>
    </w:pPr>
    <w:rPr>
      <w:rFonts w:cs="Times New Roman"/>
      <w:b/>
      <w:kern w:val="0"/>
      <w:szCs w:val="20"/>
    </w:rPr>
  </w:style>
  <w:style w:type="paragraph" w:customStyle="1" w:styleId="79">
    <w:name w:val="正文2"/>
    <w:basedOn w:val="1"/>
    <w:link w:val="80"/>
    <w:qFormat/>
    <w:uiPriority w:val="0"/>
    <w:pPr>
      <w:adjustRightInd w:val="0"/>
      <w:snapToGrid w:val="0"/>
      <w:jc w:val="both"/>
    </w:pPr>
    <w:rPr>
      <w:rFonts w:cs="Times New Roman"/>
      <w:szCs w:val="24"/>
      <w:lang w:val="zh-CN"/>
    </w:rPr>
  </w:style>
  <w:style w:type="character" w:customStyle="1" w:styleId="80">
    <w:name w:val="正文2 Char"/>
    <w:link w:val="79"/>
    <w:qFormat/>
    <w:uiPriority w:val="0"/>
    <w:rPr>
      <w:rFonts w:ascii="Times New Roman" w:hAnsi="Times New Roman" w:eastAsia="宋体" w:cs="Times New Roman"/>
      <w:sz w:val="24"/>
      <w:szCs w:val="24"/>
      <w:lang w:val="zh-CN" w:eastAsia="zh-CN"/>
    </w:rPr>
  </w:style>
  <w:style w:type="character" w:customStyle="1" w:styleId="81">
    <w:name w:val="HTML 预设格式 Char"/>
    <w:link w:val="19"/>
    <w:qFormat/>
    <w:uiPriority w:val="99"/>
    <w:rPr>
      <w:rFonts w:ascii="Arial" w:hAnsi="Arial" w:cs="Arial"/>
      <w:szCs w:val="21"/>
    </w:rPr>
  </w:style>
  <w:style w:type="character" w:customStyle="1" w:styleId="82">
    <w:name w:val="HTML 预设格式 Char1"/>
    <w:basedOn w:val="23"/>
    <w:semiHidden/>
    <w:qFormat/>
    <w:uiPriority w:val="99"/>
    <w:rPr>
      <w:rFonts w:ascii="Courier New" w:hAnsi="Courier New" w:eastAsia="宋体" w:cs="Courier New"/>
      <w:sz w:val="20"/>
      <w:szCs w:val="20"/>
    </w:rPr>
  </w:style>
  <w:style w:type="paragraph" w:customStyle="1" w:styleId="83">
    <w:name w:val="表头或表尾"/>
    <w:basedOn w:val="43"/>
    <w:next w:val="1"/>
    <w:link w:val="84"/>
    <w:qFormat/>
    <w:uiPriority w:val="0"/>
    <w:pPr>
      <w:adjustRightInd w:val="0"/>
      <w:snapToGrid w:val="0"/>
      <w:spacing w:beforeLines="20" w:line="360" w:lineRule="auto"/>
      <w:jc w:val="center"/>
    </w:pPr>
    <w:rPr>
      <w:rFonts w:cs="Times New Roman"/>
      <w:b/>
      <w:szCs w:val="24"/>
      <w:lang w:val="zh-CN"/>
    </w:rPr>
  </w:style>
  <w:style w:type="character" w:customStyle="1" w:styleId="84">
    <w:name w:val="表头或表尾 Char"/>
    <w:link w:val="83"/>
    <w:qFormat/>
    <w:uiPriority w:val="0"/>
    <w:rPr>
      <w:rFonts w:ascii="Times New Roman" w:hAnsi="Times New Roman" w:eastAsia="宋体" w:cs="Times New Roman"/>
      <w:b/>
      <w:sz w:val="24"/>
      <w:szCs w:val="24"/>
      <w:lang w:val="zh-CN" w:eastAsia="zh-CN"/>
    </w:rPr>
  </w:style>
  <w:style w:type="paragraph" w:customStyle="1" w:styleId="85">
    <w:name w:val="环评正文1"/>
    <w:basedOn w:val="1"/>
    <w:qFormat/>
    <w:uiPriority w:val="0"/>
    <w:pPr>
      <w:jc w:val="both"/>
    </w:pPr>
    <w:rPr>
      <w:rFonts w:cs="Times New Roman"/>
      <w:snapToGrid w:val="0"/>
      <w:kern w:val="0"/>
      <w:szCs w:val="20"/>
    </w:rPr>
  </w:style>
  <w:style w:type="character" w:customStyle="1" w:styleId="86">
    <w:name w:val="引用 Char"/>
    <w:link w:val="87"/>
    <w:qFormat/>
    <w:uiPriority w:val="29"/>
    <w:rPr>
      <w:iCs/>
      <w:color w:val="000000"/>
    </w:rPr>
  </w:style>
  <w:style w:type="paragraph" w:customStyle="1" w:styleId="87">
    <w:name w:val="引用1"/>
    <w:basedOn w:val="1"/>
    <w:next w:val="1"/>
    <w:link w:val="86"/>
    <w:qFormat/>
    <w:uiPriority w:val="29"/>
    <w:pPr>
      <w:adjustRightInd w:val="0"/>
      <w:snapToGrid w:val="0"/>
      <w:spacing w:line="240" w:lineRule="auto"/>
      <w:ind w:firstLine="0" w:firstLineChars="0"/>
      <w:jc w:val="center"/>
    </w:pPr>
    <w:rPr>
      <w:rFonts w:asciiTheme="minorHAnsi" w:hAnsiTheme="minorHAnsi" w:eastAsiaTheme="minorEastAsia"/>
      <w:iCs/>
      <w:color w:val="000000"/>
      <w:sz w:val="21"/>
    </w:rPr>
  </w:style>
  <w:style w:type="character" w:customStyle="1" w:styleId="88">
    <w:name w:val="引用 Char1"/>
    <w:basedOn w:val="23"/>
    <w:qFormat/>
    <w:uiPriority w:val="29"/>
    <w:rPr>
      <w:rFonts w:ascii="Times New Roman" w:hAnsi="Times New Roman" w:eastAsia="宋体"/>
      <w:i/>
      <w:iCs/>
      <w:color w:val="000000" w:themeColor="text1"/>
      <w:sz w:val="24"/>
    </w:rPr>
  </w:style>
  <w:style w:type="paragraph" w:customStyle="1" w:styleId="89">
    <w:name w:val="样式 标题 1 + 四号 段前: 0 磅 段后: 0 磅 行距: 1.5 倍行距"/>
    <w:basedOn w:val="3"/>
    <w:qFormat/>
    <w:uiPriority w:val="0"/>
    <w:pPr>
      <w:jc w:val="center"/>
    </w:pPr>
    <w:rPr>
      <w:rFonts w:ascii="宋体" w:hAnsi="宋体" w:cs="宋体"/>
      <w:sz w:val="28"/>
      <w:szCs w:val="20"/>
    </w:rPr>
  </w:style>
  <w:style w:type="paragraph" w:styleId="90">
    <w:name w:val="List Paragraph"/>
    <w:basedOn w:val="1"/>
    <w:unhideWhenUsed/>
    <w:qFormat/>
    <w:uiPriority w:val="99"/>
    <w:pPr>
      <w:ind w:firstLine="420"/>
    </w:pPr>
  </w:style>
  <w:style w:type="character" w:customStyle="1" w:styleId="91">
    <w:name w:val="文档结构图 Char"/>
    <w:basedOn w:val="23"/>
    <w:link w:val="9"/>
    <w:semiHidden/>
    <w:qFormat/>
    <w:uiPriority w:val="99"/>
    <w:rPr>
      <w:rFonts w:ascii="宋体" w:hAnsi="Times New Roman" w:eastAsia="宋体"/>
      <w:kern w:val="2"/>
      <w:sz w:val="18"/>
      <w:szCs w:val="18"/>
    </w:rPr>
  </w:style>
  <w:style w:type="character" w:customStyle="1" w:styleId="92">
    <w:name w:val="纯文本 Char"/>
    <w:basedOn w:val="23"/>
    <w:semiHidden/>
    <w:qFormat/>
    <w:uiPriority w:val="99"/>
    <w:rPr>
      <w:rFonts w:ascii="宋体" w:hAnsi="Courier New" w:eastAsia="宋体" w:cs="Courier New"/>
      <w:kern w:val="2"/>
      <w:sz w:val="21"/>
      <w:szCs w:val="21"/>
    </w:rPr>
  </w:style>
  <w:style w:type="character" w:customStyle="1" w:styleId="93">
    <w:name w:val="纯文本 Char1"/>
    <w:basedOn w:val="23"/>
    <w:link w:val="12"/>
    <w:qFormat/>
    <w:locked/>
    <w:uiPriority w:val="0"/>
    <w:rPr>
      <w:rFonts w:ascii="宋体" w:hAnsi="Courier New" w:eastAsia="宋体" w:cs="Times New Roman"/>
      <w:kern w:val="2"/>
      <w:sz w:val="21"/>
      <w:szCs w:val="21"/>
    </w:rPr>
  </w:style>
  <w:style w:type="paragraph" w:customStyle="1" w:styleId="94">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9.wmf"/><Relationship Id="rId24" Type="http://schemas.openxmlformats.org/officeDocument/2006/relationships/image" Target="media/image8.wmf"/><Relationship Id="rId23" Type="http://schemas.openxmlformats.org/officeDocument/2006/relationships/image" Target="media/image7.png"/><Relationship Id="rId22" Type="http://schemas.openxmlformats.org/officeDocument/2006/relationships/image" Target="media/image6.wmf"/><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3.bin"/><Relationship Id="rId17" Type="http://schemas.openxmlformats.org/officeDocument/2006/relationships/image" Target="media/image3.emf"/><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82</Pages>
  <Words>9184</Words>
  <Characters>11297</Characters>
  <Lines>458</Lines>
  <Paragraphs>128</Paragraphs>
  <TotalTime>8236</TotalTime>
  <ScaleCrop>false</ScaleCrop>
  <LinksUpToDate>false</LinksUpToDate>
  <CharactersWithSpaces>11394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2016-01-15T06:01:00Z</dcterms:created>
  <dc:creator>admin</dc:creator>
  <cp:lastModifiedBy>刘变香</cp:lastModifiedBy>
  <dcterms:modified xsi:type="dcterms:W3CDTF">2025-12-29T07:54:43Z</dcterms:modified>
  <cp:revision>1337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41B80852C8A342458AB79BF5007A16EE</vt:lpwstr>
  </property>
</Properties>
</file>